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0DAE" w14:textId="77777777" w:rsidR="008B37BC" w:rsidRDefault="008B37BC" w:rsidP="008B37BC">
      <w:pPr>
        <w:pStyle w:val="Heading1"/>
        <w:jc w:val="center"/>
      </w:pPr>
    </w:p>
    <w:p w14:paraId="20178276" w14:textId="77777777" w:rsidR="008B37BC" w:rsidRDefault="008B37BC" w:rsidP="008B37BC">
      <w:pPr>
        <w:pStyle w:val="Heading1"/>
        <w:jc w:val="center"/>
      </w:pPr>
    </w:p>
    <w:p w14:paraId="40F4AFD3" w14:textId="77777777" w:rsidR="008B37BC" w:rsidRDefault="008B37BC" w:rsidP="008B37BC">
      <w:pPr>
        <w:pStyle w:val="Heading1"/>
        <w:jc w:val="center"/>
      </w:pPr>
    </w:p>
    <w:p w14:paraId="060A0C05" w14:textId="77777777" w:rsidR="008B37BC" w:rsidRDefault="008B37BC" w:rsidP="008B37BC"/>
    <w:p w14:paraId="4A7BD18A" w14:textId="77777777" w:rsidR="008B37BC" w:rsidRDefault="008B37BC" w:rsidP="008B37BC"/>
    <w:p w14:paraId="0B227E0B" w14:textId="77777777" w:rsidR="008B37BC" w:rsidRDefault="008B37BC" w:rsidP="008B37BC"/>
    <w:p w14:paraId="454A167B" w14:textId="77777777" w:rsidR="008B37BC" w:rsidRDefault="008B37BC" w:rsidP="008B37BC"/>
    <w:p w14:paraId="464D4626" w14:textId="77777777" w:rsidR="008B37BC" w:rsidRPr="003867D4" w:rsidRDefault="008B37BC" w:rsidP="008B37BC">
      <w:pPr>
        <w:jc w:val="center"/>
      </w:pPr>
      <w:r w:rsidRPr="003867D4">
        <w:rPr>
          <w:noProof/>
        </w:rPr>
        <w:drawing>
          <wp:inline distT="0" distB="0" distL="0" distR="0" wp14:anchorId="1FC8358F" wp14:editId="5EBB6904">
            <wp:extent cx="2647950" cy="1743075"/>
            <wp:effectExtent l="0" t="0" r="0" b="0"/>
            <wp:docPr id="5" name="Picture 5" descr="LFRS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S -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1743075"/>
                    </a:xfrm>
                    <a:prstGeom prst="rect">
                      <a:avLst/>
                    </a:prstGeom>
                    <a:noFill/>
                    <a:ln>
                      <a:noFill/>
                    </a:ln>
                  </pic:spPr>
                </pic:pic>
              </a:graphicData>
            </a:graphic>
          </wp:inline>
        </w:drawing>
      </w:r>
    </w:p>
    <w:p w14:paraId="1D88F500" w14:textId="77777777" w:rsidR="008B37BC" w:rsidRPr="003867D4" w:rsidRDefault="008B37BC" w:rsidP="008B37BC">
      <w:pPr>
        <w:jc w:val="center"/>
      </w:pPr>
    </w:p>
    <w:p w14:paraId="2A2BC8A2" w14:textId="77777777" w:rsidR="008B37BC" w:rsidRPr="003867D4" w:rsidRDefault="008B37BC" w:rsidP="008B37BC">
      <w:pPr>
        <w:jc w:val="center"/>
        <w:rPr>
          <w:sz w:val="36"/>
          <w:szCs w:val="36"/>
        </w:rPr>
      </w:pPr>
    </w:p>
    <w:p w14:paraId="6CBCBB33" w14:textId="77777777" w:rsidR="008B37BC" w:rsidRPr="003867D4" w:rsidRDefault="008B37BC" w:rsidP="008B37BC">
      <w:pPr>
        <w:jc w:val="center"/>
        <w:rPr>
          <w:sz w:val="36"/>
          <w:szCs w:val="36"/>
        </w:rPr>
      </w:pPr>
    </w:p>
    <w:p w14:paraId="1F669741" w14:textId="77777777" w:rsidR="008B37BC" w:rsidRDefault="008B37BC" w:rsidP="008B37BC">
      <w:pPr>
        <w:jc w:val="center"/>
        <w:rPr>
          <w:rFonts w:ascii="Arial" w:hAnsi="Arial" w:cs="Arial"/>
          <w:sz w:val="36"/>
          <w:szCs w:val="36"/>
        </w:rPr>
      </w:pPr>
      <w:r w:rsidRPr="003867D4">
        <w:rPr>
          <w:rFonts w:ascii="Arial" w:hAnsi="Arial" w:cs="Arial"/>
          <w:sz w:val="36"/>
          <w:szCs w:val="36"/>
        </w:rPr>
        <w:t>BUDGET BOOKLET</w:t>
      </w:r>
    </w:p>
    <w:p w14:paraId="3DC558AD" w14:textId="77777777" w:rsidR="008B37BC" w:rsidRPr="003867D4" w:rsidRDefault="008B37BC" w:rsidP="008B37BC">
      <w:pPr>
        <w:jc w:val="center"/>
        <w:rPr>
          <w:rFonts w:ascii="Arial" w:hAnsi="Arial" w:cs="Arial"/>
          <w:sz w:val="36"/>
          <w:szCs w:val="36"/>
        </w:rPr>
      </w:pPr>
    </w:p>
    <w:p w14:paraId="56E7CA4D" w14:textId="77777777" w:rsidR="008B37BC" w:rsidRPr="006D7731" w:rsidRDefault="008B37BC" w:rsidP="008B37BC">
      <w:pPr>
        <w:jc w:val="center"/>
        <w:rPr>
          <w:rFonts w:ascii="Arial" w:hAnsi="Arial" w:cs="Arial"/>
          <w:sz w:val="36"/>
          <w:szCs w:val="36"/>
        </w:rPr>
      </w:pPr>
      <w:r w:rsidRPr="006D7731">
        <w:rPr>
          <w:rFonts w:ascii="Arial" w:hAnsi="Arial" w:cs="Arial"/>
          <w:sz w:val="36"/>
          <w:szCs w:val="36"/>
        </w:rPr>
        <w:t>MEDIUM TERM FINANCIAL STRATEGY</w:t>
      </w:r>
    </w:p>
    <w:p w14:paraId="1548C391" w14:textId="77777777" w:rsidR="008B37BC" w:rsidRPr="006D7731" w:rsidRDefault="008B37BC" w:rsidP="008B37BC">
      <w:pPr>
        <w:jc w:val="center"/>
        <w:rPr>
          <w:sz w:val="36"/>
          <w:szCs w:val="36"/>
        </w:rPr>
      </w:pPr>
    </w:p>
    <w:p w14:paraId="2383521E" w14:textId="77777777" w:rsidR="008B37BC" w:rsidRPr="006D7731" w:rsidRDefault="008B37BC" w:rsidP="008B37BC">
      <w:pPr>
        <w:jc w:val="center"/>
        <w:rPr>
          <w:rFonts w:ascii="Arial" w:hAnsi="Arial" w:cs="Arial"/>
          <w:sz w:val="36"/>
          <w:szCs w:val="36"/>
        </w:rPr>
      </w:pPr>
      <w:r w:rsidRPr="006D7731">
        <w:rPr>
          <w:rFonts w:ascii="Arial" w:hAnsi="Arial" w:cs="Arial"/>
          <w:sz w:val="36"/>
          <w:szCs w:val="36"/>
        </w:rPr>
        <w:t>INCORPORATING:</w:t>
      </w:r>
    </w:p>
    <w:p w14:paraId="7FF20476" w14:textId="77777777" w:rsidR="008B37BC" w:rsidRPr="006D7731" w:rsidRDefault="008B37BC" w:rsidP="008B37BC">
      <w:pPr>
        <w:jc w:val="center"/>
        <w:rPr>
          <w:rFonts w:ascii="Arial" w:hAnsi="Arial" w:cs="Arial"/>
          <w:sz w:val="36"/>
          <w:szCs w:val="36"/>
        </w:rPr>
      </w:pPr>
    </w:p>
    <w:p w14:paraId="02A23295" w14:textId="77777777" w:rsidR="008B37BC" w:rsidRPr="006D7731" w:rsidRDefault="008B37BC" w:rsidP="008B37BC">
      <w:pPr>
        <w:jc w:val="center"/>
        <w:rPr>
          <w:rFonts w:ascii="Arial" w:hAnsi="Arial" w:cs="Arial"/>
          <w:sz w:val="36"/>
          <w:szCs w:val="36"/>
        </w:rPr>
      </w:pPr>
      <w:r w:rsidRPr="006D7731">
        <w:rPr>
          <w:rFonts w:ascii="Arial" w:hAnsi="Arial" w:cs="Arial"/>
          <w:sz w:val="36"/>
          <w:szCs w:val="36"/>
        </w:rPr>
        <w:t xml:space="preserve">REVENUE BUDGET, CAPITAL PROGRAMME, RESERVES &amp; BALANCES </w:t>
      </w:r>
      <w:proofErr w:type="gramStart"/>
      <w:r w:rsidRPr="006D7731">
        <w:rPr>
          <w:rFonts w:ascii="Arial" w:hAnsi="Arial" w:cs="Arial"/>
          <w:sz w:val="36"/>
          <w:szCs w:val="36"/>
        </w:rPr>
        <w:t>POLICY</w:t>
      </w:r>
      <w:proofErr w:type="gramEnd"/>
      <w:r w:rsidRPr="006D7731">
        <w:rPr>
          <w:rFonts w:ascii="Arial" w:hAnsi="Arial" w:cs="Arial"/>
          <w:sz w:val="36"/>
          <w:szCs w:val="36"/>
        </w:rPr>
        <w:t xml:space="preserve"> AND TREASURY MANAGEMENT STRATEGY</w:t>
      </w:r>
    </w:p>
    <w:p w14:paraId="1DD6697A" w14:textId="42CBC247" w:rsidR="008B37BC" w:rsidRPr="003867D4" w:rsidRDefault="008B37BC" w:rsidP="008B37BC">
      <w:pPr>
        <w:jc w:val="center"/>
        <w:rPr>
          <w:sz w:val="36"/>
          <w:szCs w:val="36"/>
        </w:rPr>
      </w:pPr>
      <w:r w:rsidRPr="006D7731">
        <w:rPr>
          <w:rFonts w:ascii="Arial" w:hAnsi="Arial" w:cs="Arial"/>
          <w:sz w:val="36"/>
          <w:szCs w:val="36"/>
        </w:rPr>
        <w:t>202</w:t>
      </w:r>
      <w:r w:rsidR="00CA11D6">
        <w:rPr>
          <w:rFonts w:ascii="Arial" w:hAnsi="Arial" w:cs="Arial"/>
          <w:sz w:val="36"/>
          <w:szCs w:val="36"/>
        </w:rPr>
        <w:t>3/24</w:t>
      </w:r>
    </w:p>
    <w:p w14:paraId="4599290A" w14:textId="77777777" w:rsidR="008B37BC" w:rsidRPr="003867D4" w:rsidRDefault="008B37BC" w:rsidP="008B37BC">
      <w:pPr>
        <w:jc w:val="center"/>
        <w:rPr>
          <w:sz w:val="36"/>
          <w:szCs w:val="36"/>
        </w:rPr>
      </w:pPr>
    </w:p>
    <w:p w14:paraId="0D7937BF" w14:textId="755668B2" w:rsidR="0005052B" w:rsidRDefault="0005052B" w:rsidP="0005052B">
      <w:pPr>
        <w:pStyle w:val="Heading1"/>
        <w:jc w:val="center"/>
      </w:pPr>
    </w:p>
    <w:p w14:paraId="7E5C5161" w14:textId="77777777" w:rsidR="0005052B" w:rsidRDefault="0005052B" w:rsidP="0005052B">
      <w:pPr>
        <w:pStyle w:val="Heading1"/>
        <w:jc w:val="center"/>
      </w:pPr>
    </w:p>
    <w:p w14:paraId="36AB02E1" w14:textId="77777777" w:rsidR="0005052B" w:rsidRDefault="0005052B" w:rsidP="0005052B">
      <w:pPr>
        <w:pStyle w:val="Heading1"/>
        <w:jc w:val="center"/>
      </w:pPr>
    </w:p>
    <w:p w14:paraId="599A4954" w14:textId="77777777" w:rsidR="0005052B" w:rsidRDefault="0005052B" w:rsidP="0005052B"/>
    <w:p w14:paraId="0EFC0252" w14:textId="77777777" w:rsidR="0005052B" w:rsidRDefault="0005052B" w:rsidP="0005052B"/>
    <w:p w14:paraId="74F1BF5B" w14:textId="77777777" w:rsidR="0005052B" w:rsidRDefault="0005052B" w:rsidP="0005052B"/>
    <w:p w14:paraId="7946EF68" w14:textId="77777777" w:rsidR="0005052B" w:rsidRDefault="0005052B" w:rsidP="0005052B"/>
    <w:p w14:paraId="1D6D0378" w14:textId="77777777" w:rsidR="0005052B" w:rsidRPr="003D3C4C" w:rsidRDefault="0005052B" w:rsidP="003D3C4C">
      <w:pPr>
        <w:jc w:val="center"/>
        <w:rPr>
          <w:rFonts w:ascii="Arial" w:hAnsi="Arial" w:cs="Arial"/>
          <w:sz w:val="36"/>
          <w:szCs w:val="36"/>
        </w:rPr>
      </w:pPr>
    </w:p>
    <w:p w14:paraId="5C8E5D78" w14:textId="77777777" w:rsidR="0005052B" w:rsidRPr="003867D4" w:rsidRDefault="0005052B" w:rsidP="0005052B">
      <w:pPr>
        <w:jc w:val="center"/>
        <w:rPr>
          <w:sz w:val="36"/>
          <w:szCs w:val="36"/>
        </w:rPr>
      </w:pPr>
    </w:p>
    <w:p w14:paraId="449A06F0" w14:textId="77777777" w:rsidR="0005052B" w:rsidRPr="003867D4" w:rsidRDefault="0005052B" w:rsidP="0005052B">
      <w:pPr>
        <w:pStyle w:val="Title"/>
        <w:jc w:val="left"/>
      </w:pPr>
    </w:p>
    <w:p w14:paraId="64090BC3" w14:textId="77777777" w:rsidR="0005052B" w:rsidRPr="003867D4" w:rsidRDefault="0005052B" w:rsidP="0005052B">
      <w:pPr>
        <w:pStyle w:val="Heading1"/>
        <w:jc w:val="center"/>
        <w:rPr>
          <w:rFonts w:ascii="Arial" w:hAnsi="Arial" w:cs="Arial"/>
          <w:sz w:val="20"/>
        </w:rPr>
      </w:pPr>
      <w:r w:rsidRPr="003867D4">
        <w:rPr>
          <w:rFonts w:ascii="Arial" w:hAnsi="Arial" w:cs="Arial"/>
          <w:sz w:val="20"/>
        </w:rPr>
        <w:br w:type="page"/>
      </w:r>
    </w:p>
    <w:p w14:paraId="4A152B3B" w14:textId="77777777" w:rsidR="0005052B" w:rsidRPr="003867D4" w:rsidRDefault="0005052B" w:rsidP="0005052B">
      <w:pPr>
        <w:jc w:val="center"/>
        <w:rPr>
          <w:rFonts w:ascii="Arial" w:hAnsi="Arial" w:cs="Arial"/>
          <w:b/>
          <w:szCs w:val="24"/>
          <w:u w:val="single"/>
        </w:rPr>
      </w:pPr>
      <w:r w:rsidRPr="003867D4">
        <w:rPr>
          <w:rFonts w:ascii="Arial" w:hAnsi="Arial" w:cs="Arial"/>
          <w:b/>
          <w:szCs w:val="24"/>
          <w:u w:val="single"/>
        </w:rPr>
        <w:t>LANCASHIRE COMBINED FIRE AUTHORITY</w:t>
      </w:r>
    </w:p>
    <w:p w14:paraId="292845C9" w14:textId="77777777" w:rsidR="0005052B" w:rsidRPr="003867D4" w:rsidRDefault="0005052B" w:rsidP="0005052B">
      <w:pPr>
        <w:jc w:val="center"/>
        <w:rPr>
          <w:rFonts w:ascii="Arial" w:hAnsi="Arial" w:cs="Arial"/>
          <w:b/>
          <w:szCs w:val="24"/>
          <w:u w:val="single"/>
        </w:rPr>
      </w:pPr>
    </w:p>
    <w:p w14:paraId="7FF7A081" w14:textId="745F1E4E" w:rsidR="00774333" w:rsidRDefault="00774333" w:rsidP="0005052B">
      <w:pPr>
        <w:jc w:val="center"/>
        <w:rPr>
          <w:rFonts w:ascii="Arial" w:hAnsi="Arial" w:cs="Arial"/>
          <w:b/>
          <w:szCs w:val="24"/>
          <w:u w:val="single"/>
        </w:rPr>
      </w:pPr>
      <w:r>
        <w:rPr>
          <w:rFonts w:ascii="Arial" w:hAnsi="Arial" w:cs="Arial"/>
          <w:b/>
          <w:szCs w:val="24"/>
          <w:u w:val="single"/>
        </w:rPr>
        <w:t>MEDIUM TERM FINANCIAL STRATEGY 202</w:t>
      </w:r>
      <w:r w:rsidR="00CA11D6">
        <w:rPr>
          <w:rFonts w:ascii="Arial" w:hAnsi="Arial" w:cs="Arial"/>
          <w:b/>
          <w:szCs w:val="24"/>
          <w:u w:val="single"/>
        </w:rPr>
        <w:t>3/24</w:t>
      </w:r>
      <w:r>
        <w:rPr>
          <w:rFonts w:ascii="Arial" w:hAnsi="Arial" w:cs="Arial"/>
          <w:b/>
          <w:szCs w:val="24"/>
          <w:u w:val="single"/>
        </w:rPr>
        <w:t>-202</w:t>
      </w:r>
      <w:r w:rsidR="00CA11D6">
        <w:rPr>
          <w:rFonts w:ascii="Arial" w:hAnsi="Arial" w:cs="Arial"/>
          <w:b/>
          <w:szCs w:val="24"/>
          <w:u w:val="single"/>
        </w:rPr>
        <w:t>7/28</w:t>
      </w:r>
    </w:p>
    <w:p w14:paraId="5D775924" w14:textId="77777777" w:rsidR="0005052B" w:rsidRPr="003867D4" w:rsidRDefault="0005052B" w:rsidP="0005052B">
      <w:pPr>
        <w:jc w:val="both"/>
        <w:rPr>
          <w:rFonts w:ascii="Arial" w:hAnsi="Arial" w:cs="Arial"/>
          <w:b/>
          <w:szCs w:val="24"/>
          <w:u w:val="single"/>
        </w:rPr>
      </w:pPr>
    </w:p>
    <w:p w14:paraId="46A3A094" w14:textId="77777777" w:rsidR="0005052B" w:rsidRPr="003867D4" w:rsidRDefault="0005052B" w:rsidP="0005052B">
      <w:pPr>
        <w:jc w:val="both"/>
        <w:rPr>
          <w:rFonts w:ascii="Arial" w:hAnsi="Arial" w:cs="Arial"/>
          <w:b/>
          <w:szCs w:val="24"/>
          <w:u w:val="single"/>
        </w:rPr>
      </w:pPr>
    </w:p>
    <w:p w14:paraId="0E543A31" w14:textId="77777777" w:rsidR="0005052B" w:rsidRPr="003867D4" w:rsidRDefault="0005052B" w:rsidP="0005052B">
      <w:pPr>
        <w:jc w:val="both"/>
        <w:rPr>
          <w:rFonts w:ascii="Arial" w:hAnsi="Arial" w:cs="Arial"/>
          <w:b/>
          <w:szCs w:val="24"/>
          <w:u w:val="single"/>
        </w:rPr>
      </w:pPr>
      <w:r w:rsidRPr="003867D4">
        <w:rPr>
          <w:rFonts w:ascii="Arial" w:hAnsi="Arial" w:cs="Arial"/>
          <w:b/>
          <w:szCs w:val="24"/>
          <w:u w:val="single"/>
        </w:rPr>
        <w:t>TABLE OF CONTENTS</w:t>
      </w:r>
    </w:p>
    <w:p w14:paraId="504916E8" w14:textId="77777777" w:rsidR="0005052B" w:rsidRPr="003867D4" w:rsidRDefault="0005052B" w:rsidP="0005052B">
      <w:pPr>
        <w:jc w:val="both"/>
        <w:rPr>
          <w:rFonts w:ascii="Arial" w:hAnsi="Arial" w:cs="Arial"/>
          <w:b/>
          <w:szCs w:val="24"/>
          <w:u w:val="single"/>
        </w:rPr>
      </w:pPr>
    </w:p>
    <w:p w14:paraId="1F00A976" w14:textId="77777777" w:rsidR="0005052B" w:rsidRPr="003867D4" w:rsidRDefault="0005052B" w:rsidP="0005052B">
      <w:pPr>
        <w:jc w:val="both"/>
        <w:rPr>
          <w:rFonts w:ascii="Arial" w:hAnsi="Arial" w:cs="Arial"/>
          <w:b/>
          <w:szCs w:val="24"/>
          <w:u w:val="single"/>
        </w:rPr>
      </w:pPr>
    </w:p>
    <w:p w14:paraId="7771CBE9" w14:textId="77777777" w:rsidR="0005052B" w:rsidRPr="003867D4" w:rsidRDefault="0005052B" w:rsidP="0005052B">
      <w:pPr>
        <w:jc w:val="both"/>
        <w:rPr>
          <w:rFonts w:ascii="Arial" w:hAnsi="Arial" w:cs="Arial"/>
          <w:b/>
          <w:szCs w:val="24"/>
          <w:u w:val="single"/>
        </w:rPr>
      </w:pPr>
    </w:p>
    <w:tbl>
      <w:tblPr>
        <w:tblW w:w="9399" w:type="dxa"/>
        <w:tblLayout w:type="fixed"/>
        <w:tblLook w:val="0000" w:firstRow="0" w:lastRow="0" w:firstColumn="0" w:lastColumn="0" w:noHBand="0" w:noVBand="0"/>
      </w:tblPr>
      <w:tblGrid>
        <w:gridCol w:w="1668"/>
        <w:gridCol w:w="6237"/>
        <w:gridCol w:w="1494"/>
      </w:tblGrid>
      <w:tr w:rsidR="0005052B" w:rsidRPr="003867D4" w14:paraId="450630F1" w14:textId="77777777" w:rsidTr="00543AAF">
        <w:tc>
          <w:tcPr>
            <w:tcW w:w="1668" w:type="dxa"/>
          </w:tcPr>
          <w:p w14:paraId="63A8A4C0" w14:textId="77777777" w:rsidR="0005052B" w:rsidRPr="003867D4" w:rsidRDefault="0005052B" w:rsidP="0005052B">
            <w:pPr>
              <w:jc w:val="both"/>
              <w:rPr>
                <w:rFonts w:ascii="Arial" w:hAnsi="Arial" w:cs="Arial"/>
                <w:szCs w:val="24"/>
              </w:rPr>
            </w:pPr>
          </w:p>
        </w:tc>
        <w:tc>
          <w:tcPr>
            <w:tcW w:w="6237" w:type="dxa"/>
          </w:tcPr>
          <w:p w14:paraId="57C5445F" w14:textId="77777777" w:rsidR="0005052B" w:rsidRPr="003867D4" w:rsidRDefault="0005052B" w:rsidP="0005052B">
            <w:pPr>
              <w:jc w:val="both"/>
              <w:rPr>
                <w:rFonts w:ascii="Arial" w:hAnsi="Arial" w:cs="Arial"/>
                <w:szCs w:val="24"/>
              </w:rPr>
            </w:pPr>
          </w:p>
        </w:tc>
        <w:tc>
          <w:tcPr>
            <w:tcW w:w="1494" w:type="dxa"/>
          </w:tcPr>
          <w:p w14:paraId="45DCDC8F" w14:textId="02C589D7" w:rsidR="0005052B" w:rsidRPr="003867D4" w:rsidRDefault="0005052B" w:rsidP="0005052B">
            <w:pPr>
              <w:jc w:val="center"/>
              <w:rPr>
                <w:rFonts w:ascii="Arial" w:hAnsi="Arial" w:cs="Arial"/>
                <w:szCs w:val="24"/>
              </w:rPr>
            </w:pPr>
            <w:r w:rsidRPr="003867D4">
              <w:rPr>
                <w:rFonts w:ascii="Arial" w:hAnsi="Arial" w:cs="Arial"/>
                <w:szCs w:val="24"/>
              </w:rPr>
              <w:t>PAGE</w:t>
            </w:r>
            <w:r w:rsidR="00BF6550">
              <w:rPr>
                <w:rFonts w:ascii="Arial" w:hAnsi="Arial" w:cs="Arial"/>
                <w:szCs w:val="24"/>
              </w:rPr>
              <w:t>S</w:t>
            </w:r>
          </w:p>
        </w:tc>
      </w:tr>
      <w:tr w:rsidR="0005052B" w:rsidRPr="003867D4" w14:paraId="10405092" w14:textId="77777777" w:rsidTr="00543AAF">
        <w:tc>
          <w:tcPr>
            <w:tcW w:w="1668" w:type="dxa"/>
          </w:tcPr>
          <w:p w14:paraId="199062F9" w14:textId="77777777" w:rsidR="0005052B" w:rsidRPr="003867D4" w:rsidRDefault="0005052B" w:rsidP="0005052B">
            <w:pPr>
              <w:jc w:val="both"/>
              <w:rPr>
                <w:rFonts w:ascii="Arial" w:hAnsi="Arial" w:cs="Arial"/>
                <w:szCs w:val="24"/>
              </w:rPr>
            </w:pPr>
            <w:r w:rsidRPr="003867D4">
              <w:rPr>
                <w:rFonts w:ascii="Arial" w:hAnsi="Arial" w:cs="Arial"/>
                <w:szCs w:val="24"/>
              </w:rPr>
              <w:t>SECTION 1</w:t>
            </w:r>
          </w:p>
          <w:p w14:paraId="5331A0A1" w14:textId="77777777" w:rsidR="0005052B" w:rsidRPr="003867D4" w:rsidRDefault="0005052B" w:rsidP="0005052B">
            <w:pPr>
              <w:jc w:val="both"/>
              <w:rPr>
                <w:rFonts w:ascii="Arial" w:hAnsi="Arial" w:cs="Arial"/>
                <w:szCs w:val="24"/>
              </w:rPr>
            </w:pPr>
          </w:p>
        </w:tc>
        <w:tc>
          <w:tcPr>
            <w:tcW w:w="6237" w:type="dxa"/>
          </w:tcPr>
          <w:p w14:paraId="31EC26D7" w14:textId="77777777" w:rsidR="0005052B" w:rsidRPr="003867D4" w:rsidRDefault="00C47520" w:rsidP="0005052B">
            <w:pPr>
              <w:jc w:val="both"/>
              <w:rPr>
                <w:rFonts w:ascii="Arial" w:hAnsi="Arial" w:cs="Arial"/>
                <w:szCs w:val="24"/>
              </w:rPr>
            </w:pPr>
            <w:r w:rsidRPr="003867D4">
              <w:rPr>
                <w:rFonts w:ascii="Arial" w:hAnsi="Arial" w:cs="Arial"/>
                <w:szCs w:val="24"/>
              </w:rPr>
              <w:t>EXECUTIVE SUMMARY</w:t>
            </w:r>
          </w:p>
        </w:tc>
        <w:tc>
          <w:tcPr>
            <w:tcW w:w="1494" w:type="dxa"/>
          </w:tcPr>
          <w:p w14:paraId="4B9AE497" w14:textId="619C5E65" w:rsidR="0005052B" w:rsidRPr="000214EF" w:rsidRDefault="0005052B" w:rsidP="0005052B">
            <w:pPr>
              <w:jc w:val="center"/>
              <w:rPr>
                <w:rFonts w:ascii="Arial" w:hAnsi="Arial" w:cs="Arial"/>
                <w:szCs w:val="24"/>
              </w:rPr>
            </w:pPr>
            <w:r w:rsidRPr="000214EF">
              <w:rPr>
                <w:rFonts w:ascii="Arial" w:hAnsi="Arial" w:cs="Arial"/>
                <w:szCs w:val="24"/>
              </w:rPr>
              <w:t>1</w:t>
            </w:r>
            <w:r w:rsidR="00BF6550">
              <w:rPr>
                <w:rFonts w:ascii="Arial" w:hAnsi="Arial" w:cs="Arial"/>
                <w:szCs w:val="24"/>
              </w:rPr>
              <w:t>-2</w:t>
            </w:r>
          </w:p>
        </w:tc>
      </w:tr>
      <w:tr w:rsidR="00C47520" w:rsidRPr="003867D4" w14:paraId="63A81074" w14:textId="77777777" w:rsidTr="00543AAF">
        <w:tc>
          <w:tcPr>
            <w:tcW w:w="1668" w:type="dxa"/>
          </w:tcPr>
          <w:p w14:paraId="0E5FB11B" w14:textId="77777777" w:rsidR="00C47520" w:rsidRPr="003867D4" w:rsidRDefault="00C47520" w:rsidP="007F0FAF">
            <w:pPr>
              <w:jc w:val="both"/>
              <w:rPr>
                <w:rFonts w:ascii="Arial" w:hAnsi="Arial" w:cs="Arial"/>
                <w:szCs w:val="24"/>
              </w:rPr>
            </w:pPr>
            <w:r w:rsidRPr="003867D4">
              <w:rPr>
                <w:rFonts w:ascii="Arial" w:hAnsi="Arial" w:cs="Arial"/>
                <w:szCs w:val="24"/>
              </w:rPr>
              <w:t>SECTION 2</w:t>
            </w:r>
          </w:p>
          <w:p w14:paraId="081A17E7" w14:textId="77777777" w:rsidR="00C47520" w:rsidRPr="003867D4" w:rsidRDefault="00C47520" w:rsidP="007F0FAF">
            <w:pPr>
              <w:jc w:val="both"/>
              <w:rPr>
                <w:rFonts w:ascii="Arial" w:hAnsi="Arial" w:cs="Arial"/>
                <w:szCs w:val="24"/>
              </w:rPr>
            </w:pPr>
          </w:p>
        </w:tc>
        <w:tc>
          <w:tcPr>
            <w:tcW w:w="6237" w:type="dxa"/>
          </w:tcPr>
          <w:p w14:paraId="6C13AA25" w14:textId="77777777" w:rsidR="00C47520" w:rsidRPr="003867D4" w:rsidRDefault="00C47520" w:rsidP="00C200D6">
            <w:pPr>
              <w:jc w:val="both"/>
              <w:rPr>
                <w:rFonts w:ascii="Arial" w:hAnsi="Arial" w:cs="Arial"/>
                <w:szCs w:val="24"/>
              </w:rPr>
            </w:pPr>
            <w:r w:rsidRPr="003867D4">
              <w:rPr>
                <w:rFonts w:ascii="Arial" w:hAnsi="Arial" w:cs="Arial"/>
                <w:szCs w:val="24"/>
              </w:rPr>
              <w:t>REVENUE BUDGET</w:t>
            </w:r>
          </w:p>
        </w:tc>
        <w:tc>
          <w:tcPr>
            <w:tcW w:w="1494" w:type="dxa"/>
          </w:tcPr>
          <w:p w14:paraId="4973343E" w14:textId="458EAD90" w:rsidR="00C47520" w:rsidRPr="000214EF" w:rsidRDefault="00C47520" w:rsidP="0005052B">
            <w:pPr>
              <w:jc w:val="center"/>
              <w:rPr>
                <w:rFonts w:ascii="Arial" w:hAnsi="Arial" w:cs="Arial"/>
                <w:szCs w:val="24"/>
              </w:rPr>
            </w:pPr>
            <w:r w:rsidRPr="000214EF">
              <w:rPr>
                <w:rFonts w:ascii="Arial" w:hAnsi="Arial" w:cs="Arial"/>
                <w:szCs w:val="24"/>
              </w:rPr>
              <w:t>3</w:t>
            </w:r>
            <w:r w:rsidR="00BF6550">
              <w:rPr>
                <w:rFonts w:ascii="Arial" w:hAnsi="Arial" w:cs="Arial"/>
                <w:szCs w:val="24"/>
              </w:rPr>
              <w:t>-16</w:t>
            </w:r>
          </w:p>
        </w:tc>
      </w:tr>
      <w:tr w:rsidR="0005052B" w:rsidRPr="003867D4" w14:paraId="5D6A38FF" w14:textId="77777777" w:rsidTr="00543AAF">
        <w:tc>
          <w:tcPr>
            <w:tcW w:w="1668" w:type="dxa"/>
          </w:tcPr>
          <w:p w14:paraId="418C1B7D" w14:textId="77777777" w:rsidR="0005052B" w:rsidRPr="003867D4" w:rsidRDefault="0005052B" w:rsidP="0005052B">
            <w:pPr>
              <w:jc w:val="both"/>
              <w:rPr>
                <w:rFonts w:ascii="Arial" w:hAnsi="Arial" w:cs="Arial"/>
                <w:szCs w:val="24"/>
              </w:rPr>
            </w:pPr>
            <w:r w:rsidRPr="003867D4">
              <w:rPr>
                <w:rFonts w:ascii="Arial" w:hAnsi="Arial" w:cs="Arial"/>
                <w:szCs w:val="24"/>
              </w:rPr>
              <w:t>SECTION</w:t>
            </w:r>
            <w:r w:rsidR="00C47520" w:rsidRPr="003867D4">
              <w:rPr>
                <w:rFonts w:ascii="Arial" w:hAnsi="Arial" w:cs="Arial"/>
                <w:szCs w:val="24"/>
              </w:rPr>
              <w:t xml:space="preserve"> 3</w:t>
            </w:r>
          </w:p>
          <w:p w14:paraId="37077316" w14:textId="77777777" w:rsidR="0005052B" w:rsidRPr="003867D4" w:rsidRDefault="0005052B" w:rsidP="0005052B">
            <w:pPr>
              <w:jc w:val="both"/>
              <w:rPr>
                <w:rFonts w:ascii="Arial" w:hAnsi="Arial" w:cs="Arial"/>
                <w:szCs w:val="24"/>
              </w:rPr>
            </w:pPr>
          </w:p>
        </w:tc>
        <w:tc>
          <w:tcPr>
            <w:tcW w:w="6237" w:type="dxa"/>
          </w:tcPr>
          <w:p w14:paraId="33D6E351" w14:textId="77777777" w:rsidR="0005052B" w:rsidRPr="003867D4" w:rsidRDefault="0005052B" w:rsidP="00C200D6">
            <w:pPr>
              <w:jc w:val="both"/>
              <w:rPr>
                <w:rFonts w:ascii="Arial" w:hAnsi="Arial" w:cs="Arial"/>
                <w:szCs w:val="24"/>
              </w:rPr>
            </w:pPr>
            <w:r w:rsidRPr="003867D4">
              <w:rPr>
                <w:rFonts w:ascii="Arial" w:hAnsi="Arial" w:cs="Arial"/>
                <w:szCs w:val="24"/>
              </w:rPr>
              <w:t>CAPITAL BUDGET</w:t>
            </w:r>
          </w:p>
        </w:tc>
        <w:tc>
          <w:tcPr>
            <w:tcW w:w="1494" w:type="dxa"/>
          </w:tcPr>
          <w:p w14:paraId="55DB6979" w14:textId="085D23FE" w:rsidR="0005052B" w:rsidRPr="000214EF" w:rsidRDefault="000214EF" w:rsidP="00B36E3B">
            <w:pPr>
              <w:jc w:val="center"/>
              <w:rPr>
                <w:rFonts w:ascii="Arial" w:hAnsi="Arial" w:cs="Arial"/>
                <w:szCs w:val="24"/>
              </w:rPr>
            </w:pPr>
            <w:r w:rsidRPr="000214EF">
              <w:rPr>
                <w:rFonts w:ascii="Arial" w:hAnsi="Arial" w:cs="Arial"/>
                <w:szCs w:val="24"/>
              </w:rPr>
              <w:t>17</w:t>
            </w:r>
            <w:r w:rsidR="00BF6550">
              <w:rPr>
                <w:rFonts w:ascii="Arial" w:hAnsi="Arial" w:cs="Arial"/>
                <w:szCs w:val="24"/>
              </w:rPr>
              <w:t>-26</w:t>
            </w:r>
          </w:p>
        </w:tc>
      </w:tr>
      <w:tr w:rsidR="0005052B" w:rsidRPr="003867D4" w14:paraId="6B006E0E" w14:textId="77777777" w:rsidTr="00543AAF">
        <w:tc>
          <w:tcPr>
            <w:tcW w:w="1668" w:type="dxa"/>
          </w:tcPr>
          <w:p w14:paraId="4F197A02" w14:textId="77777777" w:rsidR="0005052B" w:rsidRPr="003867D4" w:rsidRDefault="00C47520" w:rsidP="0005052B">
            <w:pPr>
              <w:jc w:val="both"/>
              <w:rPr>
                <w:rFonts w:ascii="Arial" w:hAnsi="Arial" w:cs="Arial"/>
                <w:szCs w:val="24"/>
              </w:rPr>
            </w:pPr>
            <w:r w:rsidRPr="003867D4">
              <w:rPr>
                <w:rFonts w:ascii="Arial" w:hAnsi="Arial" w:cs="Arial"/>
                <w:szCs w:val="24"/>
              </w:rPr>
              <w:t xml:space="preserve">SECTION </w:t>
            </w:r>
            <w:r w:rsidR="0086734E" w:rsidRPr="003867D4">
              <w:rPr>
                <w:rFonts w:ascii="Arial" w:hAnsi="Arial" w:cs="Arial"/>
                <w:szCs w:val="24"/>
              </w:rPr>
              <w:t>4</w:t>
            </w:r>
          </w:p>
          <w:p w14:paraId="1F6A83BB" w14:textId="77777777" w:rsidR="0005052B" w:rsidRPr="003867D4" w:rsidRDefault="0005052B" w:rsidP="0005052B">
            <w:pPr>
              <w:jc w:val="both"/>
              <w:rPr>
                <w:rFonts w:ascii="Arial" w:hAnsi="Arial" w:cs="Arial"/>
                <w:szCs w:val="24"/>
              </w:rPr>
            </w:pPr>
          </w:p>
        </w:tc>
        <w:tc>
          <w:tcPr>
            <w:tcW w:w="6237" w:type="dxa"/>
          </w:tcPr>
          <w:p w14:paraId="544C7114" w14:textId="77777777" w:rsidR="0005052B" w:rsidRPr="003867D4" w:rsidRDefault="0005052B" w:rsidP="0005052B">
            <w:pPr>
              <w:jc w:val="both"/>
              <w:rPr>
                <w:rFonts w:ascii="Arial" w:hAnsi="Arial" w:cs="Arial"/>
                <w:szCs w:val="24"/>
              </w:rPr>
            </w:pPr>
            <w:r w:rsidRPr="003867D4">
              <w:rPr>
                <w:rFonts w:ascii="Arial" w:hAnsi="Arial" w:cs="Arial"/>
                <w:szCs w:val="24"/>
              </w:rPr>
              <w:t>RESERVES AND BALANCES</w:t>
            </w:r>
          </w:p>
          <w:p w14:paraId="139AE56F" w14:textId="77777777" w:rsidR="0005052B" w:rsidRPr="003867D4" w:rsidRDefault="0005052B" w:rsidP="0005052B">
            <w:pPr>
              <w:jc w:val="both"/>
              <w:rPr>
                <w:rFonts w:ascii="Arial" w:hAnsi="Arial" w:cs="Arial"/>
                <w:szCs w:val="24"/>
              </w:rPr>
            </w:pPr>
          </w:p>
        </w:tc>
        <w:tc>
          <w:tcPr>
            <w:tcW w:w="1494" w:type="dxa"/>
          </w:tcPr>
          <w:p w14:paraId="38608CA5" w14:textId="7103A924" w:rsidR="0005052B" w:rsidRPr="000214EF" w:rsidRDefault="000214EF" w:rsidP="00B36E3B">
            <w:pPr>
              <w:jc w:val="center"/>
              <w:rPr>
                <w:rFonts w:ascii="Arial" w:hAnsi="Arial" w:cs="Arial"/>
                <w:szCs w:val="24"/>
              </w:rPr>
            </w:pPr>
            <w:r w:rsidRPr="000214EF">
              <w:rPr>
                <w:rFonts w:ascii="Arial" w:hAnsi="Arial" w:cs="Arial"/>
                <w:szCs w:val="24"/>
              </w:rPr>
              <w:t>27</w:t>
            </w:r>
            <w:r w:rsidR="00BF6550">
              <w:rPr>
                <w:rFonts w:ascii="Arial" w:hAnsi="Arial" w:cs="Arial"/>
                <w:szCs w:val="24"/>
              </w:rPr>
              <w:t>-35</w:t>
            </w:r>
          </w:p>
        </w:tc>
      </w:tr>
      <w:tr w:rsidR="0005052B" w:rsidRPr="003867D4" w14:paraId="645EE676" w14:textId="77777777" w:rsidTr="00543AAF">
        <w:tc>
          <w:tcPr>
            <w:tcW w:w="1668" w:type="dxa"/>
          </w:tcPr>
          <w:p w14:paraId="0A8B004E" w14:textId="77777777" w:rsidR="0005052B" w:rsidRPr="003867D4" w:rsidRDefault="00C47520" w:rsidP="0005052B">
            <w:pPr>
              <w:jc w:val="both"/>
              <w:rPr>
                <w:rFonts w:ascii="Arial" w:hAnsi="Arial" w:cs="Arial"/>
                <w:szCs w:val="24"/>
              </w:rPr>
            </w:pPr>
            <w:r w:rsidRPr="003867D4">
              <w:rPr>
                <w:rFonts w:ascii="Arial" w:hAnsi="Arial" w:cs="Arial"/>
                <w:szCs w:val="24"/>
              </w:rPr>
              <w:t xml:space="preserve">SECTION </w:t>
            </w:r>
            <w:r w:rsidR="0096667D">
              <w:rPr>
                <w:rFonts w:ascii="Arial" w:hAnsi="Arial" w:cs="Arial"/>
                <w:szCs w:val="24"/>
              </w:rPr>
              <w:t>5</w:t>
            </w:r>
          </w:p>
          <w:p w14:paraId="1197757F" w14:textId="77777777" w:rsidR="0005052B" w:rsidRPr="003867D4" w:rsidRDefault="0005052B" w:rsidP="0005052B">
            <w:pPr>
              <w:jc w:val="both"/>
              <w:rPr>
                <w:rFonts w:ascii="Arial" w:hAnsi="Arial" w:cs="Arial"/>
                <w:szCs w:val="24"/>
              </w:rPr>
            </w:pPr>
          </w:p>
        </w:tc>
        <w:tc>
          <w:tcPr>
            <w:tcW w:w="6237" w:type="dxa"/>
          </w:tcPr>
          <w:p w14:paraId="7A8355B6" w14:textId="77777777" w:rsidR="0005052B" w:rsidRPr="003867D4" w:rsidRDefault="0005052B" w:rsidP="0005052B">
            <w:pPr>
              <w:jc w:val="both"/>
              <w:rPr>
                <w:rFonts w:ascii="Arial" w:hAnsi="Arial" w:cs="Arial"/>
                <w:szCs w:val="24"/>
              </w:rPr>
            </w:pPr>
            <w:r w:rsidRPr="003867D4">
              <w:rPr>
                <w:rFonts w:ascii="Arial" w:hAnsi="Arial" w:cs="Arial"/>
                <w:szCs w:val="24"/>
              </w:rPr>
              <w:t>TREASURY MANAGEMENT</w:t>
            </w:r>
          </w:p>
          <w:p w14:paraId="1B7C1963" w14:textId="77777777" w:rsidR="0005052B" w:rsidRPr="003867D4" w:rsidRDefault="0005052B" w:rsidP="0005052B">
            <w:pPr>
              <w:jc w:val="both"/>
              <w:rPr>
                <w:rFonts w:ascii="Arial" w:hAnsi="Arial" w:cs="Arial"/>
                <w:szCs w:val="24"/>
              </w:rPr>
            </w:pPr>
          </w:p>
        </w:tc>
        <w:tc>
          <w:tcPr>
            <w:tcW w:w="1494" w:type="dxa"/>
          </w:tcPr>
          <w:p w14:paraId="02E69E98" w14:textId="577B54A7" w:rsidR="0005052B" w:rsidRPr="000214EF" w:rsidRDefault="000214EF">
            <w:pPr>
              <w:jc w:val="center"/>
              <w:rPr>
                <w:rFonts w:ascii="Arial" w:hAnsi="Arial" w:cs="Arial"/>
                <w:szCs w:val="24"/>
              </w:rPr>
            </w:pPr>
            <w:r w:rsidRPr="000214EF">
              <w:rPr>
                <w:rFonts w:ascii="Arial" w:hAnsi="Arial" w:cs="Arial"/>
                <w:szCs w:val="24"/>
              </w:rPr>
              <w:t>36</w:t>
            </w:r>
            <w:r w:rsidR="00BF6550">
              <w:rPr>
                <w:rFonts w:ascii="Arial" w:hAnsi="Arial" w:cs="Arial"/>
                <w:szCs w:val="24"/>
              </w:rPr>
              <w:t>-46</w:t>
            </w:r>
          </w:p>
        </w:tc>
      </w:tr>
    </w:tbl>
    <w:p w14:paraId="27BC3462" w14:textId="77777777" w:rsidR="006878ED" w:rsidRPr="003867D4" w:rsidRDefault="006878ED"/>
    <w:p w14:paraId="7A325336" w14:textId="77777777" w:rsidR="006878ED" w:rsidRPr="003867D4" w:rsidRDefault="006878ED" w:rsidP="006878ED">
      <w:pPr>
        <w:jc w:val="both"/>
        <w:rPr>
          <w:rFonts w:ascii="Arial" w:hAnsi="Arial" w:cs="Arial"/>
          <w:b/>
          <w:sz w:val="22"/>
          <w:szCs w:val="22"/>
          <w:u w:val="single"/>
        </w:rPr>
        <w:sectPr w:rsidR="006878ED" w:rsidRPr="003867D4" w:rsidSect="008E6858">
          <w:headerReference w:type="even" r:id="rId9"/>
          <w:headerReference w:type="default" r:id="rId10"/>
          <w:footerReference w:type="even" r:id="rId11"/>
          <w:footerReference w:type="default" r:id="rId12"/>
          <w:headerReference w:type="first" r:id="rId13"/>
          <w:footerReference w:type="first" r:id="rId14"/>
          <w:type w:val="continuous"/>
          <w:pgSz w:w="11907" w:h="16834" w:code="9"/>
          <w:pgMar w:top="1440" w:right="1080" w:bottom="1440" w:left="1080" w:header="720" w:footer="720" w:gutter="0"/>
          <w:paperSrc w:first="15" w:other="15"/>
          <w:cols w:space="720"/>
          <w:titlePg/>
          <w:docGrid w:linePitch="326"/>
        </w:sectPr>
      </w:pPr>
    </w:p>
    <w:p w14:paraId="77AF46FC" w14:textId="77777777" w:rsidR="00E022F8" w:rsidRPr="00806B7F" w:rsidRDefault="00E022F8" w:rsidP="00E022F8">
      <w:pPr>
        <w:jc w:val="both"/>
        <w:rPr>
          <w:rFonts w:ascii="Arial" w:hAnsi="Arial" w:cs="Arial"/>
          <w:b/>
          <w:sz w:val="20"/>
          <w:u w:val="single"/>
        </w:rPr>
      </w:pPr>
      <w:r w:rsidRPr="00806B7F">
        <w:rPr>
          <w:rFonts w:ascii="Arial" w:hAnsi="Arial" w:cs="Arial"/>
          <w:b/>
          <w:sz w:val="20"/>
          <w:u w:val="single"/>
        </w:rPr>
        <w:t>SECTION 1</w:t>
      </w:r>
    </w:p>
    <w:p w14:paraId="1A4321DE" w14:textId="77777777" w:rsidR="00E022F8" w:rsidRPr="00806B7F" w:rsidRDefault="00E022F8" w:rsidP="00E022F8">
      <w:pPr>
        <w:jc w:val="both"/>
        <w:rPr>
          <w:rFonts w:ascii="Arial" w:hAnsi="Arial" w:cs="Arial"/>
          <w:b/>
          <w:sz w:val="20"/>
          <w:u w:val="single"/>
        </w:rPr>
      </w:pPr>
    </w:p>
    <w:p w14:paraId="1C76FFEB" w14:textId="77777777" w:rsidR="00E022F8" w:rsidRPr="00806B7F" w:rsidRDefault="00E022F8" w:rsidP="00E022F8">
      <w:pPr>
        <w:jc w:val="both"/>
        <w:rPr>
          <w:rFonts w:ascii="Arial" w:hAnsi="Arial" w:cs="Arial"/>
          <w:b/>
          <w:sz w:val="20"/>
          <w:u w:val="single"/>
        </w:rPr>
      </w:pPr>
      <w:r w:rsidRPr="00806B7F">
        <w:rPr>
          <w:rFonts w:ascii="Arial" w:hAnsi="Arial" w:cs="Arial"/>
          <w:b/>
          <w:sz w:val="20"/>
          <w:u w:val="single"/>
        </w:rPr>
        <w:t xml:space="preserve">EXECUTIVE SUMMARY </w:t>
      </w:r>
    </w:p>
    <w:p w14:paraId="1C448BAD" w14:textId="77777777" w:rsidR="00E022F8" w:rsidRPr="00806B7F" w:rsidRDefault="00E022F8" w:rsidP="00E022F8">
      <w:pPr>
        <w:jc w:val="both"/>
        <w:rPr>
          <w:rFonts w:ascii="Arial" w:hAnsi="Arial" w:cs="Arial"/>
          <w:sz w:val="20"/>
        </w:rPr>
      </w:pPr>
    </w:p>
    <w:p w14:paraId="0CAF3342" w14:textId="571A9830" w:rsidR="00E022F8" w:rsidRPr="00806B7F" w:rsidRDefault="00E022F8" w:rsidP="00E022F8">
      <w:pPr>
        <w:jc w:val="both"/>
        <w:rPr>
          <w:rFonts w:ascii="Arial" w:hAnsi="Arial" w:cs="Arial"/>
          <w:sz w:val="20"/>
        </w:rPr>
      </w:pPr>
      <w:r w:rsidRPr="00806B7F">
        <w:rPr>
          <w:rFonts w:ascii="Arial" w:hAnsi="Arial" w:cs="Arial"/>
          <w:sz w:val="20"/>
        </w:rPr>
        <w:t xml:space="preserve">The booklet sets out the agreed revenue and capital budget set by the Combined Fire Authority at its meeting </w:t>
      </w:r>
      <w:r w:rsidR="00326E02" w:rsidRPr="00806B7F">
        <w:rPr>
          <w:rFonts w:ascii="Arial" w:hAnsi="Arial" w:cs="Arial"/>
          <w:sz w:val="20"/>
        </w:rPr>
        <w:t>i</w:t>
      </w:r>
      <w:r w:rsidRPr="00806B7F">
        <w:rPr>
          <w:rFonts w:ascii="Arial" w:hAnsi="Arial" w:cs="Arial"/>
          <w:sz w:val="20"/>
        </w:rPr>
        <w:t xml:space="preserve">n February </w:t>
      </w:r>
      <w:r w:rsidR="00226855" w:rsidRPr="00806B7F">
        <w:rPr>
          <w:rFonts w:ascii="Arial" w:hAnsi="Arial" w:cs="Arial"/>
          <w:sz w:val="20"/>
        </w:rPr>
        <w:t>20</w:t>
      </w:r>
      <w:r w:rsidR="0086591F" w:rsidRPr="00806B7F">
        <w:rPr>
          <w:rFonts w:ascii="Arial" w:hAnsi="Arial" w:cs="Arial"/>
          <w:sz w:val="20"/>
        </w:rPr>
        <w:t>2</w:t>
      </w:r>
      <w:r w:rsidR="00CA11D6" w:rsidRPr="00806B7F">
        <w:rPr>
          <w:rFonts w:ascii="Arial" w:hAnsi="Arial" w:cs="Arial"/>
          <w:sz w:val="20"/>
        </w:rPr>
        <w:t>3</w:t>
      </w:r>
      <w:r w:rsidRPr="00806B7F">
        <w:rPr>
          <w:rFonts w:ascii="Arial" w:hAnsi="Arial" w:cs="Arial"/>
          <w:sz w:val="20"/>
        </w:rPr>
        <w:t>.</w:t>
      </w:r>
    </w:p>
    <w:p w14:paraId="384E226D" w14:textId="77777777" w:rsidR="00E022F8" w:rsidRPr="00806B7F" w:rsidRDefault="00E022F8" w:rsidP="00E022F8">
      <w:pPr>
        <w:jc w:val="both"/>
        <w:rPr>
          <w:rFonts w:ascii="Arial" w:hAnsi="Arial" w:cs="Arial"/>
          <w:sz w:val="20"/>
        </w:rPr>
      </w:pPr>
    </w:p>
    <w:p w14:paraId="288B72F6" w14:textId="77777777" w:rsidR="00E022F8" w:rsidRPr="00806B7F" w:rsidRDefault="00E022F8" w:rsidP="00E022F8">
      <w:pPr>
        <w:tabs>
          <w:tab w:val="left" w:pos="0"/>
        </w:tabs>
        <w:jc w:val="both"/>
        <w:rPr>
          <w:rFonts w:ascii="Arial" w:hAnsi="Arial" w:cs="Arial"/>
          <w:sz w:val="20"/>
        </w:rPr>
      </w:pPr>
      <w:r w:rsidRPr="00806B7F">
        <w:rPr>
          <w:rFonts w:ascii="Arial" w:hAnsi="Arial" w:cs="Arial"/>
          <w:sz w:val="20"/>
        </w:rPr>
        <w:t xml:space="preserve">The annual budget is </w:t>
      </w:r>
      <w:proofErr w:type="gramStart"/>
      <w:r w:rsidRPr="00806B7F">
        <w:rPr>
          <w:rFonts w:ascii="Arial" w:hAnsi="Arial" w:cs="Arial"/>
          <w:sz w:val="20"/>
        </w:rPr>
        <w:t>the means by which</w:t>
      </w:r>
      <w:proofErr w:type="gramEnd"/>
      <w:r w:rsidRPr="00806B7F">
        <w:rPr>
          <w:rFonts w:ascii="Arial" w:hAnsi="Arial" w:cs="Arial"/>
          <w:sz w:val="20"/>
        </w:rPr>
        <w:t xml:space="preserve"> the Authority expresses, in financial terms, its plans for service provision during the forthcoming year.  </w:t>
      </w:r>
    </w:p>
    <w:p w14:paraId="08C60629" w14:textId="77777777" w:rsidR="00E022F8" w:rsidRPr="00806B7F" w:rsidRDefault="00E022F8" w:rsidP="00E022F8">
      <w:pPr>
        <w:tabs>
          <w:tab w:val="left" w:pos="0"/>
        </w:tabs>
        <w:ind w:left="720"/>
        <w:jc w:val="both"/>
        <w:rPr>
          <w:rFonts w:ascii="Arial" w:hAnsi="Arial" w:cs="Arial"/>
          <w:sz w:val="20"/>
        </w:rPr>
      </w:pPr>
    </w:p>
    <w:p w14:paraId="2FE70E9D" w14:textId="77777777" w:rsidR="00E022F8" w:rsidRPr="00806B7F" w:rsidRDefault="00E022F8" w:rsidP="00E022F8">
      <w:pPr>
        <w:tabs>
          <w:tab w:val="left" w:pos="0"/>
        </w:tabs>
        <w:jc w:val="both"/>
        <w:rPr>
          <w:rFonts w:ascii="Arial" w:hAnsi="Arial" w:cs="Arial"/>
          <w:b/>
          <w:sz w:val="20"/>
          <w:u w:val="single"/>
        </w:rPr>
      </w:pPr>
      <w:r w:rsidRPr="00806B7F">
        <w:rPr>
          <w:rFonts w:ascii="Arial" w:hAnsi="Arial" w:cs="Arial"/>
          <w:b/>
          <w:sz w:val="20"/>
          <w:u w:val="single"/>
        </w:rPr>
        <w:t>Revenue Budget</w:t>
      </w:r>
    </w:p>
    <w:p w14:paraId="4E286DF5" w14:textId="77777777" w:rsidR="00E022F8" w:rsidRPr="00806B7F" w:rsidRDefault="00E022F8" w:rsidP="00E022F8">
      <w:pPr>
        <w:tabs>
          <w:tab w:val="left" w:pos="0"/>
        </w:tabs>
        <w:jc w:val="both"/>
        <w:rPr>
          <w:rFonts w:ascii="Arial" w:hAnsi="Arial" w:cs="Arial"/>
          <w:sz w:val="20"/>
        </w:rPr>
      </w:pPr>
    </w:p>
    <w:p w14:paraId="000F3071" w14:textId="66F361A6" w:rsidR="00E022F8" w:rsidRPr="00806B7F" w:rsidRDefault="00E022F8" w:rsidP="00E022F8">
      <w:pPr>
        <w:jc w:val="both"/>
        <w:rPr>
          <w:rFonts w:ascii="Arial" w:hAnsi="Arial" w:cs="Arial"/>
          <w:sz w:val="20"/>
        </w:rPr>
      </w:pPr>
      <w:r w:rsidRPr="00806B7F">
        <w:rPr>
          <w:rFonts w:ascii="Arial" w:hAnsi="Arial" w:cs="Arial"/>
          <w:sz w:val="20"/>
        </w:rPr>
        <w:t xml:space="preserve">In considering its council tax requirements the Authority aims to balance the public’s requirement for and expectations of our services with the cost of providing this.  As such the revenue budget focuses on the need </w:t>
      </w:r>
      <w:r w:rsidR="004D7E8E" w:rsidRPr="00806B7F">
        <w:rPr>
          <w:rFonts w:ascii="Arial" w:hAnsi="Arial" w:cs="Arial"/>
          <w:sz w:val="20"/>
        </w:rPr>
        <w:t>to: -</w:t>
      </w:r>
    </w:p>
    <w:p w14:paraId="61C209C2" w14:textId="77777777" w:rsidR="00E022F8" w:rsidRPr="00806B7F" w:rsidRDefault="00E022F8" w:rsidP="00E022F8">
      <w:pPr>
        <w:jc w:val="both"/>
        <w:rPr>
          <w:rFonts w:ascii="Arial" w:hAnsi="Arial" w:cs="Arial"/>
          <w:sz w:val="20"/>
        </w:rPr>
      </w:pPr>
    </w:p>
    <w:p w14:paraId="6BFD45D8"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deliver services as outlined in the Risk Management Plan and other plans</w:t>
      </w:r>
    </w:p>
    <w:p w14:paraId="6E6D6C4C"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maintain future council tax increases at reasonable levels</w:t>
      </w:r>
    </w:p>
    <w:p w14:paraId="76E0911F"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continue to deliver efficiencies in line with targets</w:t>
      </w:r>
    </w:p>
    <w:p w14:paraId="202C59A9"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continue to invest in improvements in service delivery and facilities</w:t>
      </w:r>
    </w:p>
    <w:p w14:paraId="6078648F"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set a robust budget that takes account of known and anticipated pressures</w:t>
      </w:r>
    </w:p>
    <w:p w14:paraId="05B6BCB0" w14:textId="77777777" w:rsidR="00E022F8" w:rsidRPr="00806B7F" w:rsidRDefault="00E022F8" w:rsidP="00A53D23">
      <w:pPr>
        <w:numPr>
          <w:ilvl w:val="0"/>
          <w:numId w:val="4"/>
        </w:numPr>
        <w:jc w:val="both"/>
        <w:rPr>
          <w:rFonts w:ascii="Arial" w:hAnsi="Arial" w:cs="Arial"/>
          <w:sz w:val="20"/>
        </w:rPr>
      </w:pPr>
      <w:r w:rsidRPr="00806B7F">
        <w:rPr>
          <w:rFonts w:ascii="Arial" w:hAnsi="Arial" w:cs="Arial"/>
          <w:sz w:val="20"/>
        </w:rPr>
        <w:t>maintain an adequate level of reserves</w:t>
      </w:r>
    </w:p>
    <w:p w14:paraId="1BE1F0EA" w14:textId="77777777" w:rsidR="00774333" w:rsidRPr="00806B7F" w:rsidRDefault="00774333" w:rsidP="0080516D">
      <w:pPr>
        <w:jc w:val="both"/>
        <w:rPr>
          <w:rFonts w:ascii="Arial" w:hAnsi="Arial" w:cs="Arial"/>
          <w:sz w:val="20"/>
        </w:rPr>
      </w:pPr>
    </w:p>
    <w:p w14:paraId="6F2917AC" w14:textId="46BEA9DC" w:rsidR="0080516D" w:rsidRPr="00806B7F" w:rsidRDefault="0080516D" w:rsidP="00BF6550">
      <w:pPr>
        <w:jc w:val="both"/>
        <w:rPr>
          <w:rFonts w:ascii="Arial" w:hAnsi="Arial" w:cs="Arial"/>
          <w:sz w:val="20"/>
        </w:rPr>
      </w:pPr>
      <w:r w:rsidRPr="00806B7F">
        <w:rPr>
          <w:rFonts w:ascii="Arial" w:hAnsi="Arial" w:cs="Arial"/>
          <w:sz w:val="20"/>
        </w:rPr>
        <w:t>The Local Government Finance Settlement confirmed funding at £2</w:t>
      </w:r>
      <w:r w:rsidR="00806B7F" w:rsidRPr="00806B7F">
        <w:rPr>
          <w:rFonts w:ascii="Arial" w:hAnsi="Arial" w:cs="Arial"/>
          <w:sz w:val="20"/>
        </w:rPr>
        <w:t>6.0</w:t>
      </w:r>
      <w:r w:rsidRPr="00806B7F">
        <w:rPr>
          <w:rFonts w:ascii="Arial" w:hAnsi="Arial" w:cs="Arial"/>
          <w:sz w:val="20"/>
        </w:rPr>
        <w:t>m a</w:t>
      </w:r>
      <w:r w:rsidR="00876E15" w:rsidRPr="00806B7F">
        <w:rPr>
          <w:rFonts w:ascii="Arial" w:hAnsi="Arial" w:cs="Arial"/>
          <w:sz w:val="20"/>
        </w:rPr>
        <w:t>n</w:t>
      </w:r>
      <w:r w:rsidRPr="00806B7F">
        <w:rPr>
          <w:rFonts w:ascii="Arial" w:hAnsi="Arial" w:cs="Arial"/>
          <w:sz w:val="20"/>
        </w:rPr>
        <w:t xml:space="preserve"> </w:t>
      </w:r>
      <w:r w:rsidR="00876E15" w:rsidRPr="00806B7F">
        <w:rPr>
          <w:rFonts w:ascii="Arial" w:hAnsi="Arial" w:cs="Arial"/>
          <w:sz w:val="20"/>
        </w:rPr>
        <w:t>increase</w:t>
      </w:r>
      <w:r w:rsidRPr="00806B7F">
        <w:rPr>
          <w:rFonts w:ascii="Arial" w:hAnsi="Arial" w:cs="Arial"/>
          <w:sz w:val="20"/>
        </w:rPr>
        <w:t xml:space="preserve"> of</w:t>
      </w:r>
      <w:r w:rsidR="00806B7F" w:rsidRPr="00806B7F">
        <w:rPr>
          <w:rFonts w:ascii="Arial" w:hAnsi="Arial" w:cs="Arial"/>
          <w:sz w:val="20"/>
        </w:rPr>
        <w:t xml:space="preserve"> 6%</w:t>
      </w:r>
      <w:r w:rsidRPr="00806B7F">
        <w:rPr>
          <w:rFonts w:ascii="Arial" w:hAnsi="Arial" w:cs="Arial"/>
          <w:sz w:val="20"/>
        </w:rPr>
        <w:t xml:space="preserve">, and that the council tax referendum level </w:t>
      </w:r>
      <w:r w:rsidR="00774333" w:rsidRPr="00806B7F">
        <w:rPr>
          <w:rFonts w:ascii="Arial" w:hAnsi="Arial" w:cs="Arial"/>
          <w:sz w:val="20"/>
        </w:rPr>
        <w:t>of £5.00</w:t>
      </w:r>
      <w:r w:rsidRPr="00806B7F">
        <w:rPr>
          <w:rFonts w:ascii="Arial" w:hAnsi="Arial" w:cs="Arial"/>
          <w:sz w:val="20"/>
        </w:rPr>
        <w:t>.</w:t>
      </w:r>
    </w:p>
    <w:p w14:paraId="167E22D0" w14:textId="77777777" w:rsidR="0080516D" w:rsidRPr="00806B7F" w:rsidRDefault="0080516D" w:rsidP="00BF6550">
      <w:pPr>
        <w:jc w:val="both"/>
        <w:rPr>
          <w:rFonts w:ascii="Arial" w:hAnsi="Arial" w:cs="Arial"/>
          <w:sz w:val="20"/>
        </w:rPr>
      </w:pPr>
    </w:p>
    <w:p w14:paraId="0876B1A2" w14:textId="0D8A8FE7" w:rsidR="005A6387" w:rsidRPr="00806B7F" w:rsidRDefault="005A6387" w:rsidP="00BF6550">
      <w:pPr>
        <w:jc w:val="both"/>
        <w:rPr>
          <w:rFonts w:ascii="Arial" w:hAnsi="Arial" w:cs="Arial"/>
          <w:sz w:val="20"/>
        </w:rPr>
      </w:pPr>
      <w:r w:rsidRPr="00806B7F">
        <w:rPr>
          <w:rFonts w:ascii="Arial" w:hAnsi="Arial" w:cs="Arial"/>
          <w:sz w:val="20"/>
        </w:rPr>
        <w:t xml:space="preserve">The lack of a multi-year settlement makes longer term planning more difficult as there can be no certainty around future funding forecasts. Offsetting this is the opportunity provided by the £5 council tax flexibility allowed this year. The Home Office have </w:t>
      </w:r>
      <w:r w:rsidR="00CA11D6" w:rsidRPr="00806B7F">
        <w:rPr>
          <w:rFonts w:ascii="Arial" w:hAnsi="Arial" w:cs="Arial"/>
          <w:sz w:val="20"/>
        </w:rPr>
        <w:t>indicated</w:t>
      </w:r>
      <w:r w:rsidRPr="00806B7F">
        <w:rPr>
          <w:rFonts w:ascii="Arial" w:hAnsi="Arial" w:cs="Arial"/>
          <w:sz w:val="20"/>
        </w:rPr>
        <w:t xml:space="preserve"> that this flexibility is only for this year.</w:t>
      </w:r>
    </w:p>
    <w:p w14:paraId="4C893B90" w14:textId="77777777" w:rsidR="005A6387" w:rsidRPr="00806B7F" w:rsidRDefault="005A6387" w:rsidP="00BF6550">
      <w:pPr>
        <w:jc w:val="both"/>
        <w:rPr>
          <w:rFonts w:ascii="Arial" w:hAnsi="Arial" w:cs="Arial"/>
          <w:sz w:val="20"/>
        </w:rPr>
      </w:pPr>
    </w:p>
    <w:p w14:paraId="47BEE77E" w14:textId="17BF4106" w:rsidR="005A6387" w:rsidRPr="00806B7F" w:rsidRDefault="005A6387" w:rsidP="00BF6550">
      <w:pPr>
        <w:jc w:val="both"/>
        <w:rPr>
          <w:rFonts w:ascii="Arial" w:hAnsi="Arial" w:cs="Arial"/>
          <w:sz w:val="20"/>
        </w:rPr>
      </w:pPr>
      <w:r w:rsidRPr="00806B7F">
        <w:rPr>
          <w:rFonts w:ascii="Arial" w:hAnsi="Arial" w:cs="Arial"/>
          <w:sz w:val="20"/>
        </w:rPr>
        <w:t xml:space="preserve">Raising council tax by the maximum permissible still only increases the overall council tax bill by £5 but generates £2.25m of funding for the Authority. It gives greater long term funding certainty which will form the basis of our future investment requirements, which are essential if we are to hit our ‘road to outstanding’ ambition and be the best equipped, best </w:t>
      </w:r>
      <w:proofErr w:type="gramStart"/>
      <w:r w:rsidRPr="00806B7F">
        <w:rPr>
          <w:rFonts w:ascii="Arial" w:hAnsi="Arial" w:cs="Arial"/>
          <w:sz w:val="20"/>
        </w:rPr>
        <w:t>trained</w:t>
      </w:r>
      <w:proofErr w:type="gramEnd"/>
      <w:r w:rsidRPr="00806B7F">
        <w:rPr>
          <w:rFonts w:ascii="Arial" w:hAnsi="Arial" w:cs="Arial"/>
          <w:sz w:val="20"/>
        </w:rPr>
        <w:t xml:space="preserve"> and best accommodated Service.  </w:t>
      </w:r>
    </w:p>
    <w:p w14:paraId="49041068" w14:textId="77777777" w:rsidR="005A6387" w:rsidRPr="00806B7F" w:rsidRDefault="005A6387" w:rsidP="00BF6550">
      <w:pPr>
        <w:jc w:val="both"/>
        <w:rPr>
          <w:rFonts w:ascii="Arial" w:hAnsi="Arial" w:cs="Arial"/>
          <w:sz w:val="20"/>
        </w:rPr>
      </w:pPr>
    </w:p>
    <w:p w14:paraId="000A4CD3" w14:textId="4BAFE8EA" w:rsidR="0080516D" w:rsidRPr="00806B7F" w:rsidRDefault="00774333" w:rsidP="00BF6550">
      <w:pPr>
        <w:jc w:val="both"/>
        <w:rPr>
          <w:rFonts w:ascii="Arial" w:hAnsi="Arial" w:cs="Arial"/>
          <w:sz w:val="20"/>
        </w:rPr>
      </w:pPr>
      <w:r w:rsidRPr="00806B7F">
        <w:rPr>
          <w:rFonts w:ascii="Arial" w:hAnsi="Arial" w:cs="Arial"/>
          <w:sz w:val="20"/>
        </w:rPr>
        <w:t>The final proposed revenue budget for 202</w:t>
      </w:r>
      <w:r w:rsidR="00CA11D6" w:rsidRPr="00806B7F">
        <w:rPr>
          <w:rFonts w:ascii="Arial" w:hAnsi="Arial" w:cs="Arial"/>
          <w:sz w:val="20"/>
        </w:rPr>
        <w:t>3/24</w:t>
      </w:r>
      <w:r w:rsidRPr="00806B7F">
        <w:rPr>
          <w:rFonts w:ascii="Arial" w:hAnsi="Arial" w:cs="Arial"/>
          <w:sz w:val="20"/>
        </w:rPr>
        <w:t xml:space="preserve"> is £6</w:t>
      </w:r>
      <w:r w:rsidR="00CB7EC3" w:rsidRPr="00806B7F">
        <w:rPr>
          <w:rFonts w:ascii="Arial" w:hAnsi="Arial" w:cs="Arial"/>
          <w:sz w:val="20"/>
        </w:rPr>
        <w:t>8.2</w:t>
      </w:r>
      <w:r w:rsidRPr="00806B7F">
        <w:rPr>
          <w:rFonts w:ascii="Arial" w:hAnsi="Arial" w:cs="Arial"/>
          <w:sz w:val="20"/>
        </w:rPr>
        <w:t xml:space="preserve">m, an increase of 8%. This </w:t>
      </w:r>
      <w:r w:rsidR="0080516D" w:rsidRPr="00806B7F">
        <w:rPr>
          <w:rFonts w:ascii="Arial" w:hAnsi="Arial" w:cs="Arial"/>
          <w:sz w:val="20"/>
        </w:rPr>
        <w:t>result</w:t>
      </w:r>
      <w:r w:rsidRPr="00806B7F">
        <w:rPr>
          <w:rFonts w:ascii="Arial" w:hAnsi="Arial" w:cs="Arial"/>
          <w:sz w:val="20"/>
        </w:rPr>
        <w:t>s</w:t>
      </w:r>
      <w:r w:rsidR="0080516D" w:rsidRPr="00806B7F">
        <w:rPr>
          <w:rFonts w:ascii="Arial" w:hAnsi="Arial" w:cs="Arial"/>
          <w:sz w:val="20"/>
        </w:rPr>
        <w:t xml:space="preserve"> in a council tax requirement of £</w:t>
      </w:r>
      <w:r w:rsidR="00CA11D6" w:rsidRPr="00806B7F">
        <w:rPr>
          <w:rFonts w:ascii="Arial" w:hAnsi="Arial" w:cs="Arial"/>
          <w:sz w:val="20"/>
        </w:rPr>
        <w:t>82</w:t>
      </w:r>
      <w:r w:rsidR="00B01740" w:rsidRPr="00806B7F">
        <w:rPr>
          <w:rFonts w:ascii="Arial" w:hAnsi="Arial" w:cs="Arial"/>
          <w:sz w:val="20"/>
        </w:rPr>
        <w:t>27</w:t>
      </w:r>
      <w:r w:rsidR="0080516D" w:rsidRPr="00806B7F">
        <w:rPr>
          <w:rFonts w:ascii="Arial" w:hAnsi="Arial" w:cs="Arial"/>
          <w:sz w:val="20"/>
        </w:rPr>
        <w:t xml:space="preserve"> per Band D property, an increase of £</w:t>
      </w:r>
      <w:r w:rsidRPr="00806B7F">
        <w:rPr>
          <w:rFonts w:ascii="Arial" w:hAnsi="Arial" w:cs="Arial"/>
          <w:sz w:val="20"/>
        </w:rPr>
        <w:t>5.00</w:t>
      </w:r>
      <w:r w:rsidR="0080516D" w:rsidRPr="00806B7F">
        <w:rPr>
          <w:rFonts w:ascii="Arial" w:hAnsi="Arial" w:cs="Arial"/>
          <w:sz w:val="20"/>
        </w:rPr>
        <w:t xml:space="preserve"> per </w:t>
      </w:r>
      <w:r w:rsidR="00514E8F" w:rsidRPr="00806B7F">
        <w:rPr>
          <w:rFonts w:ascii="Arial" w:hAnsi="Arial" w:cs="Arial"/>
          <w:sz w:val="20"/>
        </w:rPr>
        <w:t>annum</w:t>
      </w:r>
      <w:r w:rsidRPr="00806B7F">
        <w:rPr>
          <w:rFonts w:ascii="Arial" w:hAnsi="Arial" w:cs="Arial"/>
          <w:sz w:val="20"/>
        </w:rPr>
        <w:t xml:space="preserve"> (</w:t>
      </w:r>
      <w:r w:rsidR="00514E8F" w:rsidRPr="00806B7F">
        <w:rPr>
          <w:rFonts w:ascii="Arial" w:hAnsi="Arial" w:cs="Arial"/>
          <w:sz w:val="20"/>
        </w:rPr>
        <w:t xml:space="preserve">less than </w:t>
      </w:r>
      <w:r w:rsidRPr="00806B7F">
        <w:rPr>
          <w:rFonts w:ascii="Arial" w:hAnsi="Arial" w:cs="Arial"/>
          <w:sz w:val="20"/>
        </w:rPr>
        <w:t>10</w:t>
      </w:r>
      <w:r w:rsidR="0080516D" w:rsidRPr="00806B7F">
        <w:rPr>
          <w:rFonts w:ascii="Arial" w:hAnsi="Arial" w:cs="Arial"/>
          <w:sz w:val="20"/>
        </w:rPr>
        <w:t xml:space="preserve">p per week). </w:t>
      </w:r>
    </w:p>
    <w:p w14:paraId="2631E42A" w14:textId="77777777" w:rsidR="0080516D" w:rsidRPr="00806B7F" w:rsidRDefault="0080516D" w:rsidP="00BF6550">
      <w:pPr>
        <w:jc w:val="both"/>
        <w:rPr>
          <w:rFonts w:ascii="Arial" w:hAnsi="Arial" w:cs="Arial"/>
          <w:sz w:val="20"/>
        </w:rPr>
      </w:pPr>
    </w:p>
    <w:p w14:paraId="2481F8F8" w14:textId="13722060" w:rsidR="00774333" w:rsidRPr="00806B7F" w:rsidRDefault="0080516D" w:rsidP="00BF6550">
      <w:pPr>
        <w:jc w:val="both"/>
        <w:rPr>
          <w:rFonts w:ascii="Arial" w:hAnsi="Arial" w:cs="Arial"/>
          <w:sz w:val="20"/>
        </w:rPr>
      </w:pPr>
      <w:r w:rsidRPr="00806B7F">
        <w:rPr>
          <w:rFonts w:ascii="Arial" w:hAnsi="Arial" w:cs="Arial"/>
          <w:sz w:val="20"/>
        </w:rPr>
        <w:t xml:space="preserve">Until such time as the outcome of next year’s Spending review is published it is impossible to provide any meaningful funding forecast, however for the purpose of </w:t>
      </w:r>
      <w:r w:rsidR="004D7E8E" w:rsidRPr="00806B7F">
        <w:rPr>
          <w:rFonts w:ascii="Arial" w:hAnsi="Arial" w:cs="Arial"/>
          <w:sz w:val="20"/>
        </w:rPr>
        <w:t>medium-term</w:t>
      </w:r>
      <w:r w:rsidRPr="00806B7F">
        <w:rPr>
          <w:rFonts w:ascii="Arial" w:hAnsi="Arial" w:cs="Arial"/>
          <w:sz w:val="20"/>
        </w:rPr>
        <w:t xml:space="preserve"> financial planning we have assumed that funding is </w:t>
      </w:r>
      <w:r w:rsidR="0000543B" w:rsidRPr="00806B7F">
        <w:rPr>
          <w:rFonts w:ascii="Arial" w:hAnsi="Arial" w:cs="Arial"/>
          <w:sz w:val="20"/>
        </w:rPr>
        <w:t xml:space="preserve">increased by </w:t>
      </w:r>
      <w:r w:rsidR="00CA11D6" w:rsidRPr="00806B7F">
        <w:rPr>
          <w:rFonts w:ascii="Arial" w:hAnsi="Arial" w:cs="Arial"/>
          <w:sz w:val="20"/>
        </w:rPr>
        <w:t>5</w:t>
      </w:r>
      <w:r w:rsidR="0000543B" w:rsidRPr="00806B7F">
        <w:rPr>
          <w:rFonts w:ascii="Arial" w:hAnsi="Arial" w:cs="Arial"/>
          <w:sz w:val="20"/>
        </w:rPr>
        <w:t>.</w:t>
      </w:r>
      <w:r w:rsidR="00774333" w:rsidRPr="00806B7F">
        <w:rPr>
          <w:rFonts w:ascii="Arial" w:hAnsi="Arial" w:cs="Arial"/>
          <w:sz w:val="20"/>
        </w:rPr>
        <w:t>0</w:t>
      </w:r>
      <w:r w:rsidR="0000543B" w:rsidRPr="00806B7F">
        <w:rPr>
          <w:rFonts w:ascii="Arial" w:hAnsi="Arial" w:cs="Arial"/>
          <w:sz w:val="20"/>
        </w:rPr>
        <w:t>%</w:t>
      </w:r>
      <w:r w:rsidR="00CA11D6" w:rsidRPr="00806B7F">
        <w:rPr>
          <w:rFonts w:ascii="Arial" w:hAnsi="Arial" w:cs="Arial"/>
          <w:sz w:val="20"/>
        </w:rPr>
        <w:t xml:space="preserve"> next year and 2% thereafter</w:t>
      </w:r>
      <w:r w:rsidR="0000543B" w:rsidRPr="00806B7F">
        <w:rPr>
          <w:rFonts w:ascii="Arial" w:hAnsi="Arial" w:cs="Arial"/>
          <w:sz w:val="20"/>
        </w:rPr>
        <w:t xml:space="preserve">, and the council tax referendum principle </w:t>
      </w:r>
      <w:r w:rsidR="00774333" w:rsidRPr="00806B7F">
        <w:rPr>
          <w:rFonts w:ascii="Arial" w:hAnsi="Arial" w:cs="Arial"/>
          <w:sz w:val="20"/>
        </w:rPr>
        <w:t xml:space="preserve">returns to its standard </w:t>
      </w:r>
      <w:r w:rsidR="00CA11D6" w:rsidRPr="00806B7F">
        <w:rPr>
          <w:rFonts w:ascii="Arial" w:hAnsi="Arial" w:cs="Arial"/>
          <w:sz w:val="20"/>
        </w:rPr>
        <w:t>3</w:t>
      </w:r>
      <w:r w:rsidR="00774333" w:rsidRPr="00806B7F">
        <w:rPr>
          <w:rFonts w:ascii="Arial" w:hAnsi="Arial" w:cs="Arial"/>
          <w:sz w:val="20"/>
        </w:rPr>
        <w:t>%.</w:t>
      </w:r>
    </w:p>
    <w:p w14:paraId="1C50C377" w14:textId="77777777" w:rsidR="00CA11D6" w:rsidRPr="00806B7F" w:rsidRDefault="00CA11D6" w:rsidP="00BF6550">
      <w:pPr>
        <w:jc w:val="both"/>
        <w:rPr>
          <w:rFonts w:ascii="Arial" w:hAnsi="Arial" w:cs="Arial"/>
          <w:sz w:val="20"/>
        </w:rPr>
      </w:pPr>
    </w:p>
    <w:p w14:paraId="630AEADC" w14:textId="27F6EF01" w:rsidR="0080516D" w:rsidRPr="00806B7F" w:rsidRDefault="0000543B" w:rsidP="00BF6550">
      <w:pPr>
        <w:jc w:val="both"/>
        <w:rPr>
          <w:rFonts w:ascii="Arial" w:hAnsi="Arial" w:cs="Arial"/>
          <w:sz w:val="20"/>
        </w:rPr>
      </w:pPr>
      <w:r w:rsidRPr="00806B7F">
        <w:rPr>
          <w:rFonts w:ascii="Arial" w:hAnsi="Arial" w:cs="Arial"/>
          <w:sz w:val="20"/>
        </w:rPr>
        <w:t>Based on this</w:t>
      </w:r>
      <w:r w:rsidR="00774333" w:rsidRPr="00806B7F">
        <w:rPr>
          <w:rFonts w:ascii="Arial" w:hAnsi="Arial" w:cs="Arial"/>
          <w:sz w:val="20"/>
        </w:rPr>
        <w:t xml:space="preserve">, and the other </w:t>
      </w:r>
      <w:r w:rsidR="005A6387" w:rsidRPr="00806B7F">
        <w:rPr>
          <w:rFonts w:ascii="Arial" w:hAnsi="Arial" w:cs="Arial"/>
          <w:sz w:val="20"/>
        </w:rPr>
        <w:t>assumptions</w:t>
      </w:r>
      <w:r w:rsidR="00774333" w:rsidRPr="00806B7F">
        <w:rPr>
          <w:rFonts w:ascii="Arial" w:hAnsi="Arial" w:cs="Arial"/>
          <w:sz w:val="20"/>
        </w:rPr>
        <w:t xml:space="preserve"> within the budget, </w:t>
      </w:r>
      <w:r w:rsidR="0080516D" w:rsidRPr="00806B7F">
        <w:rPr>
          <w:rFonts w:ascii="Arial" w:hAnsi="Arial" w:cs="Arial"/>
          <w:sz w:val="20"/>
        </w:rPr>
        <w:t xml:space="preserve">the Authority </w:t>
      </w:r>
      <w:proofErr w:type="gramStart"/>
      <w:r w:rsidR="00774333" w:rsidRPr="00806B7F">
        <w:rPr>
          <w:rFonts w:ascii="Arial" w:hAnsi="Arial" w:cs="Arial"/>
          <w:sz w:val="20"/>
        </w:rPr>
        <w:t>is able to</w:t>
      </w:r>
      <w:proofErr w:type="gramEnd"/>
      <w:r w:rsidR="00774333" w:rsidRPr="00806B7F">
        <w:rPr>
          <w:rFonts w:ascii="Arial" w:hAnsi="Arial" w:cs="Arial"/>
          <w:sz w:val="20"/>
        </w:rPr>
        <w:t xml:space="preserve"> </w:t>
      </w:r>
      <w:r w:rsidR="005A6387" w:rsidRPr="00806B7F">
        <w:rPr>
          <w:rFonts w:ascii="Arial" w:hAnsi="Arial" w:cs="Arial"/>
          <w:sz w:val="20"/>
        </w:rPr>
        <w:t>deliver</w:t>
      </w:r>
      <w:r w:rsidR="00774333" w:rsidRPr="00806B7F">
        <w:rPr>
          <w:rFonts w:ascii="Arial" w:hAnsi="Arial" w:cs="Arial"/>
          <w:sz w:val="20"/>
        </w:rPr>
        <w:t xml:space="preserve"> a balanced </w:t>
      </w:r>
      <w:r w:rsidR="005A6387" w:rsidRPr="00806B7F">
        <w:rPr>
          <w:rFonts w:ascii="Arial" w:hAnsi="Arial" w:cs="Arial"/>
          <w:sz w:val="20"/>
        </w:rPr>
        <w:t>budget</w:t>
      </w:r>
      <w:r w:rsidR="00774333" w:rsidRPr="00806B7F">
        <w:rPr>
          <w:rFonts w:ascii="Arial" w:hAnsi="Arial" w:cs="Arial"/>
          <w:sz w:val="20"/>
        </w:rPr>
        <w:t xml:space="preserve"> in</w:t>
      </w:r>
      <w:r w:rsidR="00A06D38" w:rsidRPr="00806B7F">
        <w:rPr>
          <w:rFonts w:ascii="Arial" w:hAnsi="Arial" w:cs="Arial"/>
          <w:sz w:val="20"/>
        </w:rPr>
        <w:t xml:space="preserve"> </w:t>
      </w:r>
      <w:r w:rsidR="005A6387" w:rsidRPr="00806B7F">
        <w:rPr>
          <w:rFonts w:ascii="Arial" w:hAnsi="Arial" w:cs="Arial"/>
          <w:sz w:val="20"/>
        </w:rPr>
        <w:t>future</w:t>
      </w:r>
      <w:r w:rsidR="00774333" w:rsidRPr="00806B7F">
        <w:rPr>
          <w:rFonts w:ascii="Arial" w:hAnsi="Arial" w:cs="Arial"/>
          <w:sz w:val="20"/>
        </w:rPr>
        <w:t xml:space="preserve"> years</w:t>
      </w:r>
      <w:r w:rsidR="00CA11D6" w:rsidRPr="00806B7F">
        <w:rPr>
          <w:rFonts w:ascii="Arial" w:hAnsi="Arial" w:cs="Arial"/>
          <w:sz w:val="20"/>
        </w:rPr>
        <w:t>, utilising a combination of further savings and drawdown of reserves</w:t>
      </w:r>
      <w:r w:rsidR="00774333" w:rsidRPr="00806B7F">
        <w:rPr>
          <w:rFonts w:ascii="Arial" w:hAnsi="Arial" w:cs="Arial"/>
          <w:sz w:val="20"/>
        </w:rPr>
        <w:t xml:space="preserve">. </w:t>
      </w:r>
    </w:p>
    <w:p w14:paraId="34E0EBF7" w14:textId="074501A6" w:rsidR="0080516D" w:rsidRPr="00806B7F" w:rsidRDefault="0080516D" w:rsidP="00BF6550">
      <w:pPr>
        <w:jc w:val="both"/>
        <w:rPr>
          <w:rFonts w:ascii="Arial" w:hAnsi="Arial" w:cs="Arial"/>
          <w:sz w:val="20"/>
        </w:rPr>
      </w:pPr>
    </w:p>
    <w:p w14:paraId="33C927BE" w14:textId="316B5DC4" w:rsidR="0080516D" w:rsidRPr="00806B7F" w:rsidRDefault="0080516D" w:rsidP="00BF6550">
      <w:pPr>
        <w:jc w:val="both"/>
        <w:rPr>
          <w:rFonts w:ascii="Arial" w:hAnsi="Arial" w:cs="Arial"/>
          <w:sz w:val="20"/>
        </w:rPr>
      </w:pPr>
      <w:r w:rsidRPr="00806B7F">
        <w:rPr>
          <w:rFonts w:ascii="Arial" w:hAnsi="Arial" w:cs="Arial"/>
          <w:sz w:val="20"/>
        </w:rPr>
        <w:t xml:space="preserve">Looking at the medium-term plans </w:t>
      </w:r>
      <w:proofErr w:type="gramStart"/>
      <w:r w:rsidRPr="00806B7F">
        <w:rPr>
          <w:rFonts w:ascii="Arial" w:hAnsi="Arial" w:cs="Arial"/>
          <w:sz w:val="20"/>
        </w:rPr>
        <w:t>it is clear that the</w:t>
      </w:r>
      <w:proofErr w:type="gramEnd"/>
      <w:r w:rsidRPr="00806B7F">
        <w:rPr>
          <w:rFonts w:ascii="Arial" w:hAnsi="Arial" w:cs="Arial"/>
          <w:sz w:val="20"/>
        </w:rPr>
        <w:t xml:space="preserve"> key variables remain pay awards, pension costs and funding. Any significant increase in pay award over and above th</w:t>
      </w:r>
      <w:r w:rsidR="00B01740" w:rsidRPr="00806B7F">
        <w:rPr>
          <w:rFonts w:ascii="Arial" w:hAnsi="Arial" w:cs="Arial"/>
          <w:sz w:val="20"/>
        </w:rPr>
        <w:t>ose</w:t>
      </w:r>
      <w:r w:rsidRPr="00806B7F">
        <w:rPr>
          <w:rFonts w:ascii="Arial" w:hAnsi="Arial" w:cs="Arial"/>
          <w:sz w:val="20"/>
        </w:rPr>
        <w:t xml:space="preserve"> built into the budget or in the </w:t>
      </w:r>
      <w:r w:rsidR="00B01740" w:rsidRPr="00806B7F">
        <w:rPr>
          <w:rFonts w:ascii="Arial" w:hAnsi="Arial" w:cs="Arial"/>
          <w:sz w:val="20"/>
        </w:rPr>
        <w:t xml:space="preserve">cost of </w:t>
      </w:r>
      <w:r w:rsidRPr="00806B7F">
        <w:rPr>
          <w:rFonts w:ascii="Arial" w:hAnsi="Arial" w:cs="Arial"/>
          <w:sz w:val="20"/>
        </w:rPr>
        <w:t xml:space="preserve"> </w:t>
      </w:r>
      <w:r w:rsidR="00425C71" w:rsidRPr="00806B7F">
        <w:rPr>
          <w:rFonts w:ascii="Arial" w:hAnsi="Arial" w:cs="Arial"/>
          <w:sz w:val="20"/>
        </w:rPr>
        <w:t xml:space="preserve">FF </w:t>
      </w:r>
      <w:r w:rsidR="004D7E8E" w:rsidRPr="00806B7F">
        <w:rPr>
          <w:rFonts w:ascii="Arial" w:hAnsi="Arial" w:cs="Arial"/>
          <w:sz w:val="20"/>
        </w:rPr>
        <w:t>pensions will</w:t>
      </w:r>
      <w:r w:rsidRPr="00806B7F">
        <w:rPr>
          <w:rFonts w:ascii="Arial" w:hAnsi="Arial" w:cs="Arial"/>
          <w:sz w:val="20"/>
        </w:rPr>
        <w:t xml:space="preserve"> add in significant financial pressures. </w:t>
      </w:r>
      <w:r w:rsidR="004D7E8E" w:rsidRPr="00806B7F">
        <w:rPr>
          <w:rFonts w:ascii="Arial" w:hAnsi="Arial" w:cs="Arial"/>
          <w:sz w:val="20"/>
        </w:rPr>
        <w:t>Similarly,</w:t>
      </w:r>
      <w:r w:rsidRPr="00806B7F">
        <w:rPr>
          <w:rFonts w:ascii="Arial" w:hAnsi="Arial" w:cs="Arial"/>
          <w:sz w:val="20"/>
        </w:rPr>
        <w:t xml:space="preserve"> should</w:t>
      </w:r>
      <w:r w:rsidR="00CA11D6" w:rsidRPr="00806B7F">
        <w:rPr>
          <w:rFonts w:ascii="Arial" w:hAnsi="Arial" w:cs="Arial"/>
          <w:sz w:val="20"/>
        </w:rPr>
        <w:t xml:space="preserve"> funding </w:t>
      </w:r>
      <w:r w:rsidRPr="00806B7F">
        <w:rPr>
          <w:rFonts w:ascii="Arial" w:hAnsi="Arial" w:cs="Arial"/>
          <w:sz w:val="20"/>
        </w:rPr>
        <w:t>settlement</w:t>
      </w:r>
      <w:r w:rsidR="00CA11D6" w:rsidRPr="00806B7F">
        <w:rPr>
          <w:rFonts w:ascii="Arial" w:hAnsi="Arial" w:cs="Arial"/>
          <w:sz w:val="20"/>
        </w:rPr>
        <w:t>s</w:t>
      </w:r>
      <w:r w:rsidRPr="00806B7F">
        <w:rPr>
          <w:rFonts w:ascii="Arial" w:hAnsi="Arial" w:cs="Arial"/>
          <w:sz w:val="20"/>
        </w:rPr>
        <w:t xml:space="preserve"> be worse than budgeted then the level of deficit will increase accordingly. </w:t>
      </w:r>
    </w:p>
    <w:p w14:paraId="470662AA" w14:textId="77777777" w:rsidR="0080516D" w:rsidRPr="00806B7F" w:rsidRDefault="0080516D" w:rsidP="0080516D">
      <w:pPr>
        <w:jc w:val="both"/>
        <w:rPr>
          <w:rFonts w:ascii="Arial" w:hAnsi="Arial" w:cs="Arial"/>
          <w:sz w:val="20"/>
        </w:rPr>
      </w:pPr>
    </w:p>
    <w:p w14:paraId="2C752E47" w14:textId="2441B984" w:rsidR="00DB42BE" w:rsidRPr="00806B7F" w:rsidRDefault="00A06D38" w:rsidP="005A6387">
      <w:pPr>
        <w:rPr>
          <w:rFonts w:ascii="Arial" w:hAnsi="Arial" w:cs="Arial"/>
          <w:sz w:val="20"/>
        </w:rPr>
      </w:pPr>
      <w:r w:rsidRPr="00806B7F">
        <w:rPr>
          <w:rFonts w:ascii="Arial" w:hAnsi="Arial" w:cs="Arial"/>
          <w:sz w:val="20"/>
        </w:rPr>
        <w:t>T</w:t>
      </w:r>
      <w:r w:rsidR="0080516D" w:rsidRPr="00806B7F">
        <w:rPr>
          <w:rFonts w:ascii="Arial" w:hAnsi="Arial" w:cs="Arial"/>
          <w:sz w:val="20"/>
        </w:rPr>
        <w:t xml:space="preserve">he Authority remains in a good financial position. </w:t>
      </w:r>
    </w:p>
    <w:p w14:paraId="37939F50" w14:textId="358BDF7F" w:rsidR="00E022F8" w:rsidRPr="00806B7F" w:rsidRDefault="00E022F8" w:rsidP="00A06D38">
      <w:pPr>
        <w:jc w:val="both"/>
        <w:rPr>
          <w:rFonts w:ascii="Arial" w:hAnsi="Arial" w:cs="Arial"/>
          <w:sz w:val="20"/>
        </w:rPr>
      </w:pPr>
    </w:p>
    <w:p w14:paraId="3553982E" w14:textId="77777777" w:rsidR="00E022F8" w:rsidRPr="00806B7F" w:rsidRDefault="00E022F8" w:rsidP="00E022F8">
      <w:pPr>
        <w:tabs>
          <w:tab w:val="left" w:pos="0"/>
        </w:tabs>
        <w:jc w:val="both"/>
        <w:rPr>
          <w:rFonts w:ascii="Arial" w:hAnsi="Arial" w:cs="Arial"/>
          <w:b/>
          <w:sz w:val="20"/>
          <w:u w:val="single"/>
        </w:rPr>
      </w:pPr>
      <w:r w:rsidRPr="00806B7F">
        <w:rPr>
          <w:rFonts w:ascii="Arial" w:hAnsi="Arial" w:cs="Arial"/>
          <w:b/>
          <w:sz w:val="20"/>
          <w:u w:val="single"/>
        </w:rPr>
        <w:t xml:space="preserve">Capital </w:t>
      </w:r>
      <w:r w:rsidR="0096667D" w:rsidRPr="00806B7F">
        <w:rPr>
          <w:rFonts w:ascii="Arial" w:hAnsi="Arial" w:cs="Arial"/>
          <w:b/>
          <w:sz w:val="20"/>
          <w:u w:val="single"/>
        </w:rPr>
        <w:t>Strategy/</w:t>
      </w:r>
      <w:r w:rsidRPr="00806B7F">
        <w:rPr>
          <w:rFonts w:ascii="Arial" w:hAnsi="Arial" w:cs="Arial"/>
          <w:b/>
          <w:sz w:val="20"/>
          <w:u w:val="single"/>
        </w:rPr>
        <w:t>Budget</w:t>
      </w:r>
    </w:p>
    <w:p w14:paraId="6301E790" w14:textId="77777777" w:rsidR="00E022F8" w:rsidRPr="00806B7F" w:rsidRDefault="00E022F8" w:rsidP="00E022F8">
      <w:pPr>
        <w:tabs>
          <w:tab w:val="left" w:pos="0"/>
        </w:tabs>
        <w:jc w:val="both"/>
        <w:rPr>
          <w:rFonts w:ascii="Arial" w:hAnsi="Arial" w:cs="Arial"/>
          <w:sz w:val="20"/>
        </w:rPr>
      </w:pPr>
    </w:p>
    <w:p w14:paraId="5B1D6AC2" w14:textId="77777777" w:rsidR="00E022F8" w:rsidRPr="00806B7F" w:rsidRDefault="00E022F8" w:rsidP="00E022F8">
      <w:pPr>
        <w:tabs>
          <w:tab w:val="left" w:pos="0"/>
        </w:tabs>
        <w:jc w:val="both"/>
        <w:rPr>
          <w:rFonts w:ascii="Arial" w:hAnsi="Arial" w:cs="Arial"/>
          <w:sz w:val="20"/>
        </w:rPr>
      </w:pPr>
      <w:r w:rsidRPr="00806B7F">
        <w:rPr>
          <w:rFonts w:ascii="Arial" w:hAnsi="Arial" w:cs="Arial"/>
          <w:sz w:val="20"/>
        </w:rPr>
        <w:t>In terms of the Authority’s Capital Programme our capital strategy is designed to ensure that the Authorities capital investment: -</w:t>
      </w:r>
    </w:p>
    <w:p w14:paraId="12958074" w14:textId="77777777" w:rsidR="00E022F8" w:rsidRPr="00806B7F" w:rsidRDefault="00E022F8" w:rsidP="00E022F8">
      <w:pPr>
        <w:tabs>
          <w:tab w:val="left" w:pos="0"/>
        </w:tabs>
        <w:jc w:val="both"/>
        <w:rPr>
          <w:rFonts w:ascii="Arial" w:hAnsi="Arial" w:cs="Arial"/>
          <w:sz w:val="20"/>
        </w:rPr>
      </w:pPr>
    </w:p>
    <w:p w14:paraId="0C6D8BCE" w14:textId="77777777" w:rsidR="0080516D" w:rsidRPr="00806B7F" w:rsidRDefault="0080516D" w:rsidP="00A53D23">
      <w:pPr>
        <w:numPr>
          <w:ilvl w:val="0"/>
          <w:numId w:val="1"/>
        </w:numPr>
        <w:jc w:val="both"/>
        <w:rPr>
          <w:rFonts w:ascii="Arial" w:hAnsi="Arial" w:cs="Arial"/>
          <w:sz w:val="20"/>
        </w:rPr>
      </w:pPr>
      <w:r w:rsidRPr="00806B7F">
        <w:rPr>
          <w:rFonts w:ascii="Arial" w:hAnsi="Arial" w:cs="Arial"/>
          <w:sz w:val="20"/>
        </w:rPr>
        <w:t>assists in delivering the corporate objectives</w:t>
      </w:r>
    </w:p>
    <w:p w14:paraId="61991103" w14:textId="77777777" w:rsidR="0080516D" w:rsidRPr="00806B7F" w:rsidRDefault="0080516D" w:rsidP="00A53D23">
      <w:pPr>
        <w:numPr>
          <w:ilvl w:val="0"/>
          <w:numId w:val="1"/>
        </w:numPr>
        <w:jc w:val="both"/>
        <w:rPr>
          <w:rFonts w:ascii="Arial" w:hAnsi="Arial" w:cs="Arial"/>
          <w:sz w:val="20"/>
        </w:rPr>
      </w:pPr>
      <w:r w:rsidRPr="00806B7F">
        <w:rPr>
          <w:rFonts w:ascii="Arial" w:hAnsi="Arial" w:cs="Arial"/>
          <w:sz w:val="20"/>
        </w:rPr>
        <w:t>provides the framework for capital funding and expenditure decisions, ensuring that capital investment is in line with priorities identified in asset management plans</w:t>
      </w:r>
    </w:p>
    <w:p w14:paraId="482E7C40" w14:textId="77777777" w:rsidR="0080516D" w:rsidRPr="00806B7F" w:rsidRDefault="0080516D" w:rsidP="00A53D23">
      <w:pPr>
        <w:numPr>
          <w:ilvl w:val="0"/>
          <w:numId w:val="1"/>
        </w:numPr>
        <w:jc w:val="both"/>
        <w:rPr>
          <w:rFonts w:ascii="Arial" w:hAnsi="Arial" w:cs="Arial"/>
          <w:sz w:val="20"/>
        </w:rPr>
      </w:pPr>
      <w:r w:rsidRPr="00806B7F">
        <w:rPr>
          <w:rFonts w:ascii="Arial" w:hAnsi="Arial" w:cs="Arial"/>
          <w:sz w:val="20"/>
        </w:rPr>
        <w:t>ensures statutory requirements are met, i.e. Health and Safety issues</w:t>
      </w:r>
    </w:p>
    <w:p w14:paraId="3A618D20" w14:textId="6524A921" w:rsidR="0080516D" w:rsidRPr="00806B7F" w:rsidRDefault="0080516D" w:rsidP="00A53D23">
      <w:pPr>
        <w:numPr>
          <w:ilvl w:val="0"/>
          <w:numId w:val="1"/>
        </w:numPr>
        <w:jc w:val="both"/>
        <w:rPr>
          <w:rFonts w:ascii="Arial" w:hAnsi="Arial" w:cs="Arial"/>
          <w:sz w:val="20"/>
        </w:rPr>
      </w:pPr>
      <w:r w:rsidRPr="00806B7F">
        <w:rPr>
          <w:rFonts w:ascii="Arial" w:hAnsi="Arial" w:cs="Arial"/>
          <w:sz w:val="20"/>
        </w:rPr>
        <w:t xml:space="preserve">supports the </w:t>
      </w:r>
      <w:r w:rsidR="004D7E8E" w:rsidRPr="00806B7F">
        <w:rPr>
          <w:rFonts w:ascii="Arial" w:hAnsi="Arial" w:cs="Arial"/>
          <w:sz w:val="20"/>
        </w:rPr>
        <w:t>Medium-Term</w:t>
      </w:r>
      <w:r w:rsidRPr="00806B7F">
        <w:rPr>
          <w:rFonts w:ascii="Arial" w:hAnsi="Arial" w:cs="Arial"/>
          <w:sz w:val="20"/>
        </w:rPr>
        <w:t xml:space="preserve"> Financial Strategy by ensuring all capital investment decisions consider the future impact on revenue budgets</w:t>
      </w:r>
    </w:p>
    <w:p w14:paraId="4B6FD15A" w14:textId="77777777" w:rsidR="0080516D" w:rsidRPr="00806B7F" w:rsidRDefault="0080516D" w:rsidP="00A53D23">
      <w:pPr>
        <w:numPr>
          <w:ilvl w:val="0"/>
          <w:numId w:val="1"/>
        </w:numPr>
        <w:jc w:val="both"/>
        <w:rPr>
          <w:rFonts w:ascii="Arial" w:hAnsi="Arial" w:cs="Arial"/>
          <w:sz w:val="20"/>
        </w:rPr>
      </w:pPr>
      <w:r w:rsidRPr="00806B7F">
        <w:rPr>
          <w:rFonts w:ascii="Arial" w:hAnsi="Arial" w:cs="Arial"/>
          <w:sz w:val="20"/>
        </w:rPr>
        <w:t>demonstrates value for money in ensuring the Authority’s assets are enhanced/preserved</w:t>
      </w:r>
    </w:p>
    <w:p w14:paraId="1BBF4389" w14:textId="77777777" w:rsidR="0080516D" w:rsidRPr="00806B7F" w:rsidRDefault="0080516D" w:rsidP="00A53D23">
      <w:pPr>
        <w:numPr>
          <w:ilvl w:val="0"/>
          <w:numId w:val="1"/>
        </w:numPr>
        <w:jc w:val="both"/>
        <w:rPr>
          <w:rFonts w:ascii="Arial" w:hAnsi="Arial" w:cs="Arial"/>
          <w:sz w:val="20"/>
        </w:rPr>
      </w:pPr>
      <w:r w:rsidRPr="00806B7F">
        <w:rPr>
          <w:rFonts w:ascii="Arial" w:hAnsi="Arial" w:cs="Arial"/>
          <w:sz w:val="20"/>
        </w:rPr>
        <w:t>describes the sources of capital funding available for the medium term and how these might be used to achieve a prudent and sustainable capital programme.</w:t>
      </w:r>
    </w:p>
    <w:p w14:paraId="138EB072" w14:textId="77777777" w:rsidR="00E022F8" w:rsidRPr="00806B7F" w:rsidRDefault="00E022F8" w:rsidP="00E022F8">
      <w:pPr>
        <w:jc w:val="both"/>
        <w:rPr>
          <w:rFonts w:ascii="Arial" w:hAnsi="Arial" w:cs="Arial"/>
          <w:snapToGrid w:val="0"/>
          <w:sz w:val="20"/>
          <w:lang w:val="en-US" w:eastAsia="en-US"/>
        </w:rPr>
      </w:pPr>
    </w:p>
    <w:p w14:paraId="6413B870" w14:textId="7EF8EC89" w:rsidR="00337A0C" w:rsidRPr="00806B7F" w:rsidRDefault="00E022F8" w:rsidP="00732E63">
      <w:pPr>
        <w:jc w:val="both"/>
        <w:rPr>
          <w:rFonts w:ascii="Arial" w:hAnsi="Arial" w:cs="Arial"/>
          <w:sz w:val="20"/>
        </w:rPr>
      </w:pPr>
      <w:proofErr w:type="gramStart"/>
      <w:r w:rsidRPr="00806B7F">
        <w:rPr>
          <w:rFonts w:ascii="Arial" w:hAnsi="Arial" w:cs="Arial"/>
          <w:sz w:val="20"/>
        </w:rPr>
        <w:t>In light of</w:t>
      </w:r>
      <w:proofErr w:type="gramEnd"/>
      <w:r w:rsidRPr="00806B7F">
        <w:rPr>
          <w:rFonts w:ascii="Arial" w:hAnsi="Arial" w:cs="Arial"/>
          <w:sz w:val="20"/>
        </w:rPr>
        <w:t xml:space="preserve"> this</w:t>
      </w:r>
      <w:r w:rsidR="00BF6550">
        <w:rPr>
          <w:rFonts w:ascii="Arial" w:hAnsi="Arial" w:cs="Arial"/>
          <w:sz w:val="20"/>
        </w:rPr>
        <w:t>,</w:t>
      </w:r>
      <w:r w:rsidRPr="00806B7F">
        <w:rPr>
          <w:rFonts w:ascii="Arial" w:hAnsi="Arial" w:cs="Arial"/>
          <w:sz w:val="20"/>
        </w:rPr>
        <w:t xml:space="preserve"> the capital budget continues to invest in our asset base, in particular vehicle replacement, refurbishment/replacement of station</w:t>
      </w:r>
      <w:r w:rsidR="00D34AEF" w:rsidRPr="00806B7F">
        <w:rPr>
          <w:rFonts w:ascii="Arial" w:hAnsi="Arial" w:cs="Arial"/>
          <w:sz w:val="20"/>
        </w:rPr>
        <w:t>s</w:t>
      </w:r>
      <w:r w:rsidR="00EF5EBD" w:rsidRPr="00806B7F">
        <w:rPr>
          <w:rFonts w:ascii="Arial" w:hAnsi="Arial" w:cs="Arial"/>
          <w:sz w:val="20"/>
        </w:rPr>
        <w:t>, potential relocation of Headquarters</w:t>
      </w:r>
      <w:r w:rsidRPr="00806B7F">
        <w:rPr>
          <w:rFonts w:ascii="Arial" w:hAnsi="Arial" w:cs="Arial"/>
          <w:sz w:val="20"/>
        </w:rPr>
        <w:t>, new IT requirements and new operational equipment. This gives rise to a capital program of £</w:t>
      </w:r>
      <w:r w:rsidR="00806B7F" w:rsidRPr="00806B7F">
        <w:rPr>
          <w:rFonts w:ascii="Arial" w:hAnsi="Arial" w:cs="Arial"/>
          <w:sz w:val="20"/>
        </w:rPr>
        <w:t>55</w:t>
      </w:r>
      <w:r w:rsidRPr="00806B7F">
        <w:rPr>
          <w:rFonts w:ascii="Arial" w:hAnsi="Arial" w:cs="Arial"/>
          <w:sz w:val="20"/>
        </w:rPr>
        <w:t>m over the next five years</w:t>
      </w:r>
      <w:r w:rsidR="00337A0C" w:rsidRPr="00806B7F">
        <w:rPr>
          <w:rFonts w:ascii="Arial" w:hAnsi="Arial" w:cs="Arial"/>
          <w:sz w:val="20"/>
        </w:rPr>
        <w:t>.</w:t>
      </w:r>
    </w:p>
    <w:p w14:paraId="63979546" w14:textId="77777777" w:rsidR="004B7D0D" w:rsidRPr="00806B7F" w:rsidRDefault="004B7D0D" w:rsidP="00732E63">
      <w:pPr>
        <w:jc w:val="both"/>
        <w:rPr>
          <w:rFonts w:ascii="Arial" w:hAnsi="Arial" w:cs="Arial"/>
          <w:sz w:val="20"/>
        </w:rPr>
      </w:pPr>
    </w:p>
    <w:p w14:paraId="17B54F73" w14:textId="55345E81" w:rsidR="00B01740" w:rsidRPr="00806B7F" w:rsidRDefault="00A06D38" w:rsidP="00732E63">
      <w:pPr>
        <w:jc w:val="both"/>
        <w:rPr>
          <w:rFonts w:ascii="Arial" w:hAnsi="Arial" w:cs="Arial"/>
          <w:sz w:val="20"/>
        </w:rPr>
      </w:pPr>
      <w:r w:rsidRPr="00806B7F">
        <w:rPr>
          <w:rFonts w:ascii="Arial" w:hAnsi="Arial" w:cs="Arial"/>
          <w:sz w:val="20"/>
        </w:rPr>
        <w:t>Whilst t</w:t>
      </w:r>
      <w:r w:rsidR="00337A0C" w:rsidRPr="00806B7F">
        <w:rPr>
          <w:rFonts w:ascii="Arial" w:hAnsi="Arial" w:cs="Arial"/>
          <w:sz w:val="20"/>
        </w:rPr>
        <w:t>h</w:t>
      </w:r>
      <w:r w:rsidR="00860FB8" w:rsidRPr="00806B7F">
        <w:rPr>
          <w:rFonts w:ascii="Arial" w:hAnsi="Arial" w:cs="Arial"/>
          <w:sz w:val="20"/>
        </w:rPr>
        <w:t>e programme over the next</w:t>
      </w:r>
      <w:r w:rsidRPr="00806B7F">
        <w:rPr>
          <w:rFonts w:ascii="Arial" w:hAnsi="Arial" w:cs="Arial"/>
          <w:sz w:val="20"/>
        </w:rPr>
        <w:t xml:space="preserve"> five </w:t>
      </w:r>
      <w:r w:rsidR="00860FB8" w:rsidRPr="00806B7F">
        <w:rPr>
          <w:rFonts w:ascii="Arial" w:hAnsi="Arial" w:cs="Arial"/>
          <w:sz w:val="20"/>
        </w:rPr>
        <w:t xml:space="preserve">years </w:t>
      </w:r>
      <w:r w:rsidRPr="00806B7F">
        <w:rPr>
          <w:rFonts w:ascii="Arial" w:hAnsi="Arial" w:cs="Arial"/>
          <w:sz w:val="20"/>
        </w:rPr>
        <w:t>requires</w:t>
      </w:r>
      <w:r w:rsidR="00CA11D6" w:rsidRPr="00806B7F">
        <w:rPr>
          <w:rFonts w:ascii="Arial" w:hAnsi="Arial" w:cs="Arial"/>
          <w:sz w:val="20"/>
        </w:rPr>
        <w:t xml:space="preserve"> </w:t>
      </w:r>
      <w:r w:rsidRPr="00806B7F">
        <w:rPr>
          <w:rFonts w:ascii="Arial" w:hAnsi="Arial" w:cs="Arial"/>
          <w:sz w:val="20"/>
        </w:rPr>
        <w:t>£</w:t>
      </w:r>
      <w:r w:rsidR="00806B7F" w:rsidRPr="00806B7F">
        <w:rPr>
          <w:rFonts w:ascii="Arial" w:hAnsi="Arial" w:cs="Arial"/>
          <w:sz w:val="20"/>
        </w:rPr>
        <w:t>11</w:t>
      </w:r>
      <w:r w:rsidRPr="00806B7F">
        <w:rPr>
          <w:rFonts w:ascii="Arial" w:hAnsi="Arial" w:cs="Arial"/>
          <w:sz w:val="20"/>
        </w:rPr>
        <w:t xml:space="preserve">m of </w:t>
      </w:r>
      <w:r w:rsidR="005A6387" w:rsidRPr="00806B7F">
        <w:rPr>
          <w:rFonts w:ascii="Arial" w:hAnsi="Arial" w:cs="Arial"/>
          <w:sz w:val="20"/>
        </w:rPr>
        <w:t>borrowing</w:t>
      </w:r>
      <w:r w:rsidRPr="00806B7F">
        <w:rPr>
          <w:rFonts w:ascii="Arial" w:hAnsi="Arial" w:cs="Arial"/>
          <w:sz w:val="20"/>
        </w:rPr>
        <w:t xml:space="preserve">, this is </w:t>
      </w:r>
      <w:r w:rsidR="005A6387" w:rsidRPr="00806B7F">
        <w:rPr>
          <w:rFonts w:ascii="Arial" w:hAnsi="Arial" w:cs="Arial"/>
          <w:sz w:val="20"/>
        </w:rPr>
        <w:t xml:space="preserve">accounted for </w:t>
      </w:r>
      <w:r w:rsidRPr="00806B7F">
        <w:rPr>
          <w:rFonts w:ascii="Arial" w:hAnsi="Arial" w:cs="Arial"/>
          <w:sz w:val="20"/>
        </w:rPr>
        <w:t>in the revenue budget,</w:t>
      </w:r>
      <w:r w:rsidR="005A6387" w:rsidRPr="00806B7F">
        <w:rPr>
          <w:rFonts w:ascii="Arial" w:hAnsi="Arial" w:cs="Arial"/>
          <w:sz w:val="20"/>
        </w:rPr>
        <w:t xml:space="preserve"> </w:t>
      </w:r>
      <w:r w:rsidRPr="00806B7F">
        <w:rPr>
          <w:rFonts w:ascii="Arial" w:hAnsi="Arial" w:cs="Arial"/>
          <w:sz w:val="20"/>
        </w:rPr>
        <w:t>an</w:t>
      </w:r>
      <w:r w:rsidR="005A6387" w:rsidRPr="00806B7F">
        <w:rPr>
          <w:rFonts w:ascii="Arial" w:hAnsi="Arial" w:cs="Arial"/>
          <w:sz w:val="20"/>
        </w:rPr>
        <w:t>d</w:t>
      </w:r>
      <w:r w:rsidRPr="00806B7F">
        <w:rPr>
          <w:rFonts w:ascii="Arial" w:hAnsi="Arial" w:cs="Arial"/>
          <w:sz w:val="20"/>
        </w:rPr>
        <w:t xml:space="preserve"> h</w:t>
      </w:r>
      <w:r w:rsidR="005A6387" w:rsidRPr="00806B7F">
        <w:rPr>
          <w:rFonts w:ascii="Arial" w:hAnsi="Arial" w:cs="Arial"/>
          <w:sz w:val="20"/>
        </w:rPr>
        <w:t>e</w:t>
      </w:r>
      <w:r w:rsidRPr="00806B7F">
        <w:rPr>
          <w:rFonts w:ascii="Arial" w:hAnsi="Arial" w:cs="Arial"/>
          <w:sz w:val="20"/>
        </w:rPr>
        <w:t>n</w:t>
      </w:r>
      <w:r w:rsidR="005A6387" w:rsidRPr="00806B7F">
        <w:rPr>
          <w:rFonts w:ascii="Arial" w:hAnsi="Arial" w:cs="Arial"/>
          <w:sz w:val="20"/>
        </w:rPr>
        <w:t>c</w:t>
      </w:r>
      <w:r w:rsidRPr="00806B7F">
        <w:rPr>
          <w:rFonts w:ascii="Arial" w:hAnsi="Arial" w:cs="Arial"/>
          <w:sz w:val="20"/>
        </w:rPr>
        <w:t xml:space="preserve">e the </w:t>
      </w:r>
      <w:r w:rsidR="005A6387" w:rsidRPr="00806B7F">
        <w:rPr>
          <w:rFonts w:ascii="Arial" w:hAnsi="Arial" w:cs="Arial"/>
          <w:sz w:val="20"/>
        </w:rPr>
        <w:t>capital programme</w:t>
      </w:r>
      <w:r w:rsidRPr="00806B7F">
        <w:rPr>
          <w:rFonts w:ascii="Arial" w:hAnsi="Arial" w:cs="Arial"/>
          <w:sz w:val="20"/>
        </w:rPr>
        <w:t xml:space="preserve"> is </w:t>
      </w:r>
      <w:r w:rsidR="005A6387" w:rsidRPr="00806B7F">
        <w:rPr>
          <w:rFonts w:ascii="Arial" w:hAnsi="Arial" w:cs="Arial"/>
          <w:sz w:val="20"/>
        </w:rPr>
        <w:t>considered</w:t>
      </w:r>
      <w:r w:rsidRPr="00806B7F">
        <w:rPr>
          <w:rFonts w:ascii="Arial" w:hAnsi="Arial" w:cs="Arial"/>
          <w:sz w:val="20"/>
        </w:rPr>
        <w:t xml:space="preserve"> </w:t>
      </w:r>
      <w:r w:rsidR="00860FB8" w:rsidRPr="00806B7F">
        <w:rPr>
          <w:rFonts w:ascii="Arial" w:hAnsi="Arial" w:cs="Arial"/>
          <w:sz w:val="20"/>
        </w:rPr>
        <w:t>affordable</w:t>
      </w:r>
      <w:r w:rsidRPr="00806B7F">
        <w:rPr>
          <w:rFonts w:ascii="Arial" w:hAnsi="Arial" w:cs="Arial"/>
          <w:sz w:val="20"/>
        </w:rPr>
        <w:t xml:space="preserve">, </w:t>
      </w:r>
      <w:proofErr w:type="gramStart"/>
      <w:r w:rsidR="005A6387" w:rsidRPr="00806B7F">
        <w:rPr>
          <w:rFonts w:ascii="Arial" w:hAnsi="Arial" w:cs="Arial"/>
          <w:sz w:val="20"/>
        </w:rPr>
        <w:t>prudent</w:t>
      </w:r>
      <w:proofErr w:type="gramEnd"/>
      <w:r w:rsidRPr="00806B7F">
        <w:rPr>
          <w:rFonts w:ascii="Arial" w:hAnsi="Arial" w:cs="Arial"/>
          <w:sz w:val="20"/>
        </w:rPr>
        <w:t xml:space="preserve"> and </w:t>
      </w:r>
      <w:r w:rsidR="005A6387" w:rsidRPr="00806B7F">
        <w:rPr>
          <w:rFonts w:ascii="Arial" w:hAnsi="Arial" w:cs="Arial"/>
          <w:sz w:val="20"/>
        </w:rPr>
        <w:t>sustainable</w:t>
      </w:r>
      <w:r w:rsidRPr="00806B7F">
        <w:rPr>
          <w:rFonts w:ascii="Arial" w:hAnsi="Arial" w:cs="Arial"/>
          <w:sz w:val="20"/>
        </w:rPr>
        <w:t>.</w:t>
      </w:r>
    </w:p>
    <w:p w14:paraId="332416D6" w14:textId="77777777" w:rsidR="00E022F8" w:rsidRPr="00806B7F" w:rsidRDefault="00E022F8" w:rsidP="00E022F8">
      <w:pPr>
        <w:tabs>
          <w:tab w:val="left" w:pos="0"/>
        </w:tabs>
        <w:jc w:val="both"/>
        <w:rPr>
          <w:rFonts w:ascii="Arial" w:hAnsi="Arial" w:cs="Arial"/>
          <w:sz w:val="20"/>
        </w:rPr>
      </w:pPr>
    </w:p>
    <w:p w14:paraId="0A8CF0A1" w14:textId="77777777" w:rsidR="00E022F8" w:rsidRPr="00806B7F" w:rsidRDefault="00E022F8" w:rsidP="00E022F8">
      <w:pPr>
        <w:tabs>
          <w:tab w:val="left" w:pos="0"/>
        </w:tabs>
        <w:jc w:val="both"/>
        <w:rPr>
          <w:rFonts w:ascii="Arial" w:hAnsi="Arial" w:cs="Arial"/>
          <w:b/>
          <w:sz w:val="20"/>
          <w:u w:val="single"/>
        </w:rPr>
      </w:pPr>
      <w:r w:rsidRPr="00806B7F">
        <w:rPr>
          <w:rFonts w:ascii="Arial" w:hAnsi="Arial" w:cs="Arial"/>
          <w:b/>
          <w:sz w:val="20"/>
          <w:u w:val="single"/>
        </w:rPr>
        <w:t>Reserves and Balances</w:t>
      </w:r>
    </w:p>
    <w:p w14:paraId="5BF7FEA5" w14:textId="77777777" w:rsidR="00E022F8" w:rsidRPr="00806B7F" w:rsidRDefault="00E022F8" w:rsidP="00E022F8">
      <w:pPr>
        <w:tabs>
          <w:tab w:val="left" w:pos="0"/>
        </w:tabs>
        <w:jc w:val="both"/>
        <w:rPr>
          <w:rFonts w:ascii="Arial" w:hAnsi="Arial" w:cs="Arial"/>
          <w:sz w:val="20"/>
        </w:rPr>
      </w:pPr>
    </w:p>
    <w:p w14:paraId="11B142C0" w14:textId="12C8EEF9" w:rsidR="00A06D38" w:rsidRPr="00806B7F" w:rsidRDefault="00E022F8" w:rsidP="00E022F8">
      <w:pPr>
        <w:tabs>
          <w:tab w:val="left" w:pos="0"/>
        </w:tabs>
        <w:jc w:val="both"/>
        <w:rPr>
          <w:rFonts w:ascii="Arial" w:hAnsi="Arial" w:cs="Arial"/>
          <w:sz w:val="20"/>
        </w:rPr>
      </w:pPr>
      <w:r w:rsidRPr="00806B7F">
        <w:rPr>
          <w:rFonts w:ascii="Arial" w:hAnsi="Arial" w:cs="Arial"/>
          <w:sz w:val="20"/>
        </w:rPr>
        <w:t xml:space="preserve">In terms of reserves and balances, the Authority has identified a </w:t>
      </w:r>
      <w:r w:rsidR="00FC5AF7" w:rsidRPr="00806B7F">
        <w:rPr>
          <w:rFonts w:ascii="Arial" w:hAnsi="Arial" w:cs="Arial"/>
          <w:sz w:val="20"/>
        </w:rPr>
        <w:t xml:space="preserve">General Reserves </w:t>
      </w:r>
      <w:r w:rsidRPr="00806B7F">
        <w:rPr>
          <w:rFonts w:ascii="Arial" w:hAnsi="Arial" w:cs="Arial"/>
          <w:sz w:val="20"/>
        </w:rPr>
        <w:t>minimum target of £</w:t>
      </w:r>
      <w:r w:rsidR="00806B7F" w:rsidRPr="00806B7F">
        <w:rPr>
          <w:rFonts w:ascii="Arial" w:hAnsi="Arial" w:cs="Arial"/>
          <w:sz w:val="20"/>
        </w:rPr>
        <w:t>3.75</w:t>
      </w:r>
      <w:r w:rsidR="00F61D70" w:rsidRPr="00806B7F">
        <w:rPr>
          <w:rFonts w:ascii="Arial" w:hAnsi="Arial" w:cs="Arial"/>
          <w:sz w:val="20"/>
        </w:rPr>
        <w:t xml:space="preserve">m </w:t>
      </w:r>
      <w:r w:rsidRPr="00806B7F">
        <w:rPr>
          <w:rFonts w:ascii="Arial" w:hAnsi="Arial" w:cs="Arial"/>
          <w:sz w:val="20"/>
        </w:rPr>
        <w:t>and a maximum target of £10.0m. After allowing for the anticipated usage the Authority estimates it will hold £</w:t>
      </w:r>
      <w:r w:rsidR="00806B7F" w:rsidRPr="00806B7F">
        <w:rPr>
          <w:rFonts w:ascii="Arial" w:hAnsi="Arial" w:cs="Arial"/>
          <w:sz w:val="20"/>
        </w:rPr>
        <w:t>4</w:t>
      </w:r>
      <w:r w:rsidR="00B01740" w:rsidRPr="00806B7F">
        <w:rPr>
          <w:rFonts w:ascii="Arial" w:hAnsi="Arial" w:cs="Arial"/>
          <w:sz w:val="20"/>
        </w:rPr>
        <w:t>.0</w:t>
      </w:r>
      <w:r w:rsidRPr="00806B7F">
        <w:rPr>
          <w:rFonts w:ascii="Arial" w:hAnsi="Arial" w:cs="Arial"/>
          <w:sz w:val="20"/>
        </w:rPr>
        <w:t xml:space="preserve">m of uncommitted reserves by </w:t>
      </w:r>
      <w:r w:rsidR="00B01740" w:rsidRPr="00806B7F">
        <w:rPr>
          <w:rFonts w:ascii="Arial" w:hAnsi="Arial" w:cs="Arial"/>
          <w:sz w:val="20"/>
        </w:rPr>
        <w:t>31 March 202</w:t>
      </w:r>
      <w:r w:rsidR="00806B7F" w:rsidRPr="00806B7F">
        <w:rPr>
          <w:rFonts w:ascii="Arial" w:hAnsi="Arial" w:cs="Arial"/>
          <w:sz w:val="20"/>
        </w:rPr>
        <w:t>3</w:t>
      </w:r>
      <w:r w:rsidR="00B01740" w:rsidRPr="00806B7F">
        <w:rPr>
          <w:rFonts w:ascii="Arial" w:hAnsi="Arial" w:cs="Arial"/>
          <w:sz w:val="20"/>
        </w:rPr>
        <w:t xml:space="preserve">. </w:t>
      </w:r>
      <w:r w:rsidR="00806B7F" w:rsidRPr="00806B7F">
        <w:rPr>
          <w:rFonts w:ascii="Arial" w:hAnsi="Arial" w:cs="Arial"/>
          <w:sz w:val="20"/>
        </w:rPr>
        <w:t xml:space="preserve">The revenue budget identifies a need to utilise £0.15m of these in 23/24, leaving a balance of £3.85m, </w:t>
      </w:r>
      <w:proofErr w:type="gramStart"/>
      <w:r w:rsidR="00806B7F" w:rsidRPr="00806B7F">
        <w:rPr>
          <w:rFonts w:ascii="Arial" w:hAnsi="Arial" w:cs="Arial"/>
          <w:sz w:val="20"/>
        </w:rPr>
        <w:t>in excess of</w:t>
      </w:r>
      <w:proofErr w:type="gramEnd"/>
      <w:r w:rsidR="00806B7F" w:rsidRPr="00806B7F">
        <w:rPr>
          <w:rFonts w:ascii="Arial" w:hAnsi="Arial" w:cs="Arial"/>
          <w:sz w:val="20"/>
        </w:rPr>
        <w:t xml:space="preserve"> the minimum level, </w:t>
      </w:r>
      <w:r w:rsidR="00A06D38" w:rsidRPr="00806B7F">
        <w:rPr>
          <w:rFonts w:ascii="Arial" w:hAnsi="Arial" w:cs="Arial"/>
          <w:sz w:val="20"/>
        </w:rPr>
        <w:t>and h</w:t>
      </w:r>
      <w:r w:rsidR="005A6387" w:rsidRPr="00806B7F">
        <w:rPr>
          <w:rFonts w:ascii="Arial" w:hAnsi="Arial" w:cs="Arial"/>
          <w:sz w:val="20"/>
        </w:rPr>
        <w:t>en</w:t>
      </w:r>
      <w:r w:rsidR="00A06D38" w:rsidRPr="00806B7F">
        <w:rPr>
          <w:rFonts w:ascii="Arial" w:hAnsi="Arial" w:cs="Arial"/>
          <w:sz w:val="20"/>
        </w:rPr>
        <w:t>c</w:t>
      </w:r>
      <w:r w:rsidR="005A6387" w:rsidRPr="00806B7F">
        <w:rPr>
          <w:rFonts w:ascii="Arial" w:hAnsi="Arial" w:cs="Arial"/>
          <w:sz w:val="20"/>
        </w:rPr>
        <w:t>e</w:t>
      </w:r>
      <w:r w:rsidR="00A06D38" w:rsidRPr="00806B7F">
        <w:rPr>
          <w:rFonts w:ascii="Arial" w:hAnsi="Arial" w:cs="Arial"/>
          <w:sz w:val="20"/>
        </w:rPr>
        <w:t xml:space="preserve"> </w:t>
      </w:r>
      <w:r w:rsidRPr="00806B7F">
        <w:rPr>
          <w:rFonts w:ascii="Arial" w:hAnsi="Arial" w:cs="Arial"/>
          <w:sz w:val="20"/>
        </w:rPr>
        <w:t>the Treasurer considers these are adequate to meet our requirements.</w:t>
      </w:r>
    </w:p>
    <w:p w14:paraId="1FAA5943" w14:textId="77777777" w:rsidR="00A06D38" w:rsidRPr="00806B7F" w:rsidRDefault="00A06D38" w:rsidP="00E022F8">
      <w:pPr>
        <w:tabs>
          <w:tab w:val="left" w:pos="0"/>
        </w:tabs>
        <w:jc w:val="both"/>
        <w:rPr>
          <w:rFonts w:ascii="Arial" w:hAnsi="Arial" w:cs="Arial"/>
          <w:sz w:val="20"/>
        </w:rPr>
      </w:pPr>
    </w:p>
    <w:p w14:paraId="6AC05D86" w14:textId="140FA2F0" w:rsidR="00A06D38" w:rsidRPr="00806B7F" w:rsidRDefault="00A06D38" w:rsidP="00E022F8">
      <w:pPr>
        <w:tabs>
          <w:tab w:val="left" w:pos="0"/>
        </w:tabs>
        <w:jc w:val="both"/>
        <w:rPr>
          <w:rFonts w:ascii="Arial" w:hAnsi="Arial" w:cs="Arial"/>
          <w:sz w:val="20"/>
        </w:rPr>
      </w:pPr>
      <w:r w:rsidRPr="00806B7F">
        <w:rPr>
          <w:rFonts w:ascii="Arial" w:hAnsi="Arial" w:cs="Arial"/>
          <w:sz w:val="20"/>
        </w:rPr>
        <w:t>Other reserves reduce sign</w:t>
      </w:r>
      <w:r w:rsidR="005A6387" w:rsidRPr="00806B7F">
        <w:rPr>
          <w:rFonts w:ascii="Arial" w:hAnsi="Arial" w:cs="Arial"/>
          <w:sz w:val="20"/>
        </w:rPr>
        <w:t>ificantly</w:t>
      </w:r>
      <w:r w:rsidRPr="00806B7F">
        <w:rPr>
          <w:rFonts w:ascii="Arial" w:hAnsi="Arial" w:cs="Arial"/>
          <w:sz w:val="20"/>
        </w:rPr>
        <w:t xml:space="preserve"> over</w:t>
      </w:r>
      <w:r w:rsidR="005A6387" w:rsidRPr="00806B7F">
        <w:rPr>
          <w:rFonts w:ascii="Arial" w:hAnsi="Arial" w:cs="Arial"/>
          <w:sz w:val="20"/>
        </w:rPr>
        <w:t xml:space="preserve"> </w:t>
      </w:r>
      <w:r w:rsidRPr="00806B7F">
        <w:rPr>
          <w:rFonts w:ascii="Arial" w:hAnsi="Arial" w:cs="Arial"/>
          <w:sz w:val="20"/>
        </w:rPr>
        <w:t>th</w:t>
      </w:r>
      <w:r w:rsidR="005A6387" w:rsidRPr="00806B7F">
        <w:rPr>
          <w:rFonts w:ascii="Arial" w:hAnsi="Arial" w:cs="Arial"/>
          <w:sz w:val="20"/>
        </w:rPr>
        <w:t>e</w:t>
      </w:r>
      <w:r w:rsidRPr="00806B7F">
        <w:rPr>
          <w:rFonts w:ascii="Arial" w:hAnsi="Arial" w:cs="Arial"/>
          <w:sz w:val="20"/>
        </w:rPr>
        <w:t xml:space="preserve"> </w:t>
      </w:r>
      <w:proofErr w:type="gramStart"/>
      <w:r w:rsidRPr="00806B7F">
        <w:rPr>
          <w:rFonts w:ascii="Arial" w:hAnsi="Arial" w:cs="Arial"/>
          <w:sz w:val="20"/>
        </w:rPr>
        <w:t>5 year</w:t>
      </w:r>
      <w:proofErr w:type="gramEnd"/>
      <w:r w:rsidRPr="00806B7F">
        <w:rPr>
          <w:rFonts w:ascii="Arial" w:hAnsi="Arial" w:cs="Arial"/>
          <w:sz w:val="20"/>
        </w:rPr>
        <w:t xml:space="preserve"> plan, </w:t>
      </w:r>
      <w:r w:rsidR="005A6387" w:rsidRPr="00806B7F">
        <w:rPr>
          <w:rFonts w:ascii="Arial" w:hAnsi="Arial" w:cs="Arial"/>
          <w:sz w:val="20"/>
        </w:rPr>
        <w:t>reflecting</w:t>
      </w:r>
      <w:r w:rsidRPr="00806B7F">
        <w:rPr>
          <w:rFonts w:ascii="Arial" w:hAnsi="Arial" w:cs="Arial"/>
          <w:sz w:val="20"/>
        </w:rPr>
        <w:t xml:space="preserve"> their </w:t>
      </w:r>
      <w:r w:rsidR="005A6387" w:rsidRPr="00806B7F">
        <w:rPr>
          <w:rFonts w:ascii="Arial" w:hAnsi="Arial" w:cs="Arial"/>
          <w:sz w:val="20"/>
        </w:rPr>
        <w:t>utilisation</w:t>
      </w:r>
      <w:r w:rsidRPr="00806B7F">
        <w:rPr>
          <w:rFonts w:ascii="Arial" w:hAnsi="Arial" w:cs="Arial"/>
          <w:sz w:val="20"/>
        </w:rPr>
        <w:t xml:space="preserve"> </w:t>
      </w:r>
      <w:r w:rsidR="00806B7F" w:rsidRPr="00806B7F">
        <w:rPr>
          <w:rFonts w:ascii="Arial" w:hAnsi="Arial" w:cs="Arial"/>
          <w:sz w:val="20"/>
        </w:rPr>
        <w:t>to</w:t>
      </w:r>
      <w:r w:rsidRPr="00806B7F">
        <w:rPr>
          <w:rFonts w:ascii="Arial" w:hAnsi="Arial" w:cs="Arial"/>
          <w:sz w:val="20"/>
        </w:rPr>
        <w:t xml:space="preserve"> support the capital programme.</w:t>
      </w:r>
    </w:p>
    <w:p w14:paraId="593EA692" w14:textId="77777777" w:rsidR="00C200D6" w:rsidRPr="00806B7F" w:rsidRDefault="00C200D6" w:rsidP="00E022F8">
      <w:pPr>
        <w:tabs>
          <w:tab w:val="left" w:pos="0"/>
        </w:tabs>
        <w:jc w:val="both"/>
        <w:rPr>
          <w:rFonts w:ascii="Arial" w:hAnsi="Arial" w:cs="Arial"/>
          <w:sz w:val="20"/>
        </w:rPr>
      </w:pPr>
    </w:p>
    <w:p w14:paraId="53890907" w14:textId="77777777" w:rsidR="00C200D6" w:rsidRPr="00806B7F" w:rsidRDefault="00C200D6" w:rsidP="00E022F8">
      <w:pPr>
        <w:tabs>
          <w:tab w:val="left" w:pos="0"/>
        </w:tabs>
        <w:jc w:val="both"/>
        <w:rPr>
          <w:rFonts w:ascii="Arial" w:hAnsi="Arial" w:cs="Arial"/>
          <w:b/>
          <w:sz w:val="20"/>
          <w:u w:val="single"/>
        </w:rPr>
      </w:pPr>
      <w:r w:rsidRPr="00806B7F">
        <w:rPr>
          <w:rFonts w:ascii="Arial" w:hAnsi="Arial" w:cs="Arial"/>
          <w:b/>
          <w:sz w:val="20"/>
          <w:u w:val="single"/>
        </w:rPr>
        <w:t>Treasury Management</w:t>
      </w:r>
    </w:p>
    <w:p w14:paraId="4B2C3127" w14:textId="77777777" w:rsidR="00C200D6" w:rsidRPr="00806B7F" w:rsidRDefault="00C200D6" w:rsidP="00E022F8">
      <w:pPr>
        <w:tabs>
          <w:tab w:val="left" w:pos="0"/>
        </w:tabs>
        <w:jc w:val="both"/>
        <w:rPr>
          <w:rFonts w:ascii="Arial" w:hAnsi="Arial" w:cs="Arial"/>
          <w:sz w:val="20"/>
        </w:rPr>
      </w:pPr>
    </w:p>
    <w:p w14:paraId="79667650" w14:textId="53887922" w:rsidR="00C200D6" w:rsidRPr="00806B7F" w:rsidRDefault="00C200D6" w:rsidP="00E022F8">
      <w:pPr>
        <w:tabs>
          <w:tab w:val="left" w:pos="0"/>
        </w:tabs>
        <w:jc w:val="both"/>
        <w:rPr>
          <w:rFonts w:ascii="Arial" w:hAnsi="Arial" w:cs="Arial"/>
          <w:sz w:val="20"/>
        </w:rPr>
      </w:pPr>
      <w:r w:rsidRPr="00806B7F">
        <w:rPr>
          <w:rFonts w:ascii="Arial" w:hAnsi="Arial" w:cs="Arial"/>
          <w:sz w:val="20"/>
        </w:rPr>
        <w:t xml:space="preserve">The Treasury Management strategy shows the Authority </w:t>
      </w:r>
      <w:r w:rsidR="003867D4" w:rsidRPr="00806B7F">
        <w:rPr>
          <w:rFonts w:ascii="Arial" w:hAnsi="Arial" w:cs="Arial"/>
          <w:sz w:val="20"/>
        </w:rPr>
        <w:t xml:space="preserve">holding surplus cash, which is available for investment or to pay off existing debt. </w:t>
      </w:r>
      <w:r w:rsidR="00F61D70" w:rsidRPr="00806B7F">
        <w:rPr>
          <w:rFonts w:ascii="Arial" w:hAnsi="Arial" w:cs="Arial"/>
          <w:sz w:val="20"/>
        </w:rPr>
        <w:t>However,</w:t>
      </w:r>
      <w:r w:rsidR="003867D4" w:rsidRPr="00806B7F">
        <w:rPr>
          <w:rFonts w:ascii="Arial" w:hAnsi="Arial" w:cs="Arial"/>
          <w:sz w:val="20"/>
        </w:rPr>
        <w:t xml:space="preserve"> given the penalty associated with debt repayment, and </w:t>
      </w:r>
      <w:r w:rsidR="00A06D38" w:rsidRPr="00806B7F">
        <w:rPr>
          <w:rFonts w:ascii="Arial" w:hAnsi="Arial" w:cs="Arial"/>
          <w:sz w:val="20"/>
        </w:rPr>
        <w:t xml:space="preserve">the </w:t>
      </w:r>
      <w:r w:rsidR="005A6387" w:rsidRPr="00806B7F">
        <w:rPr>
          <w:rFonts w:ascii="Arial" w:hAnsi="Arial" w:cs="Arial"/>
          <w:sz w:val="20"/>
        </w:rPr>
        <w:t>future</w:t>
      </w:r>
      <w:r w:rsidR="00A06D38" w:rsidRPr="00806B7F">
        <w:rPr>
          <w:rFonts w:ascii="Arial" w:hAnsi="Arial" w:cs="Arial"/>
          <w:sz w:val="20"/>
        </w:rPr>
        <w:t xml:space="preserve"> need</w:t>
      </w:r>
      <w:r w:rsidR="005A6387" w:rsidRPr="00806B7F">
        <w:rPr>
          <w:rFonts w:ascii="Arial" w:hAnsi="Arial" w:cs="Arial"/>
          <w:sz w:val="20"/>
        </w:rPr>
        <w:t xml:space="preserve"> </w:t>
      </w:r>
      <w:r w:rsidR="00A06D38" w:rsidRPr="00806B7F">
        <w:rPr>
          <w:rFonts w:ascii="Arial" w:hAnsi="Arial" w:cs="Arial"/>
          <w:sz w:val="20"/>
        </w:rPr>
        <w:t>to borrow</w:t>
      </w:r>
      <w:r w:rsidR="003867D4" w:rsidRPr="00806B7F">
        <w:rPr>
          <w:rFonts w:ascii="Arial" w:hAnsi="Arial" w:cs="Arial"/>
          <w:sz w:val="20"/>
        </w:rPr>
        <w:t xml:space="preserve">, it is not considered appropriate to pay off debt </w:t>
      </w:r>
      <w:proofErr w:type="gramStart"/>
      <w:r w:rsidR="003867D4" w:rsidRPr="00806B7F">
        <w:rPr>
          <w:rFonts w:ascii="Arial" w:hAnsi="Arial" w:cs="Arial"/>
          <w:sz w:val="20"/>
        </w:rPr>
        <w:t>at this point in time</w:t>
      </w:r>
      <w:proofErr w:type="gramEnd"/>
      <w:r w:rsidR="003867D4" w:rsidRPr="00806B7F">
        <w:rPr>
          <w:rFonts w:ascii="Arial" w:hAnsi="Arial" w:cs="Arial"/>
          <w:sz w:val="20"/>
        </w:rPr>
        <w:t xml:space="preserve">.  </w:t>
      </w:r>
    </w:p>
    <w:p w14:paraId="6AD5D066" w14:textId="77777777" w:rsidR="006878ED" w:rsidRPr="00806B7F" w:rsidRDefault="00E022F8" w:rsidP="006878ED">
      <w:pPr>
        <w:jc w:val="both"/>
        <w:rPr>
          <w:rFonts w:ascii="Arial" w:hAnsi="Arial" w:cs="Arial"/>
          <w:b/>
          <w:sz w:val="20"/>
          <w:u w:val="single"/>
        </w:rPr>
      </w:pPr>
      <w:r w:rsidRPr="00806B7F">
        <w:rPr>
          <w:rFonts w:ascii="Arial" w:hAnsi="Arial" w:cs="Arial"/>
          <w:b/>
          <w:sz w:val="20"/>
          <w:u w:val="single"/>
        </w:rPr>
        <w:br w:type="page"/>
        <w:t>SECTION 2</w:t>
      </w:r>
    </w:p>
    <w:p w14:paraId="27A8C447" w14:textId="77777777" w:rsidR="006878ED" w:rsidRPr="00806B7F" w:rsidRDefault="006878ED" w:rsidP="006878ED">
      <w:pPr>
        <w:jc w:val="both"/>
        <w:rPr>
          <w:rFonts w:ascii="Arial" w:hAnsi="Arial" w:cs="Arial"/>
          <w:b/>
          <w:sz w:val="20"/>
          <w:u w:val="single"/>
        </w:rPr>
      </w:pPr>
    </w:p>
    <w:p w14:paraId="107EAEF0" w14:textId="2C0CFBF8" w:rsidR="006878ED" w:rsidRPr="00806B7F" w:rsidRDefault="006878ED" w:rsidP="006878ED">
      <w:pPr>
        <w:jc w:val="both"/>
        <w:rPr>
          <w:rFonts w:ascii="Arial" w:hAnsi="Arial" w:cs="Arial"/>
          <w:b/>
          <w:caps/>
          <w:sz w:val="20"/>
          <w:u w:val="single"/>
        </w:rPr>
      </w:pPr>
      <w:r w:rsidRPr="00806B7F">
        <w:rPr>
          <w:rFonts w:ascii="Arial" w:hAnsi="Arial" w:cs="Arial"/>
          <w:b/>
          <w:sz w:val="20"/>
          <w:u w:val="single"/>
        </w:rPr>
        <w:t xml:space="preserve">REVENUE BUDGET </w:t>
      </w:r>
      <w:r w:rsidR="00F61D70" w:rsidRPr="00806B7F">
        <w:rPr>
          <w:rFonts w:ascii="Arial" w:hAnsi="Arial" w:cs="Arial"/>
          <w:b/>
          <w:sz w:val="20"/>
          <w:u w:val="single"/>
        </w:rPr>
        <w:t>202</w:t>
      </w:r>
      <w:r w:rsidR="00CA11D6" w:rsidRPr="00806B7F">
        <w:rPr>
          <w:rFonts w:ascii="Arial" w:hAnsi="Arial" w:cs="Arial"/>
          <w:b/>
          <w:sz w:val="20"/>
          <w:u w:val="single"/>
        </w:rPr>
        <w:t>3/24</w:t>
      </w:r>
      <w:r w:rsidR="0096667D" w:rsidRPr="00806B7F">
        <w:rPr>
          <w:rFonts w:ascii="Arial" w:hAnsi="Arial" w:cs="Arial"/>
          <w:b/>
          <w:sz w:val="20"/>
          <w:u w:val="single"/>
        </w:rPr>
        <w:t>-202</w:t>
      </w:r>
      <w:r w:rsidR="00CA11D6" w:rsidRPr="00806B7F">
        <w:rPr>
          <w:rFonts w:ascii="Arial" w:hAnsi="Arial" w:cs="Arial"/>
          <w:b/>
          <w:sz w:val="20"/>
          <w:u w:val="single"/>
        </w:rPr>
        <w:t>7/28</w:t>
      </w:r>
    </w:p>
    <w:p w14:paraId="6709EA2D" w14:textId="77777777" w:rsidR="006878ED" w:rsidRPr="00806B7F" w:rsidRDefault="006878ED" w:rsidP="006878ED">
      <w:pPr>
        <w:rPr>
          <w:rFonts w:ascii="Arial" w:hAnsi="Arial" w:cs="Arial"/>
          <w:sz w:val="20"/>
        </w:rPr>
      </w:pPr>
    </w:p>
    <w:p w14:paraId="0269BB02" w14:textId="4C10AE16" w:rsidR="0001098D" w:rsidRPr="00806B7F" w:rsidRDefault="0001098D" w:rsidP="00BF6550">
      <w:pPr>
        <w:jc w:val="both"/>
        <w:rPr>
          <w:rFonts w:ascii="Arial" w:hAnsi="Arial" w:cs="Arial"/>
          <w:sz w:val="20"/>
        </w:rPr>
      </w:pPr>
      <w:r w:rsidRPr="00806B7F">
        <w:rPr>
          <w:rFonts w:ascii="Arial" w:hAnsi="Arial" w:cs="Arial"/>
          <w:sz w:val="20"/>
        </w:rPr>
        <w:t xml:space="preserve">In line with the Authority’s objective to deliver affordable, value for money services the Authority’s Budget Strategy remains one </w:t>
      </w:r>
      <w:r w:rsidR="004D7E8E" w:rsidRPr="00806B7F">
        <w:rPr>
          <w:rFonts w:ascii="Arial" w:hAnsi="Arial" w:cs="Arial"/>
          <w:sz w:val="20"/>
        </w:rPr>
        <w:t>of: -</w:t>
      </w:r>
    </w:p>
    <w:p w14:paraId="2D37FC77" w14:textId="77777777" w:rsidR="0001098D" w:rsidRPr="00806B7F" w:rsidRDefault="0001098D" w:rsidP="00BF6550">
      <w:pPr>
        <w:jc w:val="both"/>
        <w:rPr>
          <w:rFonts w:ascii="Arial" w:hAnsi="Arial" w:cs="Arial"/>
          <w:sz w:val="20"/>
        </w:rPr>
      </w:pPr>
      <w:r w:rsidRPr="00806B7F">
        <w:rPr>
          <w:rFonts w:ascii="Arial" w:hAnsi="Arial" w:cs="Arial"/>
          <w:sz w:val="20"/>
        </w:rPr>
        <w:t xml:space="preserve"> </w:t>
      </w:r>
    </w:p>
    <w:p w14:paraId="57DD38AC"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Maintaining future council tax increases at reasonable levels, reducing if possible;</w:t>
      </w:r>
    </w:p>
    <w:p w14:paraId="5CD40E5A"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Continuing to deliver efficiencies in line with targets;</w:t>
      </w:r>
    </w:p>
    <w:p w14:paraId="4E3773CD"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Continuing to invest in improvements in service delivery;</w:t>
      </w:r>
    </w:p>
    <w:p w14:paraId="406268E6"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Continuing to invest in improving facilities;</w:t>
      </w:r>
    </w:p>
    <w:p w14:paraId="1A5F08D6"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Setting a robust budget;</w:t>
      </w:r>
    </w:p>
    <w:p w14:paraId="4AE2C5F2" w14:textId="77777777" w:rsidR="0001098D" w:rsidRPr="00806B7F" w:rsidRDefault="0001098D" w:rsidP="00BF6550">
      <w:pPr>
        <w:numPr>
          <w:ilvl w:val="0"/>
          <w:numId w:val="5"/>
        </w:numPr>
        <w:tabs>
          <w:tab w:val="left" w:pos="0"/>
        </w:tabs>
        <w:jc w:val="both"/>
        <w:rPr>
          <w:rFonts w:ascii="Arial" w:hAnsi="Arial" w:cs="Arial"/>
          <w:sz w:val="20"/>
        </w:rPr>
      </w:pPr>
      <w:r w:rsidRPr="00806B7F">
        <w:rPr>
          <w:rFonts w:ascii="Arial" w:hAnsi="Arial" w:cs="Arial"/>
          <w:sz w:val="20"/>
        </w:rPr>
        <w:t>Maintaining an adequate level of reserves.</w:t>
      </w:r>
    </w:p>
    <w:p w14:paraId="78D0A456" w14:textId="77777777" w:rsidR="0001098D" w:rsidRPr="00806B7F" w:rsidRDefault="0001098D" w:rsidP="00BF6550">
      <w:pPr>
        <w:jc w:val="both"/>
        <w:rPr>
          <w:rFonts w:ascii="Arial" w:hAnsi="Arial" w:cs="Arial"/>
          <w:sz w:val="20"/>
        </w:rPr>
      </w:pPr>
    </w:p>
    <w:p w14:paraId="5DB68CC1" w14:textId="7A9604F5" w:rsidR="00B01740" w:rsidRPr="00806B7F" w:rsidRDefault="00B01740" w:rsidP="00BF6550">
      <w:pPr>
        <w:keepNext/>
        <w:jc w:val="both"/>
        <w:outlineLvl w:val="2"/>
        <w:rPr>
          <w:rFonts w:ascii="Arial" w:hAnsi="Arial" w:cs="Arial"/>
          <w:b/>
          <w:sz w:val="20"/>
          <w:u w:val="single"/>
        </w:rPr>
      </w:pPr>
      <w:r w:rsidRPr="00806B7F">
        <w:rPr>
          <w:rFonts w:ascii="Arial" w:hAnsi="Arial" w:cs="Arial"/>
          <w:b/>
          <w:sz w:val="20"/>
          <w:u w:val="single"/>
        </w:rPr>
        <w:t>Budget</w:t>
      </w:r>
    </w:p>
    <w:p w14:paraId="3F42A759" w14:textId="77777777" w:rsidR="00B01740" w:rsidRPr="00806B7F" w:rsidRDefault="00B01740" w:rsidP="00BF6550">
      <w:pPr>
        <w:jc w:val="both"/>
        <w:rPr>
          <w:rFonts w:ascii="Arial" w:hAnsi="Arial" w:cs="Arial"/>
          <w:sz w:val="20"/>
          <w:u w:val="single"/>
        </w:rPr>
      </w:pPr>
    </w:p>
    <w:p w14:paraId="4A6DB14D" w14:textId="77777777" w:rsidR="007C5B19" w:rsidRPr="00806B7F" w:rsidRDefault="007C5B19" w:rsidP="00BF6550">
      <w:pPr>
        <w:pStyle w:val="Footer"/>
        <w:tabs>
          <w:tab w:val="clear" w:pos="4153"/>
          <w:tab w:val="clear" w:pos="8306"/>
        </w:tabs>
        <w:jc w:val="both"/>
        <w:rPr>
          <w:rFonts w:ascii="Arial" w:hAnsi="Arial" w:cs="Arial"/>
          <w:sz w:val="20"/>
        </w:rPr>
      </w:pPr>
      <w:proofErr w:type="gramStart"/>
      <w:r w:rsidRPr="00806B7F">
        <w:rPr>
          <w:rFonts w:ascii="Arial" w:hAnsi="Arial" w:cs="Arial"/>
          <w:sz w:val="20"/>
        </w:rPr>
        <w:t>In order to</w:t>
      </w:r>
      <w:proofErr w:type="gramEnd"/>
      <w:r w:rsidRPr="00806B7F">
        <w:rPr>
          <w:rFonts w:ascii="Arial" w:hAnsi="Arial" w:cs="Arial"/>
          <w:sz w:val="20"/>
        </w:rPr>
        <w:t xml:space="preserve"> determine the future budget requirement, the Authority has used the approved 2022/23 budget as a starting point, and has uplifted this for inflation and other known changes and pressures, to arrive at a draft budgetary requirement, prior to utilising any reserves, as set out below: -</w:t>
      </w:r>
    </w:p>
    <w:p w14:paraId="6D37B59B" w14:textId="77777777" w:rsidR="007C5B19" w:rsidRPr="00806B7F" w:rsidRDefault="007C5B19" w:rsidP="00BF6550">
      <w:pPr>
        <w:pStyle w:val="Footer"/>
        <w:tabs>
          <w:tab w:val="clear" w:pos="4153"/>
          <w:tab w:val="clear" w:pos="8306"/>
        </w:tabs>
        <w:jc w:val="both"/>
        <w:rPr>
          <w:rFonts w:ascii="Arial" w:hAnsi="Arial" w:cs="Arial"/>
          <w:sz w:val="20"/>
        </w:rPr>
      </w:pPr>
    </w:p>
    <w:p w14:paraId="0D3EE4F6"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 Summary of Budget Changes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50F64A7A" w14:textId="77777777" w:rsidTr="00A369A1">
        <w:trPr>
          <w:trHeight w:val="404"/>
        </w:trPr>
        <w:tc>
          <w:tcPr>
            <w:tcW w:w="4390" w:type="dxa"/>
          </w:tcPr>
          <w:p w14:paraId="40E26957" w14:textId="77777777" w:rsidR="007C5B19" w:rsidRPr="00806B7F" w:rsidRDefault="007C5B19" w:rsidP="00A369A1">
            <w:pPr>
              <w:rPr>
                <w:rFonts w:ascii="Arial" w:hAnsi="Arial" w:cs="Arial"/>
                <w:sz w:val="20"/>
              </w:rPr>
            </w:pPr>
          </w:p>
        </w:tc>
        <w:tc>
          <w:tcPr>
            <w:tcW w:w="1134" w:type="dxa"/>
          </w:tcPr>
          <w:p w14:paraId="48EFFC61"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39B203E8"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7D4CBFFB"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046E052F"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0BC99F70"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10E0513E" w14:textId="77777777" w:rsidTr="00A369A1">
        <w:trPr>
          <w:trHeight w:val="404"/>
        </w:trPr>
        <w:tc>
          <w:tcPr>
            <w:tcW w:w="4390" w:type="dxa"/>
          </w:tcPr>
          <w:p w14:paraId="13940C68" w14:textId="77777777" w:rsidR="007C5B19" w:rsidRPr="00806B7F" w:rsidRDefault="007C5B19" w:rsidP="00A369A1">
            <w:pPr>
              <w:rPr>
                <w:rFonts w:ascii="Arial" w:hAnsi="Arial" w:cs="Arial"/>
                <w:sz w:val="20"/>
              </w:rPr>
            </w:pPr>
          </w:p>
        </w:tc>
        <w:tc>
          <w:tcPr>
            <w:tcW w:w="1134" w:type="dxa"/>
          </w:tcPr>
          <w:p w14:paraId="31AC9C57"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5F6960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1FE6CEB5"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494BDC2"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0940AAAC"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53AAD52E" w14:textId="77777777" w:rsidTr="00A369A1">
        <w:trPr>
          <w:trHeight w:val="386"/>
        </w:trPr>
        <w:tc>
          <w:tcPr>
            <w:tcW w:w="4390" w:type="dxa"/>
          </w:tcPr>
          <w:p w14:paraId="08997950" w14:textId="77777777" w:rsidR="007C5B19" w:rsidRPr="00806B7F" w:rsidRDefault="007C5B19" w:rsidP="00A369A1">
            <w:pPr>
              <w:spacing w:after="120"/>
              <w:rPr>
                <w:rFonts w:ascii="Arial" w:hAnsi="Arial" w:cs="Arial"/>
                <w:sz w:val="20"/>
              </w:rPr>
            </w:pPr>
            <w:r w:rsidRPr="00806B7F">
              <w:rPr>
                <w:rFonts w:ascii="Arial" w:hAnsi="Arial" w:cs="Arial"/>
                <w:sz w:val="20"/>
              </w:rPr>
              <w:t>Preceding Years Draft Net Budget Requirement</w:t>
            </w:r>
          </w:p>
        </w:tc>
        <w:tc>
          <w:tcPr>
            <w:tcW w:w="1134" w:type="dxa"/>
          </w:tcPr>
          <w:p w14:paraId="02CFB7FA" w14:textId="77777777" w:rsidR="007C5B19" w:rsidRPr="00806B7F" w:rsidRDefault="007C5B19" w:rsidP="00A369A1">
            <w:pPr>
              <w:jc w:val="center"/>
              <w:rPr>
                <w:rFonts w:ascii="Arial" w:hAnsi="Arial" w:cs="Arial"/>
                <w:sz w:val="20"/>
              </w:rPr>
            </w:pPr>
            <w:r w:rsidRPr="00806B7F">
              <w:rPr>
                <w:rFonts w:ascii="Arial" w:hAnsi="Arial" w:cs="Arial"/>
                <w:sz w:val="20"/>
              </w:rPr>
              <w:t>63.0</w:t>
            </w:r>
          </w:p>
        </w:tc>
        <w:tc>
          <w:tcPr>
            <w:tcW w:w="1134" w:type="dxa"/>
          </w:tcPr>
          <w:p w14:paraId="75D190FD" w14:textId="77777777" w:rsidR="007C5B19" w:rsidRPr="00806B7F" w:rsidRDefault="007C5B19" w:rsidP="00A369A1">
            <w:pPr>
              <w:jc w:val="center"/>
              <w:rPr>
                <w:rFonts w:ascii="Arial" w:hAnsi="Arial" w:cs="Arial"/>
                <w:sz w:val="20"/>
              </w:rPr>
            </w:pPr>
            <w:r w:rsidRPr="00806B7F">
              <w:rPr>
                <w:rFonts w:ascii="Arial" w:hAnsi="Arial" w:cs="Arial"/>
                <w:sz w:val="20"/>
              </w:rPr>
              <w:t>68.5</w:t>
            </w:r>
          </w:p>
        </w:tc>
        <w:tc>
          <w:tcPr>
            <w:tcW w:w="1134" w:type="dxa"/>
          </w:tcPr>
          <w:p w14:paraId="03B42956" w14:textId="77777777" w:rsidR="007C5B19" w:rsidRPr="00806B7F" w:rsidRDefault="007C5B19" w:rsidP="00A369A1">
            <w:pPr>
              <w:jc w:val="center"/>
              <w:rPr>
                <w:rFonts w:ascii="Arial" w:hAnsi="Arial" w:cs="Arial"/>
                <w:sz w:val="20"/>
              </w:rPr>
            </w:pPr>
            <w:r w:rsidRPr="00806B7F">
              <w:rPr>
                <w:rFonts w:ascii="Arial" w:hAnsi="Arial" w:cs="Arial"/>
                <w:sz w:val="20"/>
              </w:rPr>
              <w:t>71.8</w:t>
            </w:r>
          </w:p>
        </w:tc>
        <w:tc>
          <w:tcPr>
            <w:tcW w:w="1134" w:type="dxa"/>
          </w:tcPr>
          <w:p w14:paraId="31A2702E" w14:textId="77777777" w:rsidR="007C5B19" w:rsidRPr="00806B7F" w:rsidRDefault="007C5B19" w:rsidP="00A369A1">
            <w:pPr>
              <w:jc w:val="center"/>
              <w:rPr>
                <w:rFonts w:ascii="Arial" w:hAnsi="Arial" w:cs="Arial"/>
                <w:sz w:val="20"/>
              </w:rPr>
            </w:pPr>
            <w:r w:rsidRPr="00806B7F">
              <w:rPr>
                <w:rFonts w:ascii="Arial" w:hAnsi="Arial" w:cs="Arial"/>
                <w:sz w:val="20"/>
              </w:rPr>
              <w:t>74.5</w:t>
            </w:r>
          </w:p>
        </w:tc>
        <w:tc>
          <w:tcPr>
            <w:tcW w:w="1134" w:type="dxa"/>
          </w:tcPr>
          <w:p w14:paraId="3FB6676F" w14:textId="77777777" w:rsidR="007C5B19" w:rsidRPr="00806B7F" w:rsidRDefault="007C5B19" w:rsidP="00A369A1">
            <w:pPr>
              <w:jc w:val="center"/>
              <w:rPr>
                <w:rFonts w:ascii="Arial" w:hAnsi="Arial" w:cs="Arial"/>
                <w:sz w:val="20"/>
              </w:rPr>
            </w:pPr>
            <w:r w:rsidRPr="00806B7F">
              <w:rPr>
                <w:rFonts w:ascii="Arial" w:hAnsi="Arial" w:cs="Arial"/>
                <w:sz w:val="20"/>
              </w:rPr>
              <w:t>76.6</w:t>
            </w:r>
          </w:p>
        </w:tc>
      </w:tr>
      <w:tr w:rsidR="007C5B19" w:rsidRPr="00806B7F" w14:paraId="6498FC4E" w14:textId="77777777" w:rsidTr="00A369A1">
        <w:trPr>
          <w:trHeight w:val="386"/>
        </w:trPr>
        <w:tc>
          <w:tcPr>
            <w:tcW w:w="4390" w:type="dxa"/>
          </w:tcPr>
          <w:p w14:paraId="5BC126F7" w14:textId="77777777" w:rsidR="007C5B19" w:rsidRPr="00806B7F" w:rsidRDefault="007C5B19" w:rsidP="00A369A1">
            <w:pPr>
              <w:rPr>
                <w:rFonts w:ascii="Arial" w:hAnsi="Arial" w:cs="Arial"/>
                <w:sz w:val="20"/>
              </w:rPr>
            </w:pPr>
            <w:r w:rsidRPr="00806B7F">
              <w:rPr>
                <w:rFonts w:ascii="Arial" w:hAnsi="Arial" w:cs="Arial"/>
                <w:sz w:val="20"/>
              </w:rPr>
              <w:t>Add back previous years unidentified savings target</w:t>
            </w:r>
          </w:p>
        </w:tc>
        <w:tc>
          <w:tcPr>
            <w:tcW w:w="1134" w:type="dxa"/>
          </w:tcPr>
          <w:p w14:paraId="1C00C918"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652F5EC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6553056D"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3D041558"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60B39647"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36B3C3E0" w14:textId="77777777" w:rsidTr="00A369A1">
        <w:trPr>
          <w:trHeight w:val="386"/>
        </w:trPr>
        <w:tc>
          <w:tcPr>
            <w:tcW w:w="4390" w:type="dxa"/>
          </w:tcPr>
          <w:p w14:paraId="5C14265C" w14:textId="77777777" w:rsidR="007C5B19" w:rsidRPr="00806B7F" w:rsidRDefault="007C5B19" w:rsidP="00A369A1">
            <w:pPr>
              <w:rPr>
                <w:rFonts w:ascii="Arial" w:hAnsi="Arial" w:cs="Arial"/>
                <w:sz w:val="20"/>
              </w:rPr>
            </w:pPr>
            <w:r w:rsidRPr="00806B7F">
              <w:rPr>
                <w:rFonts w:ascii="Arial" w:hAnsi="Arial" w:cs="Arial"/>
                <w:sz w:val="20"/>
              </w:rPr>
              <w:t>Add back previous years Vacancy Factors</w:t>
            </w:r>
          </w:p>
        </w:tc>
        <w:tc>
          <w:tcPr>
            <w:tcW w:w="1134" w:type="dxa"/>
          </w:tcPr>
          <w:p w14:paraId="0C107217" w14:textId="77777777" w:rsidR="007C5B19" w:rsidRPr="00806B7F" w:rsidRDefault="007C5B19" w:rsidP="00A369A1">
            <w:pPr>
              <w:jc w:val="center"/>
              <w:rPr>
                <w:rFonts w:ascii="Arial" w:hAnsi="Arial" w:cs="Arial"/>
                <w:sz w:val="20"/>
              </w:rPr>
            </w:pPr>
            <w:r w:rsidRPr="00806B7F">
              <w:rPr>
                <w:rFonts w:ascii="Arial" w:hAnsi="Arial" w:cs="Arial"/>
                <w:sz w:val="20"/>
              </w:rPr>
              <w:t>1.6</w:t>
            </w:r>
          </w:p>
        </w:tc>
        <w:tc>
          <w:tcPr>
            <w:tcW w:w="1134" w:type="dxa"/>
          </w:tcPr>
          <w:p w14:paraId="6DF58796" w14:textId="77777777" w:rsidR="007C5B19" w:rsidRPr="00806B7F" w:rsidRDefault="007C5B19" w:rsidP="00A369A1">
            <w:pPr>
              <w:jc w:val="center"/>
              <w:rPr>
                <w:rFonts w:ascii="Arial" w:hAnsi="Arial" w:cs="Arial"/>
                <w:sz w:val="20"/>
              </w:rPr>
            </w:pPr>
            <w:r w:rsidRPr="00806B7F">
              <w:rPr>
                <w:rFonts w:ascii="Arial" w:hAnsi="Arial" w:cs="Arial"/>
                <w:sz w:val="20"/>
              </w:rPr>
              <w:t>1.8</w:t>
            </w:r>
          </w:p>
        </w:tc>
        <w:tc>
          <w:tcPr>
            <w:tcW w:w="1134" w:type="dxa"/>
          </w:tcPr>
          <w:p w14:paraId="7F5F7E46" w14:textId="77777777" w:rsidR="007C5B19" w:rsidRPr="00806B7F" w:rsidRDefault="007C5B19" w:rsidP="00A369A1">
            <w:pPr>
              <w:jc w:val="center"/>
              <w:rPr>
                <w:rFonts w:ascii="Arial" w:hAnsi="Arial" w:cs="Arial"/>
                <w:sz w:val="20"/>
              </w:rPr>
            </w:pPr>
            <w:r w:rsidRPr="00806B7F">
              <w:rPr>
                <w:rFonts w:ascii="Arial" w:hAnsi="Arial" w:cs="Arial"/>
                <w:sz w:val="20"/>
              </w:rPr>
              <w:t>1.4</w:t>
            </w:r>
          </w:p>
        </w:tc>
        <w:tc>
          <w:tcPr>
            <w:tcW w:w="1134" w:type="dxa"/>
          </w:tcPr>
          <w:p w14:paraId="0D7C3C25"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721BFC87" w14:textId="77777777" w:rsidR="007C5B19" w:rsidRPr="00806B7F" w:rsidRDefault="007C5B19" w:rsidP="00A369A1">
            <w:pPr>
              <w:jc w:val="center"/>
              <w:rPr>
                <w:rFonts w:ascii="Arial" w:hAnsi="Arial" w:cs="Arial"/>
                <w:sz w:val="20"/>
              </w:rPr>
            </w:pPr>
            <w:r w:rsidRPr="00806B7F">
              <w:rPr>
                <w:rFonts w:ascii="Arial" w:hAnsi="Arial" w:cs="Arial"/>
                <w:sz w:val="20"/>
              </w:rPr>
              <w:t>0.7</w:t>
            </w:r>
          </w:p>
        </w:tc>
      </w:tr>
      <w:tr w:rsidR="007C5B19" w:rsidRPr="00806B7F" w14:paraId="4C141158" w14:textId="77777777" w:rsidTr="00A369A1">
        <w:trPr>
          <w:trHeight w:val="386"/>
        </w:trPr>
        <w:tc>
          <w:tcPr>
            <w:tcW w:w="4390" w:type="dxa"/>
          </w:tcPr>
          <w:p w14:paraId="296E3388" w14:textId="77777777" w:rsidR="007C5B19" w:rsidRPr="00806B7F" w:rsidRDefault="007C5B19" w:rsidP="00A369A1">
            <w:pPr>
              <w:rPr>
                <w:rFonts w:ascii="Arial" w:hAnsi="Arial" w:cs="Arial"/>
                <w:sz w:val="20"/>
              </w:rPr>
            </w:pPr>
            <w:r w:rsidRPr="00806B7F">
              <w:rPr>
                <w:rFonts w:ascii="Arial" w:hAnsi="Arial" w:cs="Arial"/>
                <w:sz w:val="20"/>
              </w:rPr>
              <w:t>Inflation</w:t>
            </w:r>
          </w:p>
        </w:tc>
        <w:tc>
          <w:tcPr>
            <w:tcW w:w="1134" w:type="dxa"/>
          </w:tcPr>
          <w:p w14:paraId="03BBA301" w14:textId="77777777" w:rsidR="007C5B19" w:rsidRPr="00806B7F" w:rsidRDefault="007C5B19" w:rsidP="00A369A1">
            <w:pPr>
              <w:jc w:val="center"/>
              <w:rPr>
                <w:rFonts w:ascii="Arial" w:hAnsi="Arial" w:cs="Arial"/>
                <w:sz w:val="20"/>
              </w:rPr>
            </w:pPr>
            <w:r w:rsidRPr="00806B7F">
              <w:rPr>
                <w:rFonts w:ascii="Arial" w:hAnsi="Arial" w:cs="Arial"/>
                <w:sz w:val="20"/>
              </w:rPr>
              <w:t>7.5</w:t>
            </w:r>
          </w:p>
        </w:tc>
        <w:tc>
          <w:tcPr>
            <w:tcW w:w="1134" w:type="dxa"/>
          </w:tcPr>
          <w:p w14:paraId="5069127D" w14:textId="77777777" w:rsidR="007C5B19" w:rsidRPr="00806B7F" w:rsidRDefault="007C5B19" w:rsidP="00A369A1">
            <w:pPr>
              <w:jc w:val="center"/>
              <w:rPr>
                <w:rFonts w:ascii="Arial" w:hAnsi="Arial" w:cs="Arial"/>
                <w:sz w:val="20"/>
              </w:rPr>
            </w:pPr>
            <w:r w:rsidRPr="00806B7F">
              <w:rPr>
                <w:rFonts w:ascii="Arial" w:hAnsi="Arial" w:cs="Arial"/>
                <w:sz w:val="20"/>
              </w:rPr>
              <w:t>2.0</w:t>
            </w:r>
          </w:p>
        </w:tc>
        <w:tc>
          <w:tcPr>
            <w:tcW w:w="1134" w:type="dxa"/>
          </w:tcPr>
          <w:p w14:paraId="69F716EE" w14:textId="77777777" w:rsidR="007C5B19" w:rsidRPr="00806B7F" w:rsidRDefault="007C5B19" w:rsidP="00A369A1">
            <w:pPr>
              <w:jc w:val="center"/>
              <w:rPr>
                <w:rFonts w:ascii="Arial" w:hAnsi="Arial" w:cs="Arial"/>
                <w:sz w:val="20"/>
              </w:rPr>
            </w:pPr>
            <w:r w:rsidRPr="00806B7F">
              <w:rPr>
                <w:rFonts w:ascii="Arial" w:hAnsi="Arial" w:cs="Arial"/>
                <w:sz w:val="20"/>
              </w:rPr>
              <w:t>1.7</w:t>
            </w:r>
          </w:p>
        </w:tc>
        <w:tc>
          <w:tcPr>
            <w:tcW w:w="1134" w:type="dxa"/>
          </w:tcPr>
          <w:p w14:paraId="47379A47" w14:textId="77777777" w:rsidR="007C5B19" w:rsidRPr="00806B7F" w:rsidRDefault="007C5B19" w:rsidP="00A369A1">
            <w:pPr>
              <w:jc w:val="center"/>
              <w:rPr>
                <w:rFonts w:ascii="Arial" w:hAnsi="Arial" w:cs="Arial"/>
                <w:sz w:val="20"/>
              </w:rPr>
            </w:pPr>
            <w:r w:rsidRPr="00806B7F">
              <w:rPr>
                <w:rFonts w:ascii="Arial" w:hAnsi="Arial" w:cs="Arial"/>
                <w:sz w:val="20"/>
              </w:rPr>
              <w:t>1.7</w:t>
            </w:r>
          </w:p>
        </w:tc>
        <w:tc>
          <w:tcPr>
            <w:tcW w:w="1134" w:type="dxa"/>
          </w:tcPr>
          <w:p w14:paraId="3B266C43" w14:textId="77777777" w:rsidR="007C5B19" w:rsidRPr="00806B7F" w:rsidRDefault="007C5B19" w:rsidP="00A369A1">
            <w:pPr>
              <w:jc w:val="center"/>
              <w:rPr>
                <w:rFonts w:ascii="Arial" w:hAnsi="Arial" w:cs="Arial"/>
                <w:sz w:val="20"/>
              </w:rPr>
            </w:pPr>
            <w:r w:rsidRPr="00806B7F">
              <w:rPr>
                <w:rFonts w:ascii="Arial" w:hAnsi="Arial" w:cs="Arial"/>
                <w:sz w:val="20"/>
              </w:rPr>
              <w:t>1.7</w:t>
            </w:r>
          </w:p>
        </w:tc>
      </w:tr>
      <w:tr w:rsidR="007C5B19" w:rsidRPr="00806B7F" w14:paraId="34654468" w14:textId="77777777" w:rsidTr="00A369A1">
        <w:trPr>
          <w:trHeight w:val="386"/>
        </w:trPr>
        <w:tc>
          <w:tcPr>
            <w:tcW w:w="4390" w:type="dxa"/>
          </w:tcPr>
          <w:p w14:paraId="38EA2FFD" w14:textId="77777777" w:rsidR="007C5B19" w:rsidRPr="00806B7F" w:rsidRDefault="007C5B19" w:rsidP="00A369A1">
            <w:pPr>
              <w:rPr>
                <w:rFonts w:ascii="Arial" w:hAnsi="Arial" w:cs="Arial"/>
                <w:sz w:val="20"/>
              </w:rPr>
            </w:pPr>
            <w:r w:rsidRPr="00806B7F">
              <w:rPr>
                <w:rFonts w:ascii="Arial" w:hAnsi="Arial" w:cs="Arial"/>
                <w:sz w:val="20"/>
              </w:rPr>
              <w:t>Other Pay Pressures</w:t>
            </w:r>
          </w:p>
        </w:tc>
        <w:tc>
          <w:tcPr>
            <w:tcW w:w="1134" w:type="dxa"/>
          </w:tcPr>
          <w:p w14:paraId="0B3FE0A5"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2C99C45A"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220E833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21CBC81E"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21C8EE28"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50CA156D" w14:textId="77777777" w:rsidTr="00A369A1">
        <w:trPr>
          <w:trHeight w:val="386"/>
        </w:trPr>
        <w:tc>
          <w:tcPr>
            <w:tcW w:w="4390" w:type="dxa"/>
          </w:tcPr>
          <w:p w14:paraId="2BFE1563" w14:textId="77777777" w:rsidR="007C5B19" w:rsidRPr="00806B7F" w:rsidRDefault="007C5B19" w:rsidP="00A369A1">
            <w:pPr>
              <w:rPr>
                <w:rFonts w:ascii="Arial" w:hAnsi="Arial" w:cs="Arial"/>
                <w:sz w:val="20"/>
              </w:rPr>
            </w:pPr>
            <w:r w:rsidRPr="00806B7F">
              <w:rPr>
                <w:rFonts w:ascii="Arial" w:hAnsi="Arial" w:cs="Arial"/>
                <w:sz w:val="20"/>
              </w:rPr>
              <w:t>Committed Variations</w:t>
            </w:r>
          </w:p>
        </w:tc>
        <w:tc>
          <w:tcPr>
            <w:tcW w:w="1134" w:type="dxa"/>
          </w:tcPr>
          <w:p w14:paraId="4D873501"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5709507D"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1B619F2F"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0B248467"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12F80AFC" w14:textId="77777777" w:rsidR="007C5B19" w:rsidRPr="00806B7F" w:rsidRDefault="007C5B19" w:rsidP="00A369A1">
            <w:pPr>
              <w:jc w:val="center"/>
              <w:rPr>
                <w:rFonts w:ascii="Arial" w:hAnsi="Arial" w:cs="Arial"/>
                <w:sz w:val="20"/>
              </w:rPr>
            </w:pPr>
            <w:r w:rsidRPr="00806B7F">
              <w:rPr>
                <w:rFonts w:ascii="Arial" w:hAnsi="Arial" w:cs="Arial"/>
                <w:sz w:val="20"/>
              </w:rPr>
              <w:t>0.3</w:t>
            </w:r>
          </w:p>
        </w:tc>
      </w:tr>
      <w:tr w:rsidR="007C5B19" w:rsidRPr="00806B7F" w14:paraId="44ED801C" w14:textId="77777777" w:rsidTr="00A369A1">
        <w:trPr>
          <w:trHeight w:val="387"/>
        </w:trPr>
        <w:tc>
          <w:tcPr>
            <w:tcW w:w="4390" w:type="dxa"/>
          </w:tcPr>
          <w:p w14:paraId="73A4D30E" w14:textId="77777777" w:rsidR="007C5B19" w:rsidRPr="00806B7F" w:rsidRDefault="007C5B19" w:rsidP="00A369A1">
            <w:pPr>
              <w:spacing w:after="120"/>
              <w:rPr>
                <w:rFonts w:ascii="Arial" w:hAnsi="Arial" w:cs="Arial"/>
                <w:sz w:val="20"/>
              </w:rPr>
            </w:pPr>
            <w:r w:rsidRPr="00806B7F">
              <w:rPr>
                <w:rFonts w:ascii="Arial" w:hAnsi="Arial" w:cs="Arial"/>
                <w:sz w:val="20"/>
              </w:rPr>
              <w:t>Growth</w:t>
            </w:r>
          </w:p>
        </w:tc>
        <w:tc>
          <w:tcPr>
            <w:tcW w:w="1134" w:type="dxa"/>
          </w:tcPr>
          <w:p w14:paraId="1541C5D6"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174F5F10"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5AFEA4C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60365F0"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B6AA29E"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71865715" w14:textId="77777777" w:rsidTr="00A369A1">
        <w:trPr>
          <w:trHeight w:val="387"/>
        </w:trPr>
        <w:tc>
          <w:tcPr>
            <w:tcW w:w="4390" w:type="dxa"/>
          </w:tcPr>
          <w:p w14:paraId="66587D9F" w14:textId="77777777" w:rsidR="007C5B19" w:rsidRPr="00806B7F" w:rsidRDefault="007C5B19" w:rsidP="00A369A1">
            <w:pPr>
              <w:spacing w:after="120"/>
              <w:rPr>
                <w:rFonts w:ascii="Arial" w:hAnsi="Arial" w:cs="Arial"/>
                <w:sz w:val="20"/>
              </w:rPr>
            </w:pPr>
            <w:r w:rsidRPr="00806B7F">
              <w:rPr>
                <w:rFonts w:ascii="Arial" w:hAnsi="Arial" w:cs="Arial"/>
                <w:sz w:val="20"/>
              </w:rPr>
              <w:t>Efficiency Savings</w:t>
            </w:r>
          </w:p>
        </w:tc>
        <w:tc>
          <w:tcPr>
            <w:tcW w:w="1134" w:type="dxa"/>
          </w:tcPr>
          <w:p w14:paraId="6BD83997" w14:textId="77777777" w:rsidR="007C5B19" w:rsidRPr="00806B7F" w:rsidRDefault="007C5B19" w:rsidP="00A369A1">
            <w:pPr>
              <w:jc w:val="center"/>
              <w:rPr>
                <w:rFonts w:ascii="Arial" w:hAnsi="Arial" w:cs="Arial"/>
                <w:sz w:val="20"/>
              </w:rPr>
            </w:pPr>
            <w:r w:rsidRPr="00806B7F">
              <w:rPr>
                <w:rFonts w:ascii="Arial" w:hAnsi="Arial" w:cs="Arial"/>
                <w:sz w:val="20"/>
              </w:rPr>
              <w:t>(1.9)</w:t>
            </w:r>
          </w:p>
        </w:tc>
        <w:tc>
          <w:tcPr>
            <w:tcW w:w="1134" w:type="dxa"/>
          </w:tcPr>
          <w:p w14:paraId="61264738"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148728CE"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0352B2C"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32C603A3" w14:textId="77777777" w:rsidR="007C5B19" w:rsidRPr="00806B7F" w:rsidRDefault="007C5B19" w:rsidP="00A369A1">
            <w:pPr>
              <w:jc w:val="center"/>
              <w:rPr>
                <w:rFonts w:ascii="Arial" w:hAnsi="Arial" w:cs="Arial"/>
                <w:sz w:val="20"/>
              </w:rPr>
            </w:pPr>
            <w:r w:rsidRPr="00806B7F">
              <w:rPr>
                <w:rFonts w:ascii="Arial" w:hAnsi="Arial" w:cs="Arial"/>
                <w:sz w:val="20"/>
              </w:rPr>
              <w:t>0.1</w:t>
            </w:r>
          </w:p>
        </w:tc>
      </w:tr>
      <w:tr w:rsidR="007C5B19" w:rsidRPr="00806B7F" w14:paraId="6D25FFC7" w14:textId="77777777" w:rsidTr="00A369A1">
        <w:trPr>
          <w:trHeight w:val="387"/>
        </w:trPr>
        <w:tc>
          <w:tcPr>
            <w:tcW w:w="4390" w:type="dxa"/>
          </w:tcPr>
          <w:p w14:paraId="49C7BCC9" w14:textId="77777777" w:rsidR="007C5B19" w:rsidRPr="00806B7F" w:rsidRDefault="007C5B19" w:rsidP="00A369A1">
            <w:pPr>
              <w:spacing w:after="120"/>
              <w:rPr>
                <w:rFonts w:ascii="Arial" w:hAnsi="Arial" w:cs="Arial"/>
                <w:sz w:val="20"/>
              </w:rPr>
            </w:pPr>
            <w:r w:rsidRPr="00806B7F">
              <w:rPr>
                <w:rFonts w:ascii="Arial" w:hAnsi="Arial" w:cs="Arial"/>
                <w:sz w:val="20"/>
              </w:rPr>
              <w:t>Gross Budget Requirement</w:t>
            </w:r>
          </w:p>
        </w:tc>
        <w:tc>
          <w:tcPr>
            <w:tcW w:w="1134" w:type="dxa"/>
          </w:tcPr>
          <w:p w14:paraId="0EA2441D" w14:textId="77777777" w:rsidR="007C5B19" w:rsidRPr="00806B7F" w:rsidRDefault="007C5B19" w:rsidP="00A369A1">
            <w:pPr>
              <w:jc w:val="center"/>
              <w:rPr>
                <w:rFonts w:ascii="Arial" w:hAnsi="Arial" w:cs="Arial"/>
                <w:sz w:val="20"/>
              </w:rPr>
            </w:pPr>
            <w:r w:rsidRPr="00806B7F">
              <w:rPr>
                <w:rFonts w:ascii="Arial" w:hAnsi="Arial" w:cs="Arial"/>
                <w:sz w:val="20"/>
              </w:rPr>
              <w:t>70.3</w:t>
            </w:r>
          </w:p>
        </w:tc>
        <w:tc>
          <w:tcPr>
            <w:tcW w:w="1134" w:type="dxa"/>
          </w:tcPr>
          <w:p w14:paraId="021BBEE4" w14:textId="77777777" w:rsidR="007C5B19" w:rsidRPr="00806B7F" w:rsidRDefault="007C5B19" w:rsidP="00A369A1">
            <w:pPr>
              <w:jc w:val="center"/>
              <w:rPr>
                <w:rFonts w:ascii="Arial" w:hAnsi="Arial" w:cs="Arial"/>
                <w:sz w:val="20"/>
              </w:rPr>
            </w:pPr>
            <w:r w:rsidRPr="00806B7F">
              <w:rPr>
                <w:rFonts w:ascii="Arial" w:hAnsi="Arial" w:cs="Arial"/>
                <w:sz w:val="20"/>
              </w:rPr>
              <w:t>73.2</w:t>
            </w:r>
          </w:p>
        </w:tc>
        <w:tc>
          <w:tcPr>
            <w:tcW w:w="1134" w:type="dxa"/>
          </w:tcPr>
          <w:p w14:paraId="7D76E6B3" w14:textId="77777777" w:rsidR="007C5B19" w:rsidRPr="00806B7F" w:rsidRDefault="007C5B19" w:rsidP="00A369A1">
            <w:pPr>
              <w:jc w:val="center"/>
              <w:rPr>
                <w:rFonts w:ascii="Arial" w:hAnsi="Arial" w:cs="Arial"/>
                <w:sz w:val="20"/>
              </w:rPr>
            </w:pPr>
            <w:r w:rsidRPr="00806B7F">
              <w:rPr>
                <w:rFonts w:ascii="Arial" w:hAnsi="Arial" w:cs="Arial"/>
                <w:sz w:val="20"/>
              </w:rPr>
              <w:t>75.1</w:t>
            </w:r>
          </w:p>
        </w:tc>
        <w:tc>
          <w:tcPr>
            <w:tcW w:w="1134" w:type="dxa"/>
          </w:tcPr>
          <w:p w14:paraId="557D51DF" w14:textId="77777777" w:rsidR="007C5B19" w:rsidRPr="00806B7F" w:rsidRDefault="007C5B19" w:rsidP="00A369A1">
            <w:pPr>
              <w:jc w:val="center"/>
              <w:rPr>
                <w:rFonts w:ascii="Arial" w:hAnsi="Arial" w:cs="Arial"/>
                <w:sz w:val="20"/>
              </w:rPr>
            </w:pPr>
            <w:r w:rsidRPr="00806B7F">
              <w:rPr>
                <w:rFonts w:ascii="Arial" w:hAnsi="Arial" w:cs="Arial"/>
                <w:sz w:val="20"/>
              </w:rPr>
              <w:t>77.3</w:t>
            </w:r>
          </w:p>
        </w:tc>
        <w:tc>
          <w:tcPr>
            <w:tcW w:w="1134" w:type="dxa"/>
          </w:tcPr>
          <w:p w14:paraId="43BAB7B2" w14:textId="77777777" w:rsidR="007C5B19" w:rsidRPr="00806B7F" w:rsidRDefault="007C5B19" w:rsidP="00A369A1">
            <w:pPr>
              <w:jc w:val="center"/>
              <w:rPr>
                <w:rFonts w:ascii="Arial" w:hAnsi="Arial" w:cs="Arial"/>
                <w:sz w:val="20"/>
              </w:rPr>
            </w:pPr>
            <w:r w:rsidRPr="00806B7F">
              <w:rPr>
                <w:rFonts w:ascii="Arial" w:hAnsi="Arial" w:cs="Arial"/>
                <w:sz w:val="20"/>
              </w:rPr>
              <w:t>79.6</w:t>
            </w:r>
          </w:p>
        </w:tc>
      </w:tr>
      <w:tr w:rsidR="007C5B19" w:rsidRPr="00806B7F" w14:paraId="7C02D5A9" w14:textId="77777777" w:rsidTr="00A369A1">
        <w:trPr>
          <w:trHeight w:val="387"/>
        </w:trPr>
        <w:tc>
          <w:tcPr>
            <w:tcW w:w="4390" w:type="dxa"/>
          </w:tcPr>
          <w:p w14:paraId="65D26682" w14:textId="77777777" w:rsidR="007C5B19" w:rsidRPr="00806B7F" w:rsidRDefault="007C5B19" w:rsidP="00A369A1">
            <w:pPr>
              <w:spacing w:after="120"/>
              <w:rPr>
                <w:rFonts w:ascii="Arial" w:hAnsi="Arial" w:cs="Arial"/>
                <w:sz w:val="20"/>
              </w:rPr>
            </w:pPr>
            <w:r w:rsidRPr="00806B7F">
              <w:rPr>
                <w:rFonts w:ascii="Arial" w:hAnsi="Arial" w:cs="Arial"/>
                <w:sz w:val="20"/>
              </w:rPr>
              <w:t>Vacancy Factors</w:t>
            </w:r>
          </w:p>
        </w:tc>
        <w:tc>
          <w:tcPr>
            <w:tcW w:w="1134" w:type="dxa"/>
          </w:tcPr>
          <w:p w14:paraId="53B374BF" w14:textId="77777777" w:rsidR="007C5B19" w:rsidRPr="00806B7F" w:rsidRDefault="007C5B19" w:rsidP="00A369A1">
            <w:pPr>
              <w:jc w:val="center"/>
              <w:rPr>
                <w:rFonts w:ascii="Arial" w:hAnsi="Arial" w:cs="Arial"/>
                <w:sz w:val="20"/>
              </w:rPr>
            </w:pPr>
            <w:r w:rsidRPr="00806B7F">
              <w:rPr>
                <w:rFonts w:ascii="Arial" w:hAnsi="Arial" w:cs="Arial"/>
                <w:sz w:val="20"/>
              </w:rPr>
              <w:t>(1.8)</w:t>
            </w:r>
          </w:p>
        </w:tc>
        <w:tc>
          <w:tcPr>
            <w:tcW w:w="1134" w:type="dxa"/>
          </w:tcPr>
          <w:p w14:paraId="2692B654" w14:textId="77777777" w:rsidR="007C5B19" w:rsidRPr="00806B7F" w:rsidRDefault="007C5B19" w:rsidP="00A369A1">
            <w:pPr>
              <w:jc w:val="center"/>
              <w:rPr>
                <w:rFonts w:ascii="Arial" w:hAnsi="Arial" w:cs="Arial"/>
                <w:sz w:val="20"/>
              </w:rPr>
            </w:pPr>
            <w:r w:rsidRPr="00806B7F">
              <w:rPr>
                <w:rFonts w:ascii="Arial" w:hAnsi="Arial" w:cs="Arial"/>
                <w:sz w:val="20"/>
              </w:rPr>
              <w:t>(1.4)</w:t>
            </w:r>
          </w:p>
        </w:tc>
        <w:tc>
          <w:tcPr>
            <w:tcW w:w="1134" w:type="dxa"/>
          </w:tcPr>
          <w:p w14:paraId="6569806B"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1B7062CA"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418A91A9" w14:textId="77777777" w:rsidR="007C5B19" w:rsidRPr="00806B7F" w:rsidRDefault="007C5B19" w:rsidP="00A369A1">
            <w:pPr>
              <w:jc w:val="center"/>
              <w:rPr>
                <w:rFonts w:ascii="Arial" w:hAnsi="Arial" w:cs="Arial"/>
                <w:sz w:val="20"/>
              </w:rPr>
            </w:pPr>
            <w:r w:rsidRPr="00806B7F">
              <w:rPr>
                <w:rFonts w:ascii="Arial" w:hAnsi="Arial" w:cs="Arial"/>
                <w:sz w:val="20"/>
              </w:rPr>
              <w:t>(0.7)</w:t>
            </w:r>
          </w:p>
        </w:tc>
      </w:tr>
      <w:tr w:rsidR="007C5B19" w:rsidRPr="00806B7F" w14:paraId="072EA6EE" w14:textId="77777777" w:rsidTr="00A369A1">
        <w:trPr>
          <w:trHeight w:val="387"/>
        </w:trPr>
        <w:tc>
          <w:tcPr>
            <w:tcW w:w="4390" w:type="dxa"/>
          </w:tcPr>
          <w:p w14:paraId="13CBA95C" w14:textId="77777777" w:rsidR="007C5B19" w:rsidRPr="00806B7F" w:rsidRDefault="007C5B19" w:rsidP="00A369A1">
            <w:pPr>
              <w:spacing w:after="120"/>
              <w:rPr>
                <w:rFonts w:ascii="Arial" w:hAnsi="Arial" w:cs="Arial"/>
                <w:sz w:val="20"/>
              </w:rPr>
            </w:pPr>
            <w:r w:rsidRPr="00806B7F">
              <w:rPr>
                <w:rFonts w:ascii="Arial" w:hAnsi="Arial" w:cs="Arial"/>
                <w:sz w:val="20"/>
              </w:rPr>
              <w:t>Net Budget Requirement</w:t>
            </w:r>
          </w:p>
        </w:tc>
        <w:tc>
          <w:tcPr>
            <w:tcW w:w="1134" w:type="dxa"/>
          </w:tcPr>
          <w:p w14:paraId="072CF6BB" w14:textId="77777777" w:rsidR="007C5B19" w:rsidRPr="00806B7F" w:rsidRDefault="007C5B19" w:rsidP="00A369A1">
            <w:pPr>
              <w:jc w:val="center"/>
              <w:rPr>
                <w:rFonts w:ascii="Arial" w:hAnsi="Arial" w:cs="Arial"/>
                <w:sz w:val="20"/>
              </w:rPr>
            </w:pPr>
            <w:r w:rsidRPr="00806B7F">
              <w:rPr>
                <w:rFonts w:ascii="Arial" w:hAnsi="Arial" w:cs="Arial"/>
                <w:sz w:val="20"/>
              </w:rPr>
              <w:t>68.5</w:t>
            </w:r>
          </w:p>
        </w:tc>
        <w:tc>
          <w:tcPr>
            <w:tcW w:w="1134" w:type="dxa"/>
          </w:tcPr>
          <w:p w14:paraId="63022246" w14:textId="77777777" w:rsidR="007C5B19" w:rsidRPr="00806B7F" w:rsidRDefault="007C5B19" w:rsidP="00A369A1">
            <w:pPr>
              <w:jc w:val="center"/>
              <w:rPr>
                <w:rFonts w:ascii="Arial" w:hAnsi="Arial" w:cs="Arial"/>
                <w:sz w:val="20"/>
              </w:rPr>
            </w:pPr>
            <w:r w:rsidRPr="00806B7F">
              <w:rPr>
                <w:rFonts w:ascii="Arial" w:hAnsi="Arial" w:cs="Arial"/>
                <w:sz w:val="20"/>
              </w:rPr>
              <w:t>71.8</w:t>
            </w:r>
          </w:p>
        </w:tc>
        <w:tc>
          <w:tcPr>
            <w:tcW w:w="1134" w:type="dxa"/>
          </w:tcPr>
          <w:p w14:paraId="63E9B610" w14:textId="77777777" w:rsidR="007C5B19" w:rsidRPr="00806B7F" w:rsidRDefault="007C5B19" w:rsidP="00A369A1">
            <w:pPr>
              <w:jc w:val="center"/>
              <w:rPr>
                <w:rFonts w:ascii="Arial" w:hAnsi="Arial" w:cs="Arial"/>
                <w:sz w:val="20"/>
              </w:rPr>
            </w:pPr>
            <w:r w:rsidRPr="00806B7F">
              <w:rPr>
                <w:rFonts w:ascii="Arial" w:hAnsi="Arial" w:cs="Arial"/>
                <w:sz w:val="20"/>
              </w:rPr>
              <w:t>74.5</w:t>
            </w:r>
          </w:p>
        </w:tc>
        <w:tc>
          <w:tcPr>
            <w:tcW w:w="1134" w:type="dxa"/>
          </w:tcPr>
          <w:p w14:paraId="17FA6D77" w14:textId="77777777" w:rsidR="007C5B19" w:rsidRPr="00806B7F" w:rsidRDefault="007C5B19" w:rsidP="00A369A1">
            <w:pPr>
              <w:jc w:val="center"/>
              <w:rPr>
                <w:rFonts w:ascii="Arial" w:hAnsi="Arial" w:cs="Arial"/>
                <w:sz w:val="20"/>
              </w:rPr>
            </w:pPr>
            <w:r w:rsidRPr="00806B7F">
              <w:rPr>
                <w:rFonts w:ascii="Arial" w:hAnsi="Arial" w:cs="Arial"/>
                <w:sz w:val="20"/>
              </w:rPr>
              <w:t>76.6</w:t>
            </w:r>
          </w:p>
        </w:tc>
        <w:tc>
          <w:tcPr>
            <w:tcW w:w="1134" w:type="dxa"/>
          </w:tcPr>
          <w:p w14:paraId="7D46260C" w14:textId="77777777" w:rsidR="007C5B19" w:rsidRPr="00806B7F" w:rsidRDefault="007C5B19" w:rsidP="00A369A1">
            <w:pPr>
              <w:jc w:val="center"/>
              <w:rPr>
                <w:rFonts w:ascii="Arial" w:hAnsi="Arial" w:cs="Arial"/>
                <w:sz w:val="20"/>
              </w:rPr>
            </w:pPr>
            <w:r w:rsidRPr="00806B7F">
              <w:rPr>
                <w:rFonts w:ascii="Arial" w:hAnsi="Arial" w:cs="Arial"/>
                <w:sz w:val="20"/>
              </w:rPr>
              <w:t>78.9</w:t>
            </w:r>
          </w:p>
        </w:tc>
      </w:tr>
      <w:tr w:rsidR="00F86F4E" w:rsidRPr="00806B7F" w14:paraId="15167D6E" w14:textId="77777777" w:rsidTr="00A369A1">
        <w:trPr>
          <w:trHeight w:val="387"/>
        </w:trPr>
        <w:tc>
          <w:tcPr>
            <w:tcW w:w="4390" w:type="dxa"/>
          </w:tcPr>
          <w:p w14:paraId="7E7A25B9" w14:textId="28A7A5EC" w:rsidR="00F86F4E" w:rsidRPr="00806B7F" w:rsidRDefault="00F86F4E" w:rsidP="00A369A1">
            <w:pPr>
              <w:spacing w:after="120"/>
              <w:rPr>
                <w:rFonts w:ascii="Arial" w:hAnsi="Arial" w:cs="Arial"/>
                <w:sz w:val="20"/>
              </w:rPr>
            </w:pPr>
            <w:r w:rsidRPr="00806B7F">
              <w:rPr>
                <w:rFonts w:ascii="Arial" w:hAnsi="Arial" w:cs="Arial"/>
                <w:sz w:val="20"/>
              </w:rPr>
              <w:t>Unidentified Savings/drawdown of Reserves to balance 23/24 Budget</w:t>
            </w:r>
          </w:p>
        </w:tc>
        <w:tc>
          <w:tcPr>
            <w:tcW w:w="1134" w:type="dxa"/>
          </w:tcPr>
          <w:p w14:paraId="2F061F52" w14:textId="56DAB8BB" w:rsidR="00F86F4E" w:rsidRPr="00806B7F" w:rsidRDefault="00F86F4E" w:rsidP="00A369A1">
            <w:pPr>
              <w:jc w:val="center"/>
              <w:rPr>
                <w:rFonts w:ascii="Arial" w:hAnsi="Arial" w:cs="Arial"/>
                <w:sz w:val="20"/>
              </w:rPr>
            </w:pPr>
            <w:r w:rsidRPr="00806B7F">
              <w:rPr>
                <w:rFonts w:ascii="Arial" w:hAnsi="Arial" w:cs="Arial"/>
                <w:sz w:val="20"/>
              </w:rPr>
              <w:t>(0.3)</w:t>
            </w:r>
          </w:p>
        </w:tc>
        <w:tc>
          <w:tcPr>
            <w:tcW w:w="1134" w:type="dxa"/>
          </w:tcPr>
          <w:p w14:paraId="18EC6309" w14:textId="77777777" w:rsidR="00F86F4E" w:rsidRPr="00806B7F" w:rsidRDefault="00F86F4E" w:rsidP="00A369A1">
            <w:pPr>
              <w:jc w:val="center"/>
              <w:rPr>
                <w:rFonts w:ascii="Arial" w:hAnsi="Arial" w:cs="Arial"/>
                <w:sz w:val="20"/>
              </w:rPr>
            </w:pPr>
          </w:p>
        </w:tc>
        <w:tc>
          <w:tcPr>
            <w:tcW w:w="1134" w:type="dxa"/>
          </w:tcPr>
          <w:p w14:paraId="3FA0065E" w14:textId="77777777" w:rsidR="00F86F4E" w:rsidRPr="00806B7F" w:rsidRDefault="00F86F4E" w:rsidP="00A369A1">
            <w:pPr>
              <w:jc w:val="center"/>
              <w:rPr>
                <w:rFonts w:ascii="Arial" w:hAnsi="Arial" w:cs="Arial"/>
                <w:sz w:val="20"/>
              </w:rPr>
            </w:pPr>
          </w:p>
        </w:tc>
        <w:tc>
          <w:tcPr>
            <w:tcW w:w="1134" w:type="dxa"/>
          </w:tcPr>
          <w:p w14:paraId="79212387" w14:textId="77777777" w:rsidR="00F86F4E" w:rsidRPr="00806B7F" w:rsidRDefault="00F86F4E" w:rsidP="00A369A1">
            <w:pPr>
              <w:jc w:val="center"/>
              <w:rPr>
                <w:rFonts w:ascii="Arial" w:hAnsi="Arial" w:cs="Arial"/>
                <w:sz w:val="20"/>
              </w:rPr>
            </w:pPr>
          </w:p>
        </w:tc>
        <w:tc>
          <w:tcPr>
            <w:tcW w:w="1134" w:type="dxa"/>
          </w:tcPr>
          <w:p w14:paraId="075CFB04" w14:textId="77777777" w:rsidR="00F86F4E" w:rsidRPr="00806B7F" w:rsidRDefault="00F86F4E" w:rsidP="00A369A1">
            <w:pPr>
              <w:jc w:val="center"/>
              <w:rPr>
                <w:rFonts w:ascii="Arial" w:hAnsi="Arial" w:cs="Arial"/>
                <w:sz w:val="20"/>
              </w:rPr>
            </w:pPr>
          </w:p>
        </w:tc>
      </w:tr>
      <w:tr w:rsidR="00F86F4E" w:rsidRPr="00806B7F" w14:paraId="77404C63" w14:textId="77777777" w:rsidTr="00A369A1">
        <w:trPr>
          <w:trHeight w:val="387"/>
        </w:trPr>
        <w:tc>
          <w:tcPr>
            <w:tcW w:w="4390" w:type="dxa"/>
          </w:tcPr>
          <w:p w14:paraId="1AD6A88D" w14:textId="77777777" w:rsidR="00F86F4E" w:rsidRPr="00806B7F" w:rsidRDefault="00F86F4E" w:rsidP="00F86F4E">
            <w:pPr>
              <w:spacing w:after="120"/>
              <w:rPr>
                <w:rFonts w:ascii="Arial" w:hAnsi="Arial" w:cs="Arial"/>
                <w:sz w:val="20"/>
              </w:rPr>
            </w:pPr>
          </w:p>
        </w:tc>
        <w:tc>
          <w:tcPr>
            <w:tcW w:w="1134" w:type="dxa"/>
          </w:tcPr>
          <w:p w14:paraId="380CD68E" w14:textId="683E51F3" w:rsidR="00F86F4E" w:rsidRPr="00806B7F" w:rsidRDefault="00F86F4E" w:rsidP="00F86F4E">
            <w:pPr>
              <w:jc w:val="center"/>
              <w:rPr>
                <w:rFonts w:ascii="Arial" w:hAnsi="Arial" w:cs="Arial"/>
                <w:sz w:val="20"/>
              </w:rPr>
            </w:pPr>
            <w:r w:rsidRPr="00806B7F">
              <w:rPr>
                <w:rFonts w:ascii="Arial" w:hAnsi="Arial" w:cs="Arial"/>
                <w:sz w:val="20"/>
              </w:rPr>
              <w:t>68.2</w:t>
            </w:r>
          </w:p>
        </w:tc>
        <w:tc>
          <w:tcPr>
            <w:tcW w:w="1134" w:type="dxa"/>
          </w:tcPr>
          <w:p w14:paraId="5F8FDB4D" w14:textId="00F26926" w:rsidR="00F86F4E" w:rsidRPr="00806B7F" w:rsidRDefault="00F86F4E" w:rsidP="00F86F4E">
            <w:pPr>
              <w:jc w:val="center"/>
              <w:rPr>
                <w:rFonts w:ascii="Arial" w:hAnsi="Arial" w:cs="Arial"/>
                <w:sz w:val="20"/>
              </w:rPr>
            </w:pPr>
            <w:r w:rsidRPr="00806B7F">
              <w:rPr>
                <w:rFonts w:ascii="Arial" w:hAnsi="Arial" w:cs="Arial"/>
                <w:sz w:val="20"/>
              </w:rPr>
              <w:t>71.8</w:t>
            </w:r>
          </w:p>
        </w:tc>
        <w:tc>
          <w:tcPr>
            <w:tcW w:w="1134" w:type="dxa"/>
          </w:tcPr>
          <w:p w14:paraId="2CDD1162" w14:textId="6EB88EB3" w:rsidR="00F86F4E" w:rsidRPr="00806B7F" w:rsidRDefault="00F86F4E" w:rsidP="00F86F4E">
            <w:pPr>
              <w:jc w:val="center"/>
              <w:rPr>
                <w:rFonts w:ascii="Arial" w:hAnsi="Arial" w:cs="Arial"/>
                <w:sz w:val="20"/>
              </w:rPr>
            </w:pPr>
            <w:r w:rsidRPr="00806B7F">
              <w:rPr>
                <w:rFonts w:ascii="Arial" w:hAnsi="Arial" w:cs="Arial"/>
                <w:sz w:val="20"/>
              </w:rPr>
              <w:t>74.5</w:t>
            </w:r>
          </w:p>
        </w:tc>
        <w:tc>
          <w:tcPr>
            <w:tcW w:w="1134" w:type="dxa"/>
          </w:tcPr>
          <w:p w14:paraId="37F0B278" w14:textId="39476D32" w:rsidR="00F86F4E" w:rsidRPr="00806B7F" w:rsidRDefault="00F86F4E" w:rsidP="00F86F4E">
            <w:pPr>
              <w:jc w:val="center"/>
              <w:rPr>
                <w:rFonts w:ascii="Arial" w:hAnsi="Arial" w:cs="Arial"/>
                <w:sz w:val="20"/>
              </w:rPr>
            </w:pPr>
            <w:r w:rsidRPr="00806B7F">
              <w:rPr>
                <w:rFonts w:ascii="Arial" w:hAnsi="Arial" w:cs="Arial"/>
                <w:sz w:val="20"/>
              </w:rPr>
              <w:t>76.6</w:t>
            </w:r>
          </w:p>
        </w:tc>
        <w:tc>
          <w:tcPr>
            <w:tcW w:w="1134" w:type="dxa"/>
          </w:tcPr>
          <w:p w14:paraId="27FB8594" w14:textId="0434EDDC" w:rsidR="00F86F4E" w:rsidRPr="00806B7F" w:rsidRDefault="00F86F4E" w:rsidP="00F86F4E">
            <w:pPr>
              <w:jc w:val="center"/>
              <w:rPr>
                <w:rFonts w:ascii="Arial" w:hAnsi="Arial" w:cs="Arial"/>
                <w:sz w:val="20"/>
              </w:rPr>
            </w:pPr>
            <w:r w:rsidRPr="00806B7F">
              <w:rPr>
                <w:rFonts w:ascii="Arial" w:hAnsi="Arial" w:cs="Arial"/>
                <w:sz w:val="20"/>
              </w:rPr>
              <w:t>78.9</w:t>
            </w:r>
          </w:p>
        </w:tc>
      </w:tr>
    </w:tbl>
    <w:p w14:paraId="23C6A2A6" w14:textId="77777777" w:rsidR="007C5B19" w:rsidRPr="00806B7F" w:rsidRDefault="007C5B19" w:rsidP="007C5B19">
      <w:pPr>
        <w:jc w:val="both"/>
        <w:rPr>
          <w:rFonts w:ascii="Arial" w:hAnsi="Arial" w:cs="Arial"/>
          <w:sz w:val="20"/>
        </w:rPr>
      </w:pPr>
    </w:p>
    <w:p w14:paraId="165A77E6" w14:textId="77777777" w:rsidR="007C5B19" w:rsidRPr="00806B7F" w:rsidRDefault="007C5B19" w:rsidP="007C5B19">
      <w:pPr>
        <w:spacing w:after="200" w:line="276" w:lineRule="auto"/>
        <w:rPr>
          <w:rFonts w:ascii="Arial" w:hAnsi="Arial" w:cs="Arial"/>
          <w:b/>
          <w:sz w:val="20"/>
        </w:rPr>
      </w:pPr>
      <w:r w:rsidRPr="00806B7F">
        <w:rPr>
          <w:rFonts w:ascii="Arial" w:hAnsi="Arial" w:cs="Arial"/>
          <w:b/>
          <w:sz w:val="20"/>
        </w:rPr>
        <w:br w:type="page"/>
      </w:r>
    </w:p>
    <w:p w14:paraId="27B671DF" w14:textId="77777777" w:rsidR="007C5B19" w:rsidRPr="00806B7F" w:rsidRDefault="007C5B19" w:rsidP="007C5B19">
      <w:pPr>
        <w:jc w:val="both"/>
        <w:rPr>
          <w:rFonts w:ascii="Arial" w:hAnsi="Arial" w:cs="Arial"/>
          <w:b/>
          <w:sz w:val="20"/>
        </w:rPr>
      </w:pPr>
      <w:r w:rsidRPr="00806B7F">
        <w:rPr>
          <w:rFonts w:ascii="Arial" w:hAnsi="Arial" w:cs="Arial"/>
          <w:b/>
          <w:sz w:val="20"/>
        </w:rPr>
        <w:t>Inflation</w:t>
      </w:r>
    </w:p>
    <w:p w14:paraId="1D3B3E26" w14:textId="77777777" w:rsidR="007C5B19" w:rsidRPr="00806B7F" w:rsidRDefault="007C5B19" w:rsidP="007C5B19">
      <w:pPr>
        <w:jc w:val="both"/>
        <w:rPr>
          <w:rFonts w:ascii="Arial" w:hAnsi="Arial" w:cs="Arial"/>
          <w:sz w:val="20"/>
        </w:rPr>
      </w:pPr>
    </w:p>
    <w:p w14:paraId="04CBEBE2" w14:textId="77777777" w:rsidR="007C5B19" w:rsidRPr="00806B7F" w:rsidRDefault="007C5B19" w:rsidP="007C5B19">
      <w:pPr>
        <w:jc w:val="both"/>
        <w:rPr>
          <w:rFonts w:ascii="Arial" w:hAnsi="Arial" w:cs="Arial"/>
          <w:sz w:val="20"/>
        </w:rPr>
      </w:pPr>
      <w:r w:rsidRPr="00806B7F">
        <w:rPr>
          <w:rFonts w:ascii="Arial" w:hAnsi="Arial" w:cs="Arial"/>
          <w:sz w:val="20"/>
        </w:rPr>
        <w:t>The following amounts have been added to the budget in respect of inflationary pressures, in line with current estimates: -</w:t>
      </w:r>
    </w:p>
    <w:p w14:paraId="1E24F9CC" w14:textId="77777777" w:rsidR="007C5B19" w:rsidRPr="00806B7F" w:rsidRDefault="007C5B19" w:rsidP="007C5B19">
      <w:pPr>
        <w:jc w:val="both"/>
        <w:rPr>
          <w:rFonts w:ascii="Arial" w:hAnsi="Arial" w:cs="Arial"/>
          <w:sz w:val="20"/>
        </w:rPr>
      </w:pPr>
    </w:p>
    <w:p w14:paraId="0B8FBF89"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3 Details of Inflation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tails of Committed Variations"/>
      </w:tblPr>
      <w:tblGrid>
        <w:gridCol w:w="4390"/>
        <w:gridCol w:w="1134"/>
        <w:gridCol w:w="1134"/>
        <w:gridCol w:w="1134"/>
        <w:gridCol w:w="1134"/>
        <w:gridCol w:w="1134"/>
      </w:tblGrid>
      <w:tr w:rsidR="007C5B19" w:rsidRPr="00806B7F" w14:paraId="52595AA2" w14:textId="77777777" w:rsidTr="00A369A1">
        <w:tc>
          <w:tcPr>
            <w:tcW w:w="4390" w:type="dxa"/>
          </w:tcPr>
          <w:p w14:paraId="24B395A1" w14:textId="77777777" w:rsidR="007C5B19" w:rsidRPr="00806B7F" w:rsidRDefault="007C5B19" w:rsidP="00A369A1">
            <w:pPr>
              <w:rPr>
                <w:rFonts w:ascii="Arial" w:hAnsi="Arial" w:cs="Arial"/>
                <w:sz w:val="20"/>
              </w:rPr>
            </w:pPr>
          </w:p>
        </w:tc>
        <w:tc>
          <w:tcPr>
            <w:tcW w:w="1134" w:type="dxa"/>
          </w:tcPr>
          <w:p w14:paraId="1880176F"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050FBDEB"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47F58383"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30C319B3"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47BDAB17"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01D21E81" w14:textId="77777777" w:rsidTr="00A369A1">
        <w:tc>
          <w:tcPr>
            <w:tcW w:w="4390" w:type="dxa"/>
          </w:tcPr>
          <w:p w14:paraId="48F6EB6B" w14:textId="77777777" w:rsidR="007C5B19" w:rsidRPr="00806B7F" w:rsidRDefault="007C5B19" w:rsidP="00A369A1">
            <w:pPr>
              <w:rPr>
                <w:rFonts w:ascii="Arial" w:hAnsi="Arial" w:cs="Arial"/>
                <w:sz w:val="20"/>
              </w:rPr>
            </w:pPr>
          </w:p>
        </w:tc>
        <w:tc>
          <w:tcPr>
            <w:tcW w:w="1134" w:type="dxa"/>
          </w:tcPr>
          <w:p w14:paraId="43B2374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270026C4"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BDC03F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529127F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25B73DFF"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4E6DB984" w14:textId="77777777" w:rsidTr="00A369A1">
        <w:tc>
          <w:tcPr>
            <w:tcW w:w="4390" w:type="dxa"/>
          </w:tcPr>
          <w:p w14:paraId="74E8FD8C" w14:textId="77777777" w:rsidR="007C5B19" w:rsidRPr="00806B7F" w:rsidRDefault="007C5B19" w:rsidP="00A369A1">
            <w:pPr>
              <w:rPr>
                <w:rFonts w:ascii="Arial" w:hAnsi="Arial" w:cs="Arial"/>
                <w:sz w:val="20"/>
              </w:rPr>
            </w:pPr>
            <w:r w:rsidRPr="00806B7F">
              <w:rPr>
                <w:rFonts w:ascii="Arial" w:hAnsi="Arial" w:cs="Arial"/>
                <w:sz w:val="20"/>
              </w:rPr>
              <w:t>The impact of the unbudgeted pay awards in 2022/23:</w:t>
            </w:r>
          </w:p>
          <w:p w14:paraId="2953D707"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Grey book (operational staff) based on the latest pay offer of 7% (there remains a great deal of uncertainty around the eventual level of the pay award)</w:t>
            </w:r>
          </w:p>
          <w:p w14:paraId="106CF8FE"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Green book (support staff) £1,925 per person</w:t>
            </w:r>
          </w:p>
        </w:tc>
        <w:tc>
          <w:tcPr>
            <w:tcW w:w="1134" w:type="dxa"/>
          </w:tcPr>
          <w:p w14:paraId="3F98ECC2" w14:textId="77777777" w:rsidR="007C5B19" w:rsidRPr="00806B7F" w:rsidDel="002D0FF6" w:rsidRDefault="007C5B19" w:rsidP="00A369A1">
            <w:pPr>
              <w:jc w:val="center"/>
              <w:rPr>
                <w:rFonts w:ascii="Arial" w:hAnsi="Arial" w:cs="Arial"/>
                <w:sz w:val="20"/>
              </w:rPr>
            </w:pPr>
            <w:r w:rsidRPr="00806B7F">
              <w:rPr>
                <w:rFonts w:ascii="Arial" w:hAnsi="Arial" w:cs="Arial"/>
                <w:sz w:val="20"/>
              </w:rPr>
              <w:t>2.5</w:t>
            </w:r>
          </w:p>
        </w:tc>
        <w:tc>
          <w:tcPr>
            <w:tcW w:w="1134" w:type="dxa"/>
          </w:tcPr>
          <w:p w14:paraId="68BFA910" w14:textId="77777777" w:rsidR="007C5B19" w:rsidRPr="00806B7F" w:rsidDel="002D0FF6" w:rsidRDefault="007C5B19" w:rsidP="00A369A1">
            <w:pPr>
              <w:jc w:val="center"/>
              <w:rPr>
                <w:rFonts w:ascii="Arial" w:hAnsi="Arial" w:cs="Arial"/>
                <w:sz w:val="20"/>
              </w:rPr>
            </w:pPr>
            <w:r w:rsidRPr="00806B7F">
              <w:rPr>
                <w:rFonts w:ascii="Arial" w:hAnsi="Arial" w:cs="Arial"/>
                <w:sz w:val="20"/>
              </w:rPr>
              <w:t>-</w:t>
            </w:r>
          </w:p>
        </w:tc>
        <w:tc>
          <w:tcPr>
            <w:tcW w:w="1134" w:type="dxa"/>
          </w:tcPr>
          <w:p w14:paraId="1BC5BBCF"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0BC2A46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4528EF36"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57B967A3" w14:textId="77777777" w:rsidTr="00A369A1">
        <w:tc>
          <w:tcPr>
            <w:tcW w:w="4390" w:type="dxa"/>
          </w:tcPr>
          <w:p w14:paraId="6272E10E" w14:textId="77777777" w:rsidR="007C5B19" w:rsidRPr="00806B7F" w:rsidRDefault="007C5B19" w:rsidP="00A369A1">
            <w:pPr>
              <w:rPr>
                <w:rFonts w:ascii="Arial" w:hAnsi="Arial" w:cs="Arial"/>
                <w:sz w:val="20"/>
              </w:rPr>
            </w:pPr>
            <w:r w:rsidRPr="00806B7F">
              <w:rPr>
                <w:rFonts w:ascii="Arial" w:hAnsi="Arial" w:cs="Arial"/>
                <w:sz w:val="20"/>
              </w:rPr>
              <w:t>A 5% allowance has been built in for 2023/24 pay award and 2% thereafter</w:t>
            </w:r>
          </w:p>
        </w:tc>
        <w:tc>
          <w:tcPr>
            <w:tcW w:w="1134" w:type="dxa"/>
          </w:tcPr>
          <w:p w14:paraId="6C30C9B3" w14:textId="77777777" w:rsidR="007C5B19" w:rsidRPr="00806B7F" w:rsidRDefault="007C5B19" w:rsidP="00A369A1">
            <w:pPr>
              <w:jc w:val="center"/>
              <w:rPr>
                <w:rFonts w:ascii="Arial" w:hAnsi="Arial" w:cs="Arial"/>
                <w:sz w:val="20"/>
              </w:rPr>
            </w:pPr>
            <w:r w:rsidRPr="00806B7F">
              <w:rPr>
                <w:rFonts w:ascii="Arial" w:hAnsi="Arial" w:cs="Arial"/>
                <w:sz w:val="20"/>
              </w:rPr>
              <w:t>2.4</w:t>
            </w:r>
          </w:p>
        </w:tc>
        <w:tc>
          <w:tcPr>
            <w:tcW w:w="1134" w:type="dxa"/>
          </w:tcPr>
          <w:p w14:paraId="26B6BC49" w14:textId="77777777" w:rsidR="007C5B19" w:rsidRPr="00806B7F" w:rsidRDefault="007C5B19" w:rsidP="00A369A1">
            <w:pPr>
              <w:jc w:val="center"/>
              <w:rPr>
                <w:rFonts w:ascii="Arial" w:hAnsi="Arial" w:cs="Arial"/>
                <w:sz w:val="20"/>
              </w:rPr>
            </w:pPr>
            <w:r w:rsidRPr="00806B7F">
              <w:rPr>
                <w:rFonts w:ascii="Arial" w:hAnsi="Arial" w:cs="Arial"/>
                <w:sz w:val="20"/>
              </w:rPr>
              <w:t>1.5</w:t>
            </w:r>
          </w:p>
        </w:tc>
        <w:tc>
          <w:tcPr>
            <w:tcW w:w="1134" w:type="dxa"/>
          </w:tcPr>
          <w:p w14:paraId="4B61F17E" w14:textId="77777777" w:rsidR="007C5B19" w:rsidRPr="00806B7F" w:rsidRDefault="007C5B19" w:rsidP="00A369A1">
            <w:pPr>
              <w:jc w:val="center"/>
              <w:rPr>
                <w:rFonts w:ascii="Arial" w:hAnsi="Arial" w:cs="Arial"/>
                <w:sz w:val="20"/>
              </w:rPr>
            </w:pPr>
            <w:r w:rsidRPr="00806B7F">
              <w:rPr>
                <w:rFonts w:ascii="Arial" w:hAnsi="Arial" w:cs="Arial"/>
                <w:sz w:val="20"/>
              </w:rPr>
              <w:t>1.2</w:t>
            </w:r>
          </w:p>
        </w:tc>
        <w:tc>
          <w:tcPr>
            <w:tcW w:w="1134" w:type="dxa"/>
          </w:tcPr>
          <w:p w14:paraId="077A58BA" w14:textId="77777777" w:rsidR="007C5B19" w:rsidRPr="00806B7F" w:rsidRDefault="007C5B19" w:rsidP="00A369A1">
            <w:pPr>
              <w:jc w:val="center"/>
              <w:rPr>
                <w:rFonts w:ascii="Arial" w:hAnsi="Arial" w:cs="Arial"/>
                <w:sz w:val="20"/>
              </w:rPr>
            </w:pPr>
            <w:r w:rsidRPr="00806B7F">
              <w:rPr>
                <w:rFonts w:ascii="Arial" w:hAnsi="Arial" w:cs="Arial"/>
                <w:sz w:val="20"/>
              </w:rPr>
              <w:t>1.2</w:t>
            </w:r>
          </w:p>
        </w:tc>
        <w:tc>
          <w:tcPr>
            <w:tcW w:w="1134" w:type="dxa"/>
          </w:tcPr>
          <w:p w14:paraId="7BAA84E6" w14:textId="77777777" w:rsidR="007C5B19" w:rsidRPr="00806B7F" w:rsidRDefault="007C5B19" w:rsidP="00A369A1">
            <w:pPr>
              <w:jc w:val="center"/>
              <w:rPr>
                <w:rFonts w:ascii="Arial" w:hAnsi="Arial" w:cs="Arial"/>
                <w:sz w:val="20"/>
              </w:rPr>
            </w:pPr>
            <w:r w:rsidRPr="00806B7F">
              <w:rPr>
                <w:rFonts w:ascii="Arial" w:hAnsi="Arial" w:cs="Arial"/>
                <w:sz w:val="20"/>
              </w:rPr>
              <w:t>1.2</w:t>
            </w:r>
          </w:p>
        </w:tc>
      </w:tr>
      <w:tr w:rsidR="007C5B19" w:rsidRPr="00806B7F" w14:paraId="4422CA41" w14:textId="77777777" w:rsidTr="00A369A1">
        <w:trPr>
          <w:trHeight w:val="351"/>
        </w:trPr>
        <w:tc>
          <w:tcPr>
            <w:tcW w:w="4390" w:type="dxa"/>
          </w:tcPr>
          <w:p w14:paraId="7EC9AA42" w14:textId="77777777" w:rsidR="007C5B19" w:rsidRPr="00806B7F" w:rsidRDefault="007C5B19" w:rsidP="00A369A1">
            <w:pPr>
              <w:rPr>
                <w:rFonts w:ascii="Arial" w:hAnsi="Arial" w:cs="Arial"/>
                <w:sz w:val="20"/>
              </w:rPr>
            </w:pPr>
            <w:r w:rsidRPr="00806B7F">
              <w:rPr>
                <w:rFonts w:ascii="Arial" w:hAnsi="Arial" w:cs="Arial"/>
                <w:sz w:val="20"/>
              </w:rPr>
              <w:t>The budget allows for a general 10% inflationary increase next year in respect of non-pay, split across underfunded inflation in 22/23 and an assumed 5% inflation in 23/24. With on-going inflation of 2.5% thereafter.</w:t>
            </w:r>
          </w:p>
          <w:p w14:paraId="1995A236" w14:textId="77777777" w:rsidR="007C5B19" w:rsidRPr="00806B7F" w:rsidRDefault="007C5B19" w:rsidP="00A369A1">
            <w:pPr>
              <w:rPr>
                <w:rFonts w:ascii="Arial" w:hAnsi="Arial" w:cs="Arial"/>
                <w:sz w:val="20"/>
              </w:rPr>
            </w:pPr>
            <w:r w:rsidRPr="00806B7F">
              <w:rPr>
                <w:rFonts w:ascii="Arial" w:hAnsi="Arial" w:cs="Arial"/>
                <w:sz w:val="20"/>
              </w:rPr>
              <w:t>In addition the on-going budget for energy and fuel has been increased to reflect current rates</w:t>
            </w:r>
          </w:p>
        </w:tc>
        <w:tc>
          <w:tcPr>
            <w:tcW w:w="1134" w:type="dxa"/>
          </w:tcPr>
          <w:p w14:paraId="1C7CAB64" w14:textId="77777777" w:rsidR="007C5B19" w:rsidRPr="00806B7F" w:rsidRDefault="007C5B19" w:rsidP="00A369A1">
            <w:pPr>
              <w:jc w:val="center"/>
              <w:rPr>
                <w:rFonts w:ascii="Arial" w:hAnsi="Arial" w:cs="Arial"/>
                <w:sz w:val="20"/>
              </w:rPr>
            </w:pPr>
            <w:r w:rsidRPr="00806B7F">
              <w:rPr>
                <w:rFonts w:ascii="Arial" w:hAnsi="Arial" w:cs="Arial"/>
                <w:sz w:val="20"/>
              </w:rPr>
              <w:t>2.6</w:t>
            </w:r>
          </w:p>
        </w:tc>
        <w:tc>
          <w:tcPr>
            <w:tcW w:w="1134" w:type="dxa"/>
          </w:tcPr>
          <w:p w14:paraId="75C7D086"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0D97A389"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0D69862E"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244D4A29" w14:textId="77777777" w:rsidR="007C5B19" w:rsidRPr="00806B7F" w:rsidRDefault="007C5B19" w:rsidP="00A369A1">
            <w:pPr>
              <w:jc w:val="center"/>
              <w:rPr>
                <w:rFonts w:ascii="Arial" w:hAnsi="Arial" w:cs="Arial"/>
                <w:sz w:val="20"/>
              </w:rPr>
            </w:pPr>
            <w:r w:rsidRPr="00806B7F">
              <w:rPr>
                <w:rFonts w:ascii="Arial" w:hAnsi="Arial" w:cs="Arial"/>
                <w:sz w:val="20"/>
              </w:rPr>
              <w:t>0.5</w:t>
            </w:r>
          </w:p>
        </w:tc>
      </w:tr>
      <w:tr w:rsidR="007C5B19" w:rsidRPr="00806B7F" w14:paraId="37C7FBE6" w14:textId="77777777" w:rsidTr="00A369A1">
        <w:tc>
          <w:tcPr>
            <w:tcW w:w="4390" w:type="dxa"/>
          </w:tcPr>
          <w:p w14:paraId="05B604C5" w14:textId="77777777" w:rsidR="007C5B19" w:rsidRPr="00806B7F" w:rsidRDefault="007C5B19" w:rsidP="00A369A1">
            <w:pPr>
              <w:rPr>
                <w:rFonts w:ascii="Arial" w:hAnsi="Arial" w:cs="Arial"/>
                <w:sz w:val="20"/>
              </w:rPr>
            </w:pPr>
          </w:p>
        </w:tc>
        <w:tc>
          <w:tcPr>
            <w:tcW w:w="1134" w:type="dxa"/>
          </w:tcPr>
          <w:p w14:paraId="32E1B549" w14:textId="77777777" w:rsidR="007C5B19" w:rsidRPr="00806B7F" w:rsidRDefault="007C5B19" w:rsidP="00A369A1">
            <w:pPr>
              <w:jc w:val="center"/>
              <w:rPr>
                <w:rFonts w:ascii="Arial" w:hAnsi="Arial" w:cs="Arial"/>
                <w:sz w:val="20"/>
              </w:rPr>
            </w:pPr>
            <w:r w:rsidRPr="00806B7F">
              <w:rPr>
                <w:rFonts w:ascii="Arial" w:hAnsi="Arial" w:cs="Arial"/>
                <w:sz w:val="20"/>
              </w:rPr>
              <w:t>7.5</w:t>
            </w:r>
          </w:p>
        </w:tc>
        <w:tc>
          <w:tcPr>
            <w:tcW w:w="1134" w:type="dxa"/>
          </w:tcPr>
          <w:p w14:paraId="17F48272" w14:textId="77777777" w:rsidR="007C5B19" w:rsidRPr="00806B7F" w:rsidRDefault="007C5B19" w:rsidP="00A369A1">
            <w:pPr>
              <w:jc w:val="center"/>
              <w:rPr>
                <w:rFonts w:ascii="Arial" w:hAnsi="Arial" w:cs="Arial"/>
                <w:sz w:val="20"/>
              </w:rPr>
            </w:pPr>
            <w:r w:rsidRPr="00806B7F">
              <w:rPr>
                <w:rFonts w:ascii="Arial" w:hAnsi="Arial" w:cs="Arial"/>
                <w:sz w:val="20"/>
              </w:rPr>
              <w:t>2.0</w:t>
            </w:r>
          </w:p>
        </w:tc>
        <w:tc>
          <w:tcPr>
            <w:tcW w:w="1134" w:type="dxa"/>
          </w:tcPr>
          <w:p w14:paraId="1A3D097C" w14:textId="77777777" w:rsidR="007C5B19" w:rsidRPr="00806B7F" w:rsidRDefault="007C5B19" w:rsidP="00A369A1">
            <w:pPr>
              <w:jc w:val="center"/>
              <w:rPr>
                <w:rFonts w:ascii="Arial" w:hAnsi="Arial" w:cs="Arial"/>
                <w:sz w:val="20"/>
              </w:rPr>
            </w:pPr>
            <w:r w:rsidRPr="00806B7F">
              <w:rPr>
                <w:rFonts w:ascii="Arial" w:hAnsi="Arial" w:cs="Arial"/>
                <w:sz w:val="20"/>
              </w:rPr>
              <w:t>1.7</w:t>
            </w:r>
          </w:p>
        </w:tc>
        <w:tc>
          <w:tcPr>
            <w:tcW w:w="1134" w:type="dxa"/>
          </w:tcPr>
          <w:p w14:paraId="32A1AB1F" w14:textId="77777777" w:rsidR="007C5B19" w:rsidRPr="00806B7F" w:rsidRDefault="007C5B19" w:rsidP="00A369A1">
            <w:pPr>
              <w:jc w:val="center"/>
              <w:rPr>
                <w:rFonts w:ascii="Arial" w:hAnsi="Arial" w:cs="Arial"/>
                <w:sz w:val="20"/>
              </w:rPr>
            </w:pPr>
            <w:r w:rsidRPr="00806B7F">
              <w:rPr>
                <w:rFonts w:ascii="Arial" w:hAnsi="Arial" w:cs="Arial"/>
                <w:sz w:val="20"/>
              </w:rPr>
              <w:t>1.7</w:t>
            </w:r>
          </w:p>
        </w:tc>
        <w:tc>
          <w:tcPr>
            <w:tcW w:w="1134" w:type="dxa"/>
          </w:tcPr>
          <w:p w14:paraId="7F2E8C44" w14:textId="77777777" w:rsidR="007C5B19" w:rsidRPr="00806B7F" w:rsidRDefault="007C5B19" w:rsidP="00A369A1">
            <w:pPr>
              <w:jc w:val="center"/>
              <w:rPr>
                <w:rFonts w:ascii="Arial" w:hAnsi="Arial" w:cs="Arial"/>
                <w:sz w:val="20"/>
              </w:rPr>
            </w:pPr>
            <w:r w:rsidRPr="00806B7F">
              <w:rPr>
                <w:rFonts w:ascii="Arial" w:hAnsi="Arial" w:cs="Arial"/>
                <w:sz w:val="20"/>
              </w:rPr>
              <w:t>1.7</w:t>
            </w:r>
          </w:p>
        </w:tc>
      </w:tr>
    </w:tbl>
    <w:p w14:paraId="0E176F50" w14:textId="77777777" w:rsidR="007C5B19" w:rsidRPr="00806B7F" w:rsidRDefault="007C5B19" w:rsidP="007C5B19">
      <w:pPr>
        <w:jc w:val="both"/>
        <w:rPr>
          <w:rFonts w:ascii="Arial" w:hAnsi="Arial" w:cs="Arial"/>
          <w:sz w:val="20"/>
        </w:rPr>
      </w:pPr>
    </w:p>
    <w:p w14:paraId="341611DA" w14:textId="77777777" w:rsidR="007C5B19" w:rsidRPr="00806B7F" w:rsidRDefault="007C5B19" w:rsidP="007C5B19">
      <w:pPr>
        <w:jc w:val="both"/>
        <w:rPr>
          <w:rFonts w:ascii="Arial" w:hAnsi="Arial" w:cs="Arial"/>
          <w:sz w:val="20"/>
        </w:rPr>
      </w:pPr>
      <w:r w:rsidRPr="00806B7F">
        <w:rPr>
          <w:rFonts w:ascii="Arial" w:hAnsi="Arial" w:cs="Arial"/>
          <w:sz w:val="20"/>
        </w:rPr>
        <w:t xml:space="preserve">Each 1% pay award </w:t>
      </w:r>
      <w:proofErr w:type="gramStart"/>
      <w:r w:rsidRPr="00806B7F">
        <w:rPr>
          <w:rFonts w:ascii="Arial" w:hAnsi="Arial" w:cs="Arial"/>
          <w:sz w:val="20"/>
        </w:rPr>
        <w:t>in excess of</w:t>
      </w:r>
      <w:proofErr w:type="gramEnd"/>
      <w:r w:rsidRPr="00806B7F">
        <w:rPr>
          <w:rFonts w:ascii="Arial" w:hAnsi="Arial" w:cs="Arial"/>
          <w:sz w:val="20"/>
        </w:rPr>
        <w:t xml:space="preserve"> the above assumptions equates to an additional cost of £0.4m per year for grey book personnel, and £0.1m for green book personnel. </w:t>
      </w:r>
    </w:p>
    <w:p w14:paraId="4DB79E1A" w14:textId="77777777" w:rsidR="007C5B19" w:rsidRPr="00806B7F" w:rsidRDefault="007C5B19" w:rsidP="007C5B19">
      <w:pPr>
        <w:jc w:val="both"/>
        <w:rPr>
          <w:rFonts w:ascii="Arial" w:hAnsi="Arial" w:cs="Arial"/>
          <w:sz w:val="20"/>
        </w:rPr>
      </w:pPr>
    </w:p>
    <w:p w14:paraId="18393758" w14:textId="77777777" w:rsidR="007C5B19" w:rsidRPr="00806B7F" w:rsidRDefault="007C5B19" w:rsidP="007C5B19">
      <w:pPr>
        <w:jc w:val="both"/>
        <w:rPr>
          <w:rFonts w:ascii="Arial" w:hAnsi="Arial" w:cs="Arial"/>
          <w:b/>
          <w:sz w:val="20"/>
        </w:rPr>
      </w:pPr>
      <w:r w:rsidRPr="00806B7F">
        <w:rPr>
          <w:rFonts w:ascii="Arial" w:hAnsi="Arial" w:cs="Arial"/>
          <w:b/>
          <w:sz w:val="20"/>
        </w:rPr>
        <w:t>Other Pay Pressures</w:t>
      </w:r>
    </w:p>
    <w:p w14:paraId="660CF406" w14:textId="77777777" w:rsidR="007C5B19" w:rsidRPr="00806B7F" w:rsidRDefault="007C5B19" w:rsidP="007C5B19">
      <w:pPr>
        <w:jc w:val="both"/>
        <w:rPr>
          <w:rFonts w:ascii="Arial" w:hAnsi="Arial" w:cs="Arial"/>
          <w:b/>
          <w:sz w:val="20"/>
        </w:rPr>
      </w:pPr>
    </w:p>
    <w:p w14:paraId="19FA67D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Table4 Details of Other Pay Pressures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139"/>
        <w:gridCol w:w="1134"/>
        <w:gridCol w:w="1129"/>
        <w:gridCol w:w="1134"/>
        <w:gridCol w:w="1134"/>
      </w:tblGrid>
      <w:tr w:rsidR="007C5B19" w:rsidRPr="00806B7F" w14:paraId="03F75FE6" w14:textId="77777777" w:rsidTr="00A369A1">
        <w:tc>
          <w:tcPr>
            <w:tcW w:w="4395" w:type="dxa"/>
          </w:tcPr>
          <w:p w14:paraId="366E7EE5" w14:textId="77777777" w:rsidR="007C5B19" w:rsidRPr="00806B7F" w:rsidRDefault="007C5B19" w:rsidP="00A369A1">
            <w:pPr>
              <w:rPr>
                <w:rFonts w:ascii="Arial" w:hAnsi="Arial" w:cs="Arial"/>
                <w:sz w:val="20"/>
              </w:rPr>
            </w:pPr>
          </w:p>
        </w:tc>
        <w:tc>
          <w:tcPr>
            <w:tcW w:w="1139" w:type="dxa"/>
          </w:tcPr>
          <w:p w14:paraId="4806DE39"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4A88120A"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29" w:type="dxa"/>
          </w:tcPr>
          <w:p w14:paraId="6128E19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78638DDC"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1E46249D"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2F6F2B34" w14:textId="77777777" w:rsidTr="00A369A1">
        <w:tc>
          <w:tcPr>
            <w:tcW w:w="4395" w:type="dxa"/>
          </w:tcPr>
          <w:p w14:paraId="4426AB42" w14:textId="77777777" w:rsidR="007C5B19" w:rsidRPr="00806B7F" w:rsidRDefault="007C5B19" w:rsidP="00A369A1">
            <w:pPr>
              <w:rPr>
                <w:rFonts w:ascii="Arial" w:hAnsi="Arial" w:cs="Arial"/>
                <w:sz w:val="20"/>
              </w:rPr>
            </w:pPr>
          </w:p>
        </w:tc>
        <w:tc>
          <w:tcPr>
            <w:tcW w:w="1139" w:type="dxa"/>
          </w:tcPr>
          <w:p w14:paraId="1A84DF5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679CB33"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29" w:type="dxa"/>
          </w:tcPr>
          <w:p w14:paraId="39754A41"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63AE7AA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37A426BE"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532549EC" w14:textId="77777777" w:rsidTr="00A369A1">
        <w:tc>
          <w:tcPr>
            <w:tcW w:w="4395" w:type="dxa"/>
          </w:tcPr>
          <w:p w14:paraId="56D93E1C" w14:textId="77777777" w:rsidR="007C5B19" w:rsidRPr="00806B7F" w:rsidRDefault="007C5B19" w:rsidP="00A369A1">
            <w:pPr>
              <w:rPr>
                <w:rFonts w:ascii="Arial" w:hAnsi="Arial" w:cs="Arial"/>
                <w:sz w:val="20"/>
              </w:rPr>
            </w:pPr>
            <w:r w:rsidRPr="00806B7F">
              <w:rPr>
                <w:rFonts w:ascii="Arial" w:hAnsi="Arial" w:cs="Arial"/>
                <w:sz w:val="20"/>
              </w:rPr>
              <w:t xml:space="preserve">Pay has been re-costed, taking account of changes to personnel, grades, public holidays, pension costs etc. </w:t>
            </w:r>
          </w:p>
        </w:tc>
        <w:tc>
          <w:tcPr>
            <w:tcW w:w="1139" w:type="dxa"/>
          </w:tcPr>
          <w:p w14:paraId="6730984E" w14:textId="77777777" w:rsidR="007C5B19" w:rsidRPr="00806B7F" w:rsidDel="00AA2F44" w:rsidRDefault="007C5B19" w:rsidP="00A369A1">
            <w:pPr>
              <w:jc w:val="center"/>
              <w:rPr>
                <w:rFonts w:ascii="Arial" w:hAnsi="Arial" w:cs="Arial"/>
                <w:sz w:val="20"/>
              </w:rPr>
            </w:pPr>
            <w:r w:rsidRPr="00806B7F">
              <w:rPr>
                <w:rFonts w:ascii="Arial" w:hAnsi="Arial" w:cs="Arial"/>
                <w:sz w:val="20"/>
              </w:rPr>
              <w:t>(0.3)</w:t>
            </w:r>
          </w:p>
        </w:tc>
        <w:tc>
          <w:tcPr>
            <w:tcW w:w="1134" w:type="dxa"/>
          </w:tcPr>
          <w:p w14:paraId="4E4FC3E6"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29" w:type="dxa"/>
          </w:tcPr>
          <w:p w14:paraId="651B270B" w14:textId="77777777" w:rsidR="007C5B19" w:rsidRPr="00806B7F" w:rsidDel="00AA2F44" w:rsidRDefault="007C5B19" w:rsidP="00A369A1">
            <w:pPr>
              <w:jc w:val="center"/>
              <w:rPr>
                <w:rFonts w:ascii="Arial" w:hAnsi="Arial" w:cs="Arial"/>
                <w:sz w:val="20"/>
              </w:rPr>
            </w:pPr>
            <w:r w:rsidRPr="00806B7F">
              <w:rPr>
                <w:rFonts w:ascii="Arial" w:hAnsi="Arial" w:cs="Arial"/>
                <w:sz w:val="20"/>
              </w:rPr>
              <w:t>-</w:t>
            </w:r>
          </w:p>
        </w:tc>
        <w:tc>
          <w:tcPr>
            <w:tcW w:w="1134" w:type="dxa"/>
          </w:tcPr>
          <w:p w14:paraId="5DB5BEB1"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0616325"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7B0D3364" w14:textId="77777777" w:rsidTr="00A369A1">
        <w:tc>
          <w:tcPr>
            <w:tcW w:w="4395" w:type="dxa"/>
          </w:tcPr>
          <w:p w14:paraId="5891C783" w14:textId="77777777" w:rsidR="007C5B19" w:rsidRPr="00806B7F" w:rsidRDefault="007C5B19" w:rsidP="00A369A1">
            <w:pPr>
              <w:rPr>
                <w:rFonts w:ascii="Arial" w:hAnsi="Arial" w:cs="Arial"/>
                <w:sz w:val="20"/>
              </w:rPr>
            </w:pPr>
            <w:r w:rsidRPr="00806B7F">
              <w:rPr>
                <w:rFonts w:ascii="Arial" w:hAnsi="Arial" w:cs="Arial"/>
                <w:sz w:val="20"/>
              </w:rPr>
              <w:t xml:space="preserve">Removal of the Employers National Insurance increase of 1.25% in relation to the Health and Social Care levy </w:t>
            </w:r>
          </w:p>
        </w:tc>
        <w:tc>
          <w:tcPr>
            <w:tcW w:w="1139" w:type="dxa"/>
          </w:tcPr>
          <w:p w14:paraId="6B9FD231"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Pr>
          <w:p w14:paraId="6D4F8754"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29" w:type="dxa"/>
          </w:tcPr>
          <w:p w14:paraId="1F078027"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DCC1B86"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1A48EF33"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01B89A95" w14:textId="77777777" w:rsidTr="00A369A1">
        <w:tc>
          <w:tcPr>
            <w:tcW w:w="4395" w:type="dxa"/>
          </w:tcPr>
          <w:p w14:paraId="4479888D" w14:textId="77777777" w:rsidR="007C5B19" w:rsidRPr="00806B7F" w:rsidRDefault="007C5B19" w:rsidP="00A369A1">
            <w:pPr>
              <w:rPr>
                <w:rFonts w:ascii="Arial" w:hAnsi="Arial" w:cs="Arial"/>
                <w:sz w:val="20"/>
              </w:rPr>
            </w:pPr>
            <w:r w:rsidRPr="00806B7F">
              <w:rPr>
                <w:rFonts w:ascii="Arial" w:hAnsi="Arial" w:cs="Arial"/>
                <w:sz w:val="20"/>
              </w:rPr>
              <w:t xml:space="preserve">The 2020 valuation exercise on the Fire Fighters pension is on-going, with any  changes arising from this anticipated to impact the 2024/25. It is not clear what impact this will have but we are likely to see an increase in employer contribution rates, the scale of which is, </w:t>
            </w:r>
            <w:proofErr w:type="gramStart"/>
            <w:r w:rsidRPr="00806B7F">
              <w:rPr>
                <w:rFonts w:ascii="Arial" w:hAnsi="Arial" w:cs="Arial"/>
                <w:sz w:val="20"/>
              </w:rPr>
              <w:t>as yet</w:t>
            </w:r>
            <w:proofErr w:type="gramEnd"/>
            <w:r w:rsidRPr="00806B7F">
              <w:rPr>
                <w:rFonts w:ascii="Arial" w:hAnsi="Arial" w:cs="Arial"/>
                <w:sz w:val="20"/>
              </w:rPr>
              <w:t xml:space="preserve">, unknown. Therefore we have assumed a 3% increase in the 24/25 budget, pending further clarification. </w:t>
            </w:r>
          </w:p>
        </w:tc>
        <w:tc>
          <w:tcPr>
            <w:tcW w:w="1139" w:type="dxa"/>
          </w:tcPr>
          <w:p w14:paraId="0578619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643B111" w14:textId="77777777" w:rsidR="007C5B19" w:rsidRPr="00806B7F" w:rsidRDefault="007C5B19" w:rsidP="00A369A1">
            <w:pPr>
              <w:jc w:val="center"/>
              <w:rPr>
                <w:rFonts w:ascii="Arial" w:hAnsi="Arial" w:cs="Arial"/>
                <w:sz w:val="20"/>
              </w:rPr>
            </w:pPr>
            <w:r w:rsidRPr="00806B7F">
              <w:rPr>
                <w:rFonts w:ascii="Arial" w:hAnsi="Arial" w:cs="Arial"/>
                <w:sz w:val="20"/>
              </w:rPr>
              <w:t>0.8</w:t>
            </w:r>
          </w:p>
        </w:tc>
        <w:tc>
          <w:tcPr>
            <w:tcW w:w="1129" w:type="dxa"/>
          </w:tcPr>
          <w:p w14:paraId="1DECDEA0"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232566EF"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6CEAAB40"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2794AFF7" w14:textId="77777777" w:rsidTr="00A369A1">
        <w:trPr>
          <w:trHeight w:val="70"/>
        </w:trPr>
        <w:tc>
          <w:tcPr>
            <w:tcW w:w="4395" w:type="dxa"/>
          </w:tcPr>
          <w:p w14:paraId="220F0200" w14:textId="77777777" w:rsidR="007C5B19" w:rsidRPr="00806B7F" w:rsidRDefault="007C5B19" w:rsidP="00A369A1">
            <w:pPr>
              <w:rPr>
                <w:rFonts w:ascii="Arial" w:hAnsi="Arial" w:cs="Arial"/>
                <w:sz w:val="20"/>
              </w:rPr>
            </w:pPr>
          </w:p>
        </w:tc>
        <w:tc>
          <w:tcPr>
            <w:tcW w:w="1139" w:type="dxa"/>
          </w:tcPr>
          <w:p w14:paraId="34CC7280"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22516155"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29" w:type="dxa"/>
          </w:tcPr>
          <w:p w14:paraId="270FC2A3"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22AAA901"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08225146" w14:textId="77777777" w:rsidR="007C5B19" w:rsidRPr="00806B7F" w:rsidRDefault="007C5B19" w:rsidP="00A369A1">
            <w:pPr>
              <w:jc w:val="center"/>
              <w:rPr>
                <w:rFonts w:ascii="Arial" w:hAnsi="Arial" w:cs="Arial"/>
                <w:sz w:val="20"/>
              </w:rPr>
            </w:pPr>
            <w:r w:rsidRPr="00806B7F">
              <w:rPr>
                <w:rFonts w:ascii="Arial" w:hAnsi="Arial" w:cs="Arial"/>
                <w:sz w:val="20"/>
              </w:rPr>
              <w:t>-</w:t>
            </w:r>
          </w:p>
        </w:tc>
      </w:tr>
    </w:tbl>
    <w:p w14:paraId="0E2F5FCA" w14:textId="77777777" w:rsidR="007C5B19" w:rsidRPr="00806B7F" w:rsidRDefault="007C5B19" w:rsidP="007C5B19">
      <w:pPr>
        <w:jc w:val="both"/>
        <w:rPr>
          <w:rFonts w:ascii="Arial" w:hAnsi="Arial" w:cs="Arial"/>
          <w:sz w:val="20"/>
        </w:rPr>
      </w:pPr>
    </w:p>
    <w:p w14:paraId="4A7A7FAE" w14:textId="77777777" w:rsidR="007C5B19" w:rsidRPr="00806B7F" w:rsidRDefault="007C5B19" w:rsidP="007C5B19">
      <w:pPr>
        <w:jc w:val="both"/>
        <w:rPr>
          <w:rFonts w:ascii="Arial" w:hAnsi="Arial" w:cs="Arial"/>
          <w:b/>
          <w:sz w:val="20"/>
        </w:rPr>
      </w:pPr>
    </w:p>
    <w:p w14:paraId="588111FF" w14:textId="77777777" w:rsidR="007C5B19" w:rsidRPr="00806B7F" w:rsidRDefault="007C5B19" w:rsidP="007C5B19">
      <w:pPr>
        <w:jc w:val="both"/>
        <w:rPr>
          <w:rFonts w:ascii="Arial" w:hAnsi="Arial" w:cs="Arial"/>
          <w:b/>
          <w:sz w:val="20"/>
        </w:rPr>
      </w:pPr>
      <w:r w:rsidRPr="00806B7F">
        <w:rPr>
          <w:rFonts w:ascii="Arial" w:hAnsi="Arial" w:cs="Arial"/>
          <w:b/>
          <w:sz w:val="20"/>
        </w:rPr>
        <w:t>Committed Variations</w:t>
      </w:r>
    </w:p>
    <w:p w14:paraId="6A9C5108" w14:textId="77777777" w:rsidR="007C5B19" w:rsidRPr="00806B7F" w:rsidRDefault="007C5B19" w:rsidP="007C5B19">
      <w:pPr>
        <w:jc w:val="both"/>
        <w:rPr>
          <w:rFonts w:ascii="Arial" w:hAnsi="Arial" w:cs="Arial"/>
          <w:sz w:val="20"/>
        </w:rPr>
      </w:pPr>
    </w:p>
    <w:p w14:paraId="09DD813E" w14:textId="77777777" w:rsidR="007C5B19" w:rsidRPr="00806B7F" w:rsidRDefault="007C5B19" w:rsidP="00BF6550">
      <w:pPr>
        <w:jc w:val="both"/>
        <w:rPr>
          <w:rFonts w:ascii="Arial" w:hAnsi="Arial" w:cs="Arial"/>
          <w:sz w:val="20"/>
        </w:rPr>
      </w:pPr>
      <w:r w:rsidRPr="00806B7F">
        <w:rPr>
          <w:rFonts w:ascii="Arial" w:hAnsi="Arial" w:cs="Arial"/>
          <w:sz w:val="20"/>
        </w:rPr>
        <w:t>Committed variations are those items which are unavoidable, or which arise from previously agreed policy decisions.</w:t>
      </w:r>
    </w:p>
    <w:p w14:paraId="11B3D921" w14:textId="77777777" w:rsidR="007C5B19" w:rsidRPr="00806B7F" w:rsidRDefault="007C5B19" w:rsidP="00BF6550">
      <w:pPr>
        <w:jc w:val="both"/>
        <w:rPr>
          <w:rFonts w:ascii="Arial" w:hAnsi="Arial" w:cs="Arial"/>
          <w:sz w:val="20"/>
        </w:rPr>
      </w:pPr>
    </w:p>
    <w:p w14:paraId="3B9D83E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5 Details of Committed Variations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tails of Committed Variations"/>
      </w:tblPr>
      <w:tblGrid>
        <w:gridCol w:w="4390"/>
        <w:gridCol w:w="1134"/>
        <w:gridCol w:w="1134"/>
        <w:gridCol w:w="1134"/>
        <w:gridCol w:w="1134"/>
        <w:gridCol w:w="1134"/>
      </w:tblGrid>
      <w:tr w:rsidR="007C5B19" w:rsidRPr="00806B7F" w14:paraId="12DD0E7B" w14:textId="77777777" w:rsidTr="00A369A1">
        <w:tc>
          <w:tcPr>
            <w:tcW w:w="4390" w:type="dxa"/>
          </w:tcPr>
          <w:p w14:paraId="24DA289C" w14:textId="77777777" w:rsidR="007C5B19" w:rsidRPr="00806B7F" w:rsidRDefault="007C5B19" w:rsidP="00A369A1">
            <w:pPr>
              <w:jc w:val="both"/>
              <w:rPr>
                <w:rFonts w:ascii="Arial" w:hAnsi="Arial" w:cs="Arial"/>
                <w:sz w:val="20"/>
              </w:rPr>
            </w:pPr>
          </w:p>
        </w:tc>
        <w:tc>
          <w:tcPr>
            <w:tcW w:w="1134" w:type="dxa"/>
          </w:tcPr>
          <w:p w14:paraId="6054AD88"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2B921179"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1DB52B5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4A4CA762"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79BE4153"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39C5FD07" w14:textId="77777777" w:rsidTr="00A369A1">
        <w:tc>
          <w:tcPr>
            <w:tcW w:w="4390" w:type="dxa"/>
          </w:tcPr>
          <w:p w14:paraId="45814BF1" w14:textId="77777777" w:rsidR="007C5B19" w:rsidRPr="00806B7F" w:rsidRDefault="007C5B19" w:rsidP="00A369A1">
            <w:pPr>
              <w:jc w:val="both"/>
              <w:rPr>
                <w:rFonts w:ascii="Arial" w:hAnsi="Arial" w:cs="Arial"/>
                <w:sz w:val="20"/>
              </w:rPr>
            </w:pPr>
          </w:p>
        </w:tc>
        <w:tc>
          <w:tcPr>
            <w:tcW w:w="1134" w:type="dxa"/>
            <w:shd w:val="clear" w:color="auto" w:fill="auto"/>
          </w:tcPr>
          <w:p w14:paraId="0C4B2C6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shd w:val="clear" w:color="auto" w:fill="auto"/>
          </w:tcPr>
          <w:p w14:paraId="3AF41D33"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shd w:val="clear" w:color="auto" w:fill="auto"/>
          </w:tcPr>
          <w:p w14:paraId="421111E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shd w:val="clear" w:color="auto" w:fill="auto"/>
          </w:tcPr>
          <w:p w14:paraId="23E9C09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shd w:val="clear" w:color="auto" w:fill="auto"/>
          </w:tcPr>
          <w:p w14:paraId="598E0E43"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2BE33B69" w14:textId="77777777" w:rsidTr="00A369A1">
        <w:tc>
          <w:tcPr>
            <w:tcW w:w="4390" w:type="dxa"/>
          </w:tcPr>
          <w:p w14:paraId="7B88C377" w14:textId="77777777" w:rsidR="007C5B19" w:rsidRPr="00806B7F" w:rsidRDefault="007C5B19" w:rsidP="00A369A1">
            <w:pPr>
              <w:jc w:val="both"/>
              <w:rPr>
                <w:rFonts w:ascii="Arial" w:hAnsi="Arial" w:cs="Arial"/>
                <w:sz w:val="20"/>
              </w:rPr>
            </w:pPr>
            <w:r w:rsidRPr="00806B7F">
              <w:rPr>
                <w:rFonts w:ascii="Arial" w:hAnsi="Arial" w:cs="Arial"/>
                <w:sz w:val="20"/>
              </w:rPr>
              <w:t>The budget reflects the reduction in the drawdown against the apprentice levy, net of our 5% co-investment cost, due to  the reduction in future FF recruit numbers.</w:t>
            </w:r>
          </w:p>
        </w:tc>
        <w:tc>
          <w:tcPr>
            <w:tcW w:w="1134" w:type="dxa"/>
          </w:tcPr>
          <w:p w14:paraId="48BFA8D6"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BBCF646"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1B40E826"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416B214"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15BA6C8E"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31B76FAA" w14:textId="77777777" w:rsidTr="00A369A1">
        <w:tc>
          <w:tcPr>
            <w:tcW w:w="4390" w:type="dxa"/>
          </w:tcPr>
          <w:p w14:paraId="476AEAFC" w14:textId="77777777" w:rsidR="007C5B19" w:rsidRPr="00806B7F" w:rsidRDefault="007C5B19" w:rsidP="00A369A1">
            <w:pPr>
              <w:rPr>
                <w:rFonts w:ascii="Arial" w:hAnsi="Arial" w:cs="Arial"/>
                <w:sz w:val="20"/>
              </w:rPr>
            </w:pPr>
            <w:r w:rsidRPr="00806B7F">
              <w:rPr>
                <w:rFonts w:ascii="Arial" w:hAnsi="Arial" w:cs="Arial"/>
                <w:sz w:val="20"/>
              </w:rPr>
              <w:t>The budget for pooled PPE has been adjusted in future years to reflect lifecycle replacement requirement, which see a significant increase in 25/26 and beyond reflecting the age profile of our existing stock</w:t>
            </w:r>
          </w:p>
        </w:tc>
        <w:tc>
          <w:tcPr>
            <w:tcW w:w="1134" w:type="dxa"/>
          </w:tcPr>
          <w:p w14:paraId="6BC59618"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161BFAAD"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4A6C7E50"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3F369722"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C50C58D" w14:textId="77777777" w:rsidR="007C5B19" w:rsidRPr="00806B7F" w:rsidRDefault="007C5B19" w:rsidP="00A369A1">
            <w:pPr>
              <w:jc w:val="center"/>
              <w:rPr>
                <w:rFonts w:ascii="Arial" w:hAnsi="Arial" w:cs="Arial"/>
                <w:sz w:val="20"/>
              </w:rPr>
            </w:pPr>
            <w:r w:rsidRPr="00806B7F">
              <w:rPr>
                <w:rFonts w:ascii="Arial" w:hAnsi="Arial" w:cs="Arial"/>
                <w:sz w:val="20"/>
              </w:rPr>
              <w:t>0.2</w:t>
            </w:r>
          </w:p>
        </w:tc>
      </w:tr>
      <w:tr w:rsidR="007C5B19" w:rsidRPr="00806B7F" w14:paraId="0D4EE911" w14:textId="77777777" w:rsidTr="00A369A1">
        <w:tc>
          <w:tcPr>
            <w:tcW w:w="4390" w:type="dxa"/>
            <w:tcBorders>
              <w:top w:val="single" w:sz="4" w:space="0" w:color="auto"/>
              <w:left w:val="single" w:sz="4" w:space="0" w:color="auto"/>
              <w:bottom w:val="nil"/>
              <w:right w:val="single" w:sz="4" w:space="0" w:color="auto"/>
            </w:tcBorders>
          </w:tcPr>
          <w:p w14:paraId="6543A47F" w14:textId="77777777" w:rsidR="007C5B19" w:rsidRPr="00806B7F" w:rsidRDefault="007C5B19" w:rsidP="00A369A1">
            <w:pPr>
              <w:rPr>
                <w:rFonts w:ascii="Arial" w:hAnsi="Arial" w:cs="Arial"/>
                <w:sz w:val="20"/>
              </w:rPr>
            </w:pPr>
            <w:r w:rsidRPr="00806B7F">
              <w:rPr>
                <w:rFonts w:ascii="Arial" w:hAnsi="Arial" w:cs="Arial"/>
                <w:sz w:val="20"/>
              </w:rPr>
              <w:t>The budget for operational equipment has been adjusted in future years to reflect lifecycle replacement requirement</w:t>
            </w:r>
          </w:p>
        </w:tc>
        <w:tc>
          <w:tcPr>
            <w:tcW w:w="1134" w:type="dxa"/>
            <w:tcBorders>
              <w:top w:val="single" w:sz="4" w:space="0" w:color="auto"/>
              <w:left w:val="single" w:sz="4" w:space="0" w:color="auto"/>
              <w:bottom w:val="nil"/>
              <w:right w:val="single" w:sz="4" w:space="0" w:color="auto"/>
            </w:tcBorders>
          </w:tcPr>
          <w:p w14:paraId="6F0A90DF"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Borders>
              <w:top w:val="single" w:sz="4" w:space="0" w:color="auto"/>
              <w:left w:val="single" w:sz="4" w:space="0" w:color="auto"/>
              <w:bottom w:val="nil"/>
              <w:right w:val="single" w:sz="4" w:space="0" w:color="auto"/>
            </w:tcBorders>
          </w:tcPr>
          <w:p w14:paraId="0364BB1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4A693EFC"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42A23226"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Borders>
              <w:top w:val="single" w:sz="4" w:space="0" w:color="auto"/>
              <w:left w:val="single" w:sz="4" w:space="0" w:color="auto"/>
              <w:bottom w:val="nil"/>
              <w:right w:val="single" w:sz="4" w:space="0" w:color="auto"/>
            </w:tcBorders>
          </w:tcPr>
          <w:p w14:paraId="636AA528" w14:textId="77777777" w:rsidR="007C5B19" w:rsidRPr="00806B7F" w:rsidRDefault="007C5B19" w:rsidP="00A369A1">
            <w:pPr>
              <w:jc w:val="center"/>
              <w:rPr>
                <w:rFonts w:ascii="Arial" w:hAnsi="Arial" w:cs="Arial"/>
                <w:sz w:val="20"/>
              </w:rPr>
            </w:pPr>
            <w:r w:rsidRPr="00806B7F">
              <w:rPr>
                <w:rFonts w:ascii="Arial" w:hAnsi="Arial" w:cs="Arial"/>
                <w:sz w:val="20"/>
              </w:rPr>
              <w:t>(0.2)</w:t>
            </w:r>
          </w:p>
        </w:tc>
      </w:tr>
      <w:tr w:rsidR="007C5B19" w:rsidRPr="00806B7F" w14:paraId="2EF1BDAC" w14:textId="77777777" w:rsidTr="00A369A1">
        <w:tc>
          <w:tcPr>
            <w:tcW w:w="4390" w:type="dxa"/>
            <w:tcBorders>
              <w:top w:val="single" w:sz="4" w:space="0" w:color="auto"/>
              <w:left w:val="single" w:sz="4" w:space="0" w:color="auto"/>
              <w:bottom w:val="nil"/>
              <w:right w:val="single" w:sz="4" w:space="0" w:color="auto"/>
            </w:tcBorders>
          </w:tcPr>
          <w:p w14:paraId="274FFC7B" w14:textId="77777777" w:rsidR="007C5B19" w:rsidRPr="00806B7F" w:rsidRDefault="007C5B19" w:rsidP="00A369A1">
            <w:pPr>
              <w:rPr>
                <w:rFonts w:ascii="Arial" w:hAnsi="Arial" w:cs="Arial"/>
                <w:sz w:val="20"/>
              </w:rPr>
            </w:pPr>
            <w:r w:rsidRPr="00806B7F">
              <w:rPr>
                <w:rFonts w:ascii="Arial" w:hAnsi="Arial" w:cs="Arial"/>
                <w:sz w:val="20"/>
              </w:rPr>
              <w:t>The following budgets have been increased to reflect a combination of cost pressures and increased demand:-</w:t>
            </w:r>
          </w:p>
        </w:tc>
        <w:tc>
          <w:tcPr>
            <w:tcW w:w="1134" w:type="dxa"/>
            <w:tcBorders>
              <w:top w:val="single" w:sz="4" w:space="0" w:color="auto"/>
              <w:left w:val="single" w:sz="4" w:space="0" w:color="auto"/>
              <w:bottom w:val="nil"/>
              <w:right w:val="single" w:sz="4" w:space="0" w:color="auto"/>
            </w:tcBorders>
          </w:tcPr>
          <w:p w14:paraId="4295C337"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single" w:sz="4" w:space="0" w:color="auto"/>
              <w:left w:val="single" w:sz="4" w:space="0" w:color="auto"/>
              <w:bottom w:val="nil"/>
              <w:right w:val="single" w:sz="4" w:space="0" w:color="auto"/>
            </w:tcBorders>
          </w:tcPr>
          <w:p w14:paraId="066EE83B"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67CFCB57"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29B8B36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2DC663DC"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0829D9DC" w14:textId="77777777" w:rsidTr="00A369A1">
        <w:tc>
          <w:tcPr>
            <w:tcW w:w="4390" w:type="dxa"/>
            <w:tcBorders>
              <w:top w:val="nil"/>
              <w:left w:val="single" w:sz="4" w:space="0" w:color="auto"/>
              <w:bottom w:val="nil"/>
              <w:right w:val="single" w:sz="4" w:space="0" w:color="auto"/>
            </w:tcBorders>
          </w:tcPr>
          <w:p w14:paraId="0B0645A8" w14:textId="77777777" w:rsidR="007C5B19" w:rsidRPr="00806B7F" w:rsidRDefault="007C5B19" w:rsidP="007C5B19">
            <w:pPr>
              <w:pStyle w:val="ListParagraph"/>
              <w:numPr>
                <w:ilvl w:val="0"/>
                <w:numId w:val="19"/>
              </w:numPr>
              <w:rPr>
                <w:rFonts w:ascii="Arial" w:hAnsi="Arial" w:cs="Arial"/>
                <w:sz w:val="20"/>
                <w:szCs w:val="20"/>
              </w:rPr>
            </w:pPr>
            <w:r w:rsidRPr="00806B7F">
              <w:rPr>
                <w:rFonts w:ascii="Arial" w:hAnsi="Arial" w:cs="Arial"/>
                <w:sz w:val="20"/>
                <w:szCs w:val="20"/>
              </w:rPr>
              <w:t>Property</w:t>
            </w:r>
          </w:p>
        </w:tc>
        <w:tc>
          <w:tcPr>
            <w:tcW w:w="1134" w:type="dxa"/>
            <w:tcBorders>
              <w:top w:val="nil"/>
              <w:left w:val="single" w:sz="4" w:space="0" w:color="auto"/>
              <w:bottom w:val="nil"/>
              <w:right w:val="single" w:sz="4" w:space="0" w:color="auto"/>
            </w:tcBorders>
          </w:tcPr>
          <w:p w14:paraId="0AAAED2A"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5A592166"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2863284A"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7F0D5760"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3DDDFC6E" w14:textId="77777777" w:rsidR="007C5B19" w:rsidRPr="00806B7F" w:rsidRDefault="007C5B19" w:rsidP="00A369A1">
            <w:pPr>
              <w:jc w:val="center"/>
              <w:rPr>
                <w:rFonts w:ascii="Arial" w:hAnsi="Arial" w:cs="Arial"/>
                <w:sz w:val="20"/>
              </w:rPr>
            </w:pPr>
          </w:p>
        </w:tc>
      </w:tr>
      <w:tr w:rsidR="007C5B19" w:rsidRPr="00806B7F" w14:paraId="1FA8FCC8" w14:textId="77777777" w:rsidTr="00A369A1">
        <w:tc>
          <w:tcPr>
            <w:tcW w:w="4390" w:type="dxa"/>
            <w:tcBorders>
              <w:top w:val="nil"/>
              <w:left w:val="single" w:sz="4" w:space="0" w:color="auto"/>
              <w:bottom w:val="nil"/>
              <w:right w:val="single" w:sz="4" w:space="0" w:color="auto"/>
            </w:tcBorders>
          </w:tcPr>
          <w:p w14:paraId="489794DA" w14:textId="77777777" w:rsidR="007C5B19" w:rsidRPr="00806B7F" w:rsidRDefault="007C5B19" w:rsidP="007C5B19">
            <w:pPr>
              <w:pStyle w:val="ListParagraph"/>
              <w:numPr>
                <w:ilvl w:val="0"/>
                <w:numId w:val="19"/>
              </w:numPr>
              <w:rPr>
                <w:rFonts w:ascii="Arial" w:hAnsi="Arial" w:cs="Arial"/>
                <w:sz w:val="20"/>
                <w:szCs w:val="20"/>
              </w:rPr>
            </w:pPr>
            <w:r w:rsidRPr="00806B7F">
              <w:rPr>
                <w:rFonts w:ascii="Arial" w:hAnsi="Arial" w:cs="Arial"/>
                <w:sz w:val="20"/>
                <w:szCs w:val="20"/>
              </w:rPr>
              <w:t>ICT</w:t>
            </w:r>
          </w:p>
        </w:tc>
        <w:tc>
          <w:tcPr>
            <w:tcW w:w="1134" w:type="dxa"/>
            <w:tcBorders>
              <w:top w:val="nil"/>
              <w:left w:val="single" w:sz="4" w:space="0" w:color="auto"/>
              <w:bottom w:val="nil"/>
              <w:right w:val="single" w:sz="4" w:space="0" w:color="auto"/>
            </w:tcBorders>
          </w:tcPr>
          <w:p w14:paraId="7A36576B"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11C4971D"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3DE5F519"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39F89773"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10D6E8AD" w14:textId="77777777" w:rsidR="007C5B19" w:rsidRPr="00806B7F" w:rsidRDefault="007C5B19" w:rsidP="00A369A1">
            <w:pPr>
              <w:jc w:val="center"/>
              <w:rPr>
                <w:rFonts w:ascii="Arial" w:hAnsi="Arial" w:cs="Arial"/>
                <w:sz w:val="20"/>
              </w:rPr>
            </w:pPr>
          </w:p>
        </w:tc>
      </w:tr>
      <w:tr w:rsidR="007C5B19" w:rsidRPr="00806B7F" w14:paraId="1600916D" w14:textId="77777777" w:rsidTr="00A369A1">
        <w:tc>
          <w:tcPr>
            <w:tcW w:w="4390" w:type="dxa"/>
            <w:tcBorders>
              <w:top w:val="nil"/>
              <w:left w:val="single" w:sz="4" w:space="0" w:color="auto"/>
              <w:bottom w:val="nil"/>
              <w:right w:val="single" w:sz="4" w:space="0" w:color="auto"/>
            </w:tcBorders>
          </w:tcPr>
          <w:p w14:paraId="30F64685" w14:textId="77777777" w:rsidR="007C5B19" w:rsidRPr="00806B7F" w:rsidRDefault="007C5B19" w:rsidP="007C5B19">
            <w:pPr>
              <w:pStyle w:val="ListParagraph"/>
              <w:numPr>
                <w:ilvl w:val="0"/>
                <w:numId w:val="19"/>
              </w:numPr>
              <w:rPr>
                <w:rFonts w:ascii="Arial" w:hAnsi="Arial" w:cs="Arial"/>
                <w:sz w:val="20"/>
                <w:szCs w:val="20"/>
              </w:rPr>
            </w:pPr>
            <w:r w:rsidRPr="00806B7F">
              <w:rPr>
                <w:rFonts w:ascii="Arial" w:hAnsi="Arial" w:cs="Arial"/>
                <w:sz w:val="20"/>
                <w:szCs w:val="20"/>
              </w:rPr>
              <w:t>Digital</w:t>
            </w:r>
          </w:p>
        </w:tc>
        <w:tc>
          <w:tcPr>
            <w:tcW w:w="1134" w:type="dxa"/>
            <w:tcBorders>
              <w:top w:val="nil"/>
              <w:left w:val="single" w:sz="4" w:space="0" w:color="auto"/>
              <w:bottom w:val="nil"/>
              <w:right w:val="single" w:sz="4" w:space="0" w:color="auto"/>
            </w:tcBorders>
          </w:tcPr>
          <w:p w14:paraId="72FC2931"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4EC52493"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7C190B44"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67D2372C"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nil"/>
              <w:right w:val="single" w:sz="4" w:space="0" w:color="auto"/>
            </w:tcBorders>
          </w:tcPr>
          <w:p w14:paraId="069B7C6A" w14:textId="77777777" w:rsidR="007C5B19" w:rsidRPr="00806B7F" w:rsidRDefault="007C5B19" w:rsidP="00A369A1">
            <w:pPr>
              <w:jc w:val="center"/>
              <w:rPr>
                <w:rFonts w:ascii="Arial" w:hAnsi="Arial" w:cs="Arial"/>
                <w:sz w:val="20"/>
              </w:rPr>
            </w:pPr>
          </w:p>
        </w:tc>
      </w:tr>
      <w:tr w:rsidR="007C5B19" w:rsidRPr="00806B7F" w14:paraId="6774D2F1" w14:textId="77777777" w:rsidTr="00A369A1">
        <w:tc>
          <w:tcPr>
            <w:tcW w:w="4390" w:type="dxa"/>
            <w:tcBorders>
              <w:top w:val="nil"/>
              <w:left w:val="single" w:sz="4" w:space="0" w:color="auto"/>
              <w:bottom w:val="single" w:sz="4" w:space="0" w:color="auto"/>
              <w:right w:val="single" w:sz="4" w:space="0" w:color="auto"/>
            </w:tcBorders>
          </w:tcPr>
          <w:p w14:paraId="2ED7CECD" w14:textId="77777777" w:rsidR="007C5B19" w:rsidRPr="00806B7F" w:rsidRDefault="007C5B19" w:rsidP="007C5B19">
            <w:pPr>
              <w:pStyle w:val="ListParagraph"/>
              <w:numPr>
                <w:ilvl w:val="0"/>
                <w:numId w:val="19"/>
              </w:numPr>
              <w:rPr>
                <w:rFonts w:ascii="Arial" w:hAnsi="Arial" w:cs="Arial"/>
                <w:sz w:val="20"/>
                <w:szCs w:val="20"/>
              </w:rPr>
            </w:pPr>
            <w:r w:rsidRPr="00806B7F">
              <w:rPr>
                <w:rFonts w:ascii="Arial" w:hAnsi="Arial" w:cs="Arial"/>
                <w:sz w:val="20"/>
                <w:szCs w:val="20"/>
              </w:rPr>
              <w:t>Fleet</w:t>
            </w:r>
          </w:p>
        </w:tc>
        <w:tc>
          <w:tcPr>
            <w:tcW w:w="1134" w:type="dxa"/>
            <w:tcBorders>
              <w:top w:val="nil"/>
              <w:left w:val="single" w:sz="4" w:space="0" w:color="auto"/>
              <w:bottom w:val="single" w:sz="4" w:space="0" w:color="auto"/>
              <w:right w:val="single" w:sz="4" w:space="0" w:color="auto"/>
            </w:tcBorders>
          </w:tcPr>
          <w:p w14:paraId="28255DE6"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single" w:sz="4" w:space="0" w:color="auto"/>
              <w:right w:val="single" w:sz="4" w:space="0" w:color="auto"/>
            </w:tcBorders>
          </w:tcPr>
          <w:p w14:paraId="3C9008B6"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single" w:sz="4" w:space="0" w:color="auto"/>
              <w:right w:val="single" w:sz="4" w:space="0" w:color="auto"/>
            </w:tcBorders>
          </w:tcPr>
          <w:p w14:paraId="7CAB04E1"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single" w:sz="4" w:space="0" w:color="auto"/>
              <w:right w:val="single" w:sz="4" w:space="0" w:color="auto"/>
            </w:tcBorders>
          </w:tcPr>
          <w:p w14:paraId="47E738FA" w14:textId="77777777" w:rsidR="007C5B19" w:rsidRPr="00806B7F" w:rsidRDefault="007C5B19" w:rsidP="00A369A1">
            <w:pPr>
              <w:jc w:val="center"/>
              <w:rPr>
                <w:rFonts w:ascii="Arial" w:hAnsi="Arial" w:cs="Arial"/>
                <w:sz w:val="20"/>
              </w:rPr>
            </w:pPr>
          </w:p>
        </w:tc>
        <w:tc>
          <w:tcPr>
            <w:tcW w:w="1134" w:type="dxa"/>
            <w:tcBorders>
              <w:top w:val="nil"/>
              <w:left w:val="single" w:sz="4" w:space="0" w:color="auto"/>
              <w:bottom w:val="single" w:sz="4" w:space="0" w:color="auto"/>
              <w:right w:val="single" w:sz="4" w:space="0" w:color="auto"/>
            </w:tcBorders>
          </w:tcPr>
          <w:p w14:paraId="0C81B7CC" w14:textId="77777777" w:rsidR="007C5B19" w:rsidRPr="00806B7F" w:rsidRDefault="007C5B19" w:rsidP="00A369A1">
            <w:pPr>
              <w:jc w:val="center"/>
              <w:rPr>
                <w:rFonts w:ascii="Arial" w:hAnsi="Arial" w:cs="Arial"/>
                <w:sz w:val="20"/>
              </w:rPr>
            </w:pPr>
          </w:p>
        </w:tc>
      </w:tr>
      <w:tr w:rsidR="007C5B19" w:rsidRPr="00806B7F" w14:paraId="70045F3A" w14:textId="77777777" w:rsidTr="00A369A1">
        <w:tc>
          <w:tcPr>
            <w:tcW w:w="4390" w:type="dxa"/>
          </w:tcPr>
          <w:p w14:paraId="07CD4C7C" w14:textId="77777777" w:rsidR="007C5B19" w:rsidRPr="00806B7F" w:rsidRDefault="007C5B19" w:rsidP="00A369A1">
            <w:pPr>
              <w:rPr>
                <w:rFonts w:ascii="Arial" w:hAnsi="Arial" w:cs="Arial"/>
                <w:sz w:val="20"/>
              </w:rPr>
            </w:pPr>
            <w:r w:rsidRPr="00806B7F">
              <w:rPr>
                <w:rFonts w:ascii="Arial" w:hAnsi="Arial" w:cs="Arial"/>
                <w:sz w:val="20"/>
              </w:rPr>
              <w:t>The budget for NWFC has been increased to reflect cost pressures within the function, which are passed on to the relevant Authorities, our share of these being 25%.</w:t>
            </w:r>
          </w:p>
          <w:p w14:paraId="69FBD7DC" w14:textId="77777777" w:rsidR="007C5B19" w:rsidRPr="00806B7F" w:rsidRDefault="007C5B19" w:rsidP="00A369A1">
            <w:pPr>
              <w:rPr>
                <w:rFonts w:ascii="Arial" w:hAnsi="Arial" w:cs="Arial"/>
                <w:sz w:val="20"/>
              </w:rPr>
            </w:pPr>
            <w:r w:rsidRPr="00806B7F">
              <w:rPr>
                <w:rFonts w:ascii="Arial" w:hAnsi="Arial" w:cs="Arial"/>
                <w:sz w:val="20"/>
              </w:rPr>
              <w:t xml:space="preserve">NWFC are commencing a project to replace the mobilizing software, and whilst some project costs are included in the above pressures, this does not include any allowance for the eventual cost of the replacement software, which is likely to be a very significant cost. Hence the cost in future years is likely to increase further, but </w:t>
            </w:r>
            <w:proofErr w:type="gramStart"/>
            <w:r w:rsidRPr="00806B7F">
              <w:rPr>
                <w:rFonts w:ascii="Arial" w:hAnsi="Arial" w:cs="Arial"/>
                <w:sz w:val="20"/>
              </w:rPr>
              <w:t>as yet</w:t>
            </w:r>
            <w:proofErr w:type="gramEnd"/>
            <w:r w:rsidRPr="00806B7F">
              <w:rPr>
                <w:rFonts w:ascii="Arial" w:hAnsi="Arial" w:cs="Arial"/>
                <w:sz w:val="20"/>
              </w:rPr>
              <w:t xml:space="preserve"> we have no details.  </w:t>
            </w:r>
          </w:p>
        </w:tc>
        <w:tc>
          <w:tcPr>
            <w:tcW w:w="1134" w:type="dxa"/>
          </w:tcPr>
          <w:p w14:paraId="7D94F034"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55D00090"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27B26FF4"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037D9CBD"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04F2C1E0"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4763D020" w14:textId="77777777" w:rsidTr="00A369A1">
        <w:tc>
          <w:tcPr>
            <w:tcW w:w="4390" w:type="dxa"/>
          </w:tcPr>
          <w:p w14:paraId="72C61E64" w14:textId="77777777" w:rsidR="007C5B19" w:rsidRPr="00806B7F" w:rsidRDefault="007C5B19" w:rsidP="00A369A1">
            <w:pPr>
              <w:rPr>
                <w:rFonts w:ascii="Arial" w:hAnsi="Arial" w:cs="Arial"/>
                <w:sz w:val="20"/>
              </w:rPr>
            </w:pPr>
            <w:r w:rsidRPr="00806B7F">
              <w:rPr>
                <w:rFonts w:ascii="Arial" w:hAnsi="Arial" w:cs="Arial"/>
                <w:sz w:val="20"/>
              </w:rPr>
              <w:t>The increased capital financing charge in 27/28 reflects borrowing requirements associated with the capital programme (as referred to in the Capital budget report elsewhere on the agenda)</w:t>
            </w:r>
          </w:p>
        </w:tc>
        <w:tc>
          <w:tcPr>
            <w:tcW w:w="1134" w:type="dxa"/>
          </w:tcPr>
          <w:p w14:paraId="3588D8F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5DF75DB5" w14:textId="77777777" w:rsidR="007C5B19" w:rsidRPr="00806B7F" w:rsidDel="00DF66E7" w:rsidRDefault="007C5B19" w:rsidP="00A369A1">
            <w:pPr>
              <w:jc w:val="center"/>
              <w:rPr>
                <w:rFonts w:ascii="Arial" w:hAnsi="Arial" w:cs="Arial"/>
                <w:sz w:val="20"/>
              </w:rPr>
            </w:pPr>
            <w:r w:rsidRPr="00806B7F">
              <w:rPr>
                <w:rFonts w:ascii="Arial" w:hAnsi="Arial" w:cs="Arial"/>
                <w:sz w:val="20"/>
              </w:rPr>
              <w:t>-</w:t>
            </w:r>
          </w:p>
        </w:tc>
        <w:tc>
          <w:tcPr>
            <w:tcW w:w="1134" w:type="dxa"/>
          </w:tcPr>
          <w:p w14:paraId="75D2BF85" w14:textId="77777777" w:rsidR="007C5B19" w:rsidRPr="00806B7F" w:rsidDel="00DF66E7" w:rsidRDefault="007C5B19" w:rsidP="00A369A1">
            <w:pPr>
              <w:jc w:val="center"/>
              <w:rPr>
                <w:rFonts w:ascii="Arial" w:hAnsi="Arial" w:cs="Arial"/>
                <w:sz w:val="20"/>
              </w:rPr>
            </w:pPr>
            <w:r w:rsidRPr="00806B7F">
              <w:rPr>
                <w:rFonts w:ascii="Arial" w:hAnsi="Arial" w:cs="Arial"/>
                <w:sz w:val="20"/>
              </w:rPr>
              <w:t>-</w:t>
            </w:r>
          </w:p>
        </w:tc>
        <w:tc>
          <w:tcPr>
            <w:tcW w:w="1134" w:type="dxa"/>
          </w:tcPr>
          <w:p w14:paraId="310A3832" w14:textId="77777777" w:rsidR="007C5B19" w:rsidRPr="00806B7F" w:rsidRDefault="007C5B19" w:rsidP="00A369A1">
            <w:pPr>
              <w:jc w:val="center"/>
              <w:rPr>
                <w:rFonts w:ascii="Arial" w:hAnsi="Arial" w:cs="Arial"/>
                <w:sz w:val="20"/>
                <w:highlight w:val="yellow"/>
              </w:rPr>
            </w:pPr>
            <w:r w:rsidRPr="00806B7F">
              <w:rPr>
                <w:rFonts w:ascii="Arial" w:hAnsi="Arial" w:cs="Arial"/>
                <w:sz w:val="20"/>
              </w:rPr>
              <w:t>-</w:t>
            </w:r>
          </w:p>
        </w:tc>
        <w:tc>
          <w:tcPr>
            <w:tcW w:w="1134" w:type="dxa"/>
          </w:tcPr>
          <w:p w14:paraId="701A98C6" w14:textId="77777777" w:rsidR="007C5B19" w:rsidRPr="00806B7F" w:rsidRDefault="007C5B19" w:rsidP="00A369A1">
            <w:pPr>
              <w:jc w:val="center"/>
              <w:rPr>
                <w:rFonts w:ascii="Arial" w:hAnsi="Arial" w:cs="Arial"/>
                <w:sz w:val="20"/>
                <w:highlight w:val="yellow"/>
              </w:rPr>
            </w:pPr>
            <w:r w:rsidRPr="00806B7F">
              <w:rPr>
                <w:rFonts w:ascii="Arial" w:hAnsi="Arial" w:cs="Arial"/>
                <w:sz w:val="20"/>
              </w:rPr>
              <w:t>0.3</w:t>
            </w:r>
          </w:p>
        </w:tc>
      </w:tr>
      <w:tr w:rsidR="007C5B19" w:rsidRPr="00806B7F" w14:paraId="33C4A1C4" w14:textId="77777777" w:rsidTr="00A369A1">
        <w:tc>
          <w:tcPr>
            <w:tcW w:w="4390" w:type="dxa"/>
          </w:tcPr>
          <w:p w14:paraId="5B34408D" w14:textId="77777777" w:rsidR="007C5B19" w:rsidRPr="00806B7F" w:rsidRDefault="007C5B19" w:rsidP="00A369A1">
            <w:pPr>
              <w:rPr>
                <w:rFonts w:ascii="Arial" w:hAnsi="Arial" w:cs="Arial"/>
                <w:sz w:val="20"/>
              </w:rPr>
            </w:pPr>
            <w:r w:rsidRPr="00806B7F">
              <w:rPr>
                <w:rFonts w:ascii="Arial" w:hAnsi="Arial" w:cs="Arial"/>
                <w:sz w:val="20"/>
              </w:rPr>
              <w:t>Other</w:t>
            </w:r>
          </w:p>
        </w:tc>
        <w:tc>
          <w:tcPr>
            <w:tcW w:w="1134" w:type="dxa"/>
          </w:tcPr>
          <w:p w14:paraId="7E9D54C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4C99A1F"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752A9D01"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ED63867"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7B3ED029"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2FBE3974" w14:textId="77777777" w:rsidTr="00A369A1">
        <w:tc>
          <w:tcPr>
            <w:tcW w:w="4390" w:type="dxa"/>
          </w:tcPr>
          <w:p w14:paraId="197EB333" w14:textId="77777777" w:rsidR="007C5B19" w:rsidRPr="00806B7F" w:rsidRDefault="007C5B19" w:rsidP="00A369A1">
            <w:pPr>
              <w:jc w:val="both"/>
              <w:rPr>
                <w:rFonts w:ascii="Arial" w:hAnsi="Arial" w:cs="Arial"/>
                <w:sz w:val="20"/>
              </w:rPr>
            </w:pPr>
          </w:p>
        </w:tc>
        <w:tc>
          <w:tcPr>
            <w:tcW w:w="1134" w:type="dxa"/>
          </w:tcPr>
          <w:p w14:paraId="2CAD5A95"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1178E2AB"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659C7A1C"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3F0562A8"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4CA6A2BE" w14:textId="77777777" w:rsidR="007C5B19" w:rsidRPr="00806B7F" w:rsidRDefault="007C5B19" w:rsidP="00A369A1">
            <w:pPr>
              <w:jc w:val="center"/>
              <w:rPr>
                <w:rFonts w:ascii="Arial" w:hAnsi="Arial" w:cs="Arial"/>
                <w:sz w:val="20"/>
              </w:rPr>
            </w:pPr>
            <w:r w:rsidRPr="00806B7F">
              <w:rPr>
                <w:rFonts w:ascii="Arial" w:hAnsi="Arial" w:cs="Arial"/>
                <w:sz w:val="20"/>
              </w:rPr>
              <w:t>0.3</w:t>
            </w:r>
          </w:p>
        </w:tc>
      </w:tr>
    </w:tbl>
    <w:p w14:paraId="2FAED63B" w14:textId="77777777" w:rsidR="007C5B19" w:rsidRPr="00806B7F" w:rsidRDefault="007C5B19" w:rsidP="007C5B19">
      <w:pPr>
        <w:jc w:val="both"/>
        <w:rPr>
          <w:rFonts w:ascii="Arial" w:hAnsi="Arial" w:cs="Arial"/>
          <w:sz w:val="20"/>
        </w:rPr>
      </w:pPr>
    </w:p>
    <w:p w14:paraId="615D6D06" w14:textId="77777777" w:rsidR="007C5B19" w:rsidRPr="00806B7F" w:rsidRDefault="007C5B19" w:rsidP="007C5B19">
      <w:pPr>
        <w:spacing w:after="200" w:line="276" w:lineRule="auto"/>
        <w:rPr>
          <w:rFonts w:ascii="Arial" w:hAnsi="Arial" w:cs="Arial"/>
          <w:b/>
          <w:sz w:val="20"/>
        </w:rPr>
      </w:pPr>
      <w:r w:rsidRPr="00806B7F">
        <w:rPr>
          <w:rFonts w:ascii="Arial" w:hAnsi="Arial" w:cs="Arial"/>
          <w:b/>
          <w:sz w:val="20"/>
        </w:rPr>
        <w:t>Growth</w:t>
      </w:r>
    </w:p>
    <w:p w14:paraId="582C65FB"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6 Details of Growth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tails of Growth"/>
        <w:tblDescription w:val="The number and timing, and hence cost of recruting firefightes is affected by: changes in establishment, retirements and leavers and capacity within the orgnisation.  As such the budget allows for 82 recruits / apprentices during 2022/23"/>
      </w:tblPr>
      <w:tblGrid>
        <w:gridCol w:w="4390"/>
        <w:gridCol w:w="1134"/>
        <w:gridCol w:w="1134"/>
        <w:gridCol w:w="1134"/>
        <w:gridCol w:w="1134"/>
        <w:gridCol w:w="1134"/>
      </w:tblGrid>
      <w:tr w:rsidR="007C5B19" w:rsidRPr="00806B7F" w14:paraId="4E23E183" w14:textId="77777777" w:rsidTr="00A369A1">
        <w:tc>
          <w:tcPr>
            <w:tcW w:w="4390" w:type="dxa"/>
          </w:tcPr>
          <w:p w14:paraId="3A51301E" w14:textId="77777777" w:rsidR="007C5B19" w:rsidRPr="00806B7F" w:rsidRDefault="007C5B19" w:rsidP="00A369A1">
            <w:pPr>
              <w:rPr>
                <w:rFonts w:ascii="Arial" w:hAnsi="Arial" w:cs="Arial"/>
                <w:sz w:val="20"/>
              </w:rPr>
            </w:pPr>
          </w:p>
        </w:tc>
        <w:tc>
          <w:tcPr>
            <w:tcW w:w="1134" w:type="dxa"/>
          </w:tcPr>
          <w:p w14:paraId="57AFB1E2"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0A4813C8"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0A2B899F"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434B4173"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391AA475"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43E84BD2" w14:textId="77777777" w:rsidTr="00A369A1">
        <w:tc>
          <w:tcPr>
            <w:tcW w:w="4390" w:type="dxa"/>
            <w:tcBorders>
              <w:bottom w:val="single" w:sz="4" w:space="0" w:color="auto"/>
            </w:tcBorders>
          </w:tcPr>
          <w:p w14:paraId="518F4398" w14:textId="77777777" w:rsidR="007C5B19" w:rsidRPr="00806B7F" w:rsidRDefault="007C5B19" w:rsidP="00A369A1">
            <w:pPr>
              <w:rPr>
                <w:rFonts w:ascii="Arial" w:hAnsi="Arial" w:cs="Arial"/>
                <w:sz w:val="20"/>
              </w:rPr>
            </w:pPr>
          </w:p>
        </w:tc>
        <w:tc>
          <w:tcPr>
            <w:tcW w:w="1134" w:type="dxa"/>
            <w:tcBorders>
              <w:bottom w:val="single" w:sz="4" w:space="0" w:color="auto"/>
            </w:tcBorders>
          </w:tcPr>
          <w:p w14:paraId="0020F25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bottom w:val="single" w:sz="4" w:space="0" w:color="auto"/>
            </w:tcBorders>
          </w:tcPr>
          <w:p w14:paraId="0AFEB2F4"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bottom w:val="single" w:sz="4" w:space="0" w:color="auto"/>
            </w:tcBorders>
          </w:tcPr>
          <w:p w14:paraId="6823F3F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bottom w:val="single" w:sz="4" w:space="0" w:color="auto"/>
            </w:tcBorders>
          </w:tcPr>
          <w:p w14:paraId="46530AD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bottom w:val="single" w:sz="4" w:space="0" w:color="auto"/>
            </w:tcBorders>
          </w:tcPr>
          <w:p w14:paraId="7AD4770E"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71401979" w14:textId="77777777" w:rsidTr="00A369A1">
        <w:tc>
          <w:tcPr>
            <w:tcW w:w="4390" w:type="dxa"/>
            <w:tcBorders>
              <w:top w:val="single" w:sz="4" w:space="0" w:color="auto"/>
              <w:left w:val="single" w:sz="4" w:space="0" w:color="auto"/>
              <w:bottom w:val="nil"/>
              <w:right w:val="single" w:sz="4" w:space="0" w:color="auto"/>
            </w:tcBorders>
          </w:tcPr>
          <w:p w14:paraId="41B19B52" w14:textId="77777777" w:rsidR="007C5B19" w:rsidRPr="00806B7F" w:rsidRDefault="007C5B19" w:rsidP="00A369A1">
            <w:pPr>
              <w:rPr>
                <w:rFonts w:ascii="Arial" w:hAnsi="Arial" w:cs="Arial"/>
                <w:sz w:val="20"/>
              </w:rPr>
            </w:pPr>
            <w:r w:rsidRPr="00806B7F">
              <w:rPr>
                <w:rFonts w:ascii="Arial" w:hAnsi="Arial" w:cs="Arial"/>
                <w:sz w:val="20"/>
              </w:rPr>
              <w:t>There have been some increases in budget relating to specialist functions, such as the Drone Team and our Canine Teams</w:t>
            </w:r>
          </w:p>
        </w:tc>
        <w:tc>
          <w:tcPr>
            <w:tcW w:w="1134" w:type="dxa"/>
            <w:tcBorders>
              <w:top w:val="single" w:sz="4" w:space="0" w:color="auto"/>
              <w:left w:val="single" w:sz="4" w:space="0" w:color="auto"/>
              <w:bottom w:val="nil"/>
              <w:right w:val="single" w:sz="4" w:space="0" w:color="auto"/>
            </w:tcBorders>
          </w:tcPr>
          <w:p w14:paraId="55A05F12"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Borders>
              <w:top w:val="single" w:sz="4" w:space="0" w:color="auto"/>
              <w:left w:val="single" w:sz="4" w:space="0" w:color="auto"/>
              <w:bottom w:val="nil"/>
              <w:right w:val="single" w:sz="4" w:space="0" w:color="auto"/>
            </w:tcBorders>
          </w:tcPr>
          <w:p w14:paraId="046C1DEB"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42C474D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05C27BD4"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left w:val="single" w:sz="4" w:space="0" w:color="auto"/>
              <w:bottom w:val="nil"/>
              <w:right w:val="single" w:sz="4" w:space="0" w:color="auto"/>
            </w:tcBorders>
          </w:tcPr>
          <w:p w14:paraId="111517D6"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253FAF25" w14:textId="77777777" w:rsidTr="00A369A1">
        <w:tc>
          <w:tcPr>
            <w:tcW w:w="4390" w:type="dxa"/>
          </w:tcPr>
          <w:p w14:paraId="431E21A8" w14:textId="77777777" w:rsidR="007C5B19" w:rsidRPr="00806B7F" w:rsidRDefault="007C5B19" w:rsidP="00A369A1">
            <w:pPr>
              <w:rPr>
                <w:rFonts w:ascii="Arial" w:hAnsi="Arial" w:cs="Arial"/>
                <w:sz w:val="20"/>
              </w:rPr>
            </w:pPr>
          </w:p>
        </w:tc>
        <w:tc>
          <w:tcPr>
            <w:tcW w:w="1134" w:type="dxa"/>
          </w:tcPr>
          <w:p w14:paraId="75FDF6AE"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2AED6A7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1196D5B"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7785230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499CF3BE" w14:textId="77777777" w:rsidR="007C5B19" w:rsidRPr="00806B7F" w:rsidRDefault="007C5B19" w:rsidP="00A369A1">
            <w:pPr>
              <w:jc w:val="center"/>
              <w:rPr>
                <w:rFonts w:ascii="Arial" w:hAnsi="Arial" w:cs="Arial"/>
                <w:sz w:val="20"/>
              </w:rPr>
            </w:pPr>
            <w:r w:rsidRPr="00806B7F">
              <w:rPr>
                <w:rFonts w:ascii="Arial" w:hAnsi="Arial" w:cs="Arial"/>
                <w:sz w:val="20"/>
              </w:rPr>
              <w:t>-</w:t>
            </w:r>
          </w:p>
        </w:tc>
      </w:tr>
    </w:tbl>
    <w:p w14:paraId="172EE03B" w14:textId="77777777" w:rsidR="007C5B19" w:rsidRPr="00806B7F" w:rsidRDefault="007C5B19" w:rsidP="007C5B19">
      <w:pPr>
        <w:jc w:val="both"/>
        <w:rPr>
          <w:rFonts w:ascii="Arial" w:hAnsi="Arial" w:cs="Arial"/>
          <w:sz w:val="20"/>
        </w:rPr>
      </w:pPr>
    </w:p>
    <w:p w14:paraId="7C5CFD57" w14:textId="77777777" w:rsidR="007C5B19" w:rsidRPr="00806B7F" w:rsidRDefault="007C5B19" w:rsidP="007C5B19">
      <w:pPr>
        <w:jc w:val="both"/>
        <w:rPr>
          <w:rFonts w:ascii="Arial" w:hAnsi="Arial" w:cs="Arial"/>
          <w:b/>
          <w:sz w:val="20"/>
        </w:rPr>
      </w:pPr>
      <w:r w:rsidRPr="00806B7F">
        <w:rPr>
          <w:rFonts w:ascii="Arial" w:hAnsi="Arial" w:cs="Arial"/>
          <w:b/>
          <w:sz w:val="20"/>
        </w:rPr>
        <w:t>Efficiency Savings</w:t>
      </w:r>
    </w:p>
    <w:p w14:paraId="166FDE81" w14:textId="77777777" w:rsidR="007C5B19" w:rsidRPr="00806B7F" w:rsidRDefault="007C5B19" w:rsidP="007C5B19">
      <w:pPr>
        <w:jc w:val="both"/>
        <w:rPr>
          <w:rFonts w:ascii="Arial" w:hAnsi="Arial" w:cs="Arial"/>
          <w:sz w:val="20"/>
        </w:rPr>
      </w:pPr>
    </w:p>
    <w:p w14:paraId="5CB7C3EB" w14:textId="77777777" w:rsidR="007C5B19" w:rsidRPr="00806B7F" w:rsidRDefault="007C5B19" w:rsidP="007C5B19">
      <w:pPr>
        <w:jc w:val="both"/>
        <w:rPr>
          <w:rFonts w:ascii="Arial" w:hAnsi="Arial" w:cs="Arial"/>
          <w:sz w:val="20"/>
        </w:rPr>
      </w:pPr>
      <w:r w:rsidRPr="00806B7F">
        <w:rPr>
          <w:rFonts w:ascii="Arial" w:hAnsi="Arial" w:cs="Arial"/>
          <w:sz w:val="20"/>
        </w:rPr>
        <w:t>The Authority has a good track record of delivering efficiency savings, with the following savings identified below: -</w:t>
      </w:r>
    </w:p>
    <w:p w14:paraId="10E3EC09" w14:textId="77777777" w:rsidR="007C5B19" w:rsidRPr="00806B7F" w:rsidRDefault="007C5B19" w:rsidP="007C5B19">
      <w:pPr>
        <w:jc w:val="both"/>
        <w:rPr>
          <w:rFonts w:ascii="Arial" w:hAnsi="Arial" w:cs="Arial"/>
          <w:sz w:val="20"/>
        </w:rPr>
      </w:pPr>
    </w:p>
    <w:p w14:paraId="12E2CAB2"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7 Details of Efficiency Savings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etails of Committed Variations"/>
      </w:tblPr>
      <w:tblGrid>
        <w:gridCol w:w="4390"/>
        <w:gridCol w:w="1134"/>
        <w:gridCol w:w="1134"/>
        <w:gridCol w:w="1134"/>
        <w:gridCol w:w="1134"/>
        <w:gridCol w:w="1134"/>
      </w:tblGrid>
      <w:tr w:rsidR="007C5B19" w:rsidRPr="00806B7F" w14:paraId="78952612" w14:textId="77777777" w:rsidTr="00A369A1">
        <w:tc>
          <w:tcPr>
            <w:tcW w:w="4390" w:type="dxa"/>
          </w:tcPr>
          <w:p w14:paraId="2186D5B3" w14:textId="77777777" w:rsidR="007C5B19" w:rsidRPr="00806B7F" w:rsidRDefault="007C5B19" w:rsidP="00A369A1">
            <w:pPr>
              <w:rPr>
                <w:rFonts w:ascii="Arial" w:hAnsi="Arial" w:cs="Arial"/>
                <w:sz w:val="20"/>
              </w:rPr>
            </w:pPr>
          </w:p>
        </w:tc>
        <w:tc>
          <w:tcPr>
            <w:tcW w:w="1134" w:type="dxa"/>
          </w:tcPr>
          <w:p w14:paraId="4CC0EEFF"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209D849B"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55F4EB3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2FF0DD66"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466A56EA"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626F82C6" w14:textId="77777777" w:rsidTr="00A369A1">
        <w:tc>
          <w:tcPr>
            <w:tcW w:w="4390" w:type="dxa"/>
          </w:tcPr>
          <w:p w14:paraId="0CE2834B" w14:textId="77777777" w:rsidR="007C5B19" w:rsidRPr="00806B7F" w:rsidRDefault="007C5B19" w:rsidP="00A369A1">
            <w:pPr>
              <w:rPr>
                <w:rFonts w:ascii="Arial" w:hAnsi="Arial" w:cs="Arial"/>
                <w:sz w:val="20"/>
              </w:rPr>
            </w:pPr>
          </w:p>
        </w:tc>
        <w:tc>
          <w:tcPr>
            <w:tcW w:w="1134" w:type="dxa"/>
          </w:tcPr>
          <w:p w14:paraId="68D3865F"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15D6D83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6E31401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274C690"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04F2673F"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322BFF53" w14:textId="77777777" w:rsidTr="00A369A1">
        <w:tc>
          <w:tcPr>
            <w:tcW w:w="4390" w:type="dxa"/>
          </w:tcPr>
          <w:p w14:paraId="6AF8CA2E" w14:textId="77777777" w:rsidR="007C5B19" w:rsidRPr="00806B7F" w:rsidRDefault="007C5B19" w:rsidP="00A369A1">
            <w:pPr>
              <w:tabs>
                <w:tab w:val="left" w:pos="795"/>
              </w:tabs>
              <w:rPr>
                <w:rFonts w:ascii="Arial" w:hAnsi="Arial" w:cs="Arial"/>
                <w:sz w:val="20"/>
              </w:rPr>
            </w:pPr>
            <w:r w:rsidRPr="00806B7F">
              <w:rPr>
                <w:rFonts w:ascii="Arial" w:hAnsi="Arial" w:cs="Arial"/>
                <w:sz w:val="20"/>
              </w:rPr>
              <w:t>The outcome of the ECR delivers total savings of £0.4m, with phasing as shown</w:t>
            </w:r>
          </w:p>
        </w:tc>
        <w:tc>
          <w:tcPr>
            <w:tcW w:w="1134" w:type="dxa"/>
          </w:tcPr>
          <w:p w14:paraId="65714843"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45EE0E6D"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58AC4E80"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654C7BB5"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4232CE95"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6071D5EE" w14:textId="77777777" w:rsidTr="00A369A1">
        <w:tc>
          <w:tcPr>
            <w:tcW w:w="4390" w:type="dxa"/>
            <w:tcBorders>
              <w:top w:val="single" w:sz="4" w:space="0" w:color="auto"/>
            </w:tcBorders>
          </w:tcPr>
          <w:p w14:paraId="5CEEDAC8" w14:textId="77777777" w:rsidR="007C5B19" w:rsidRPr="00806B7F" w:rsidRDefault="007C5B19" w:rsidP="00A369A1">
            <w:pPr>
              <w:rPr>
                <w:rFonts w:ascii="Arial" w:hAnsi="Arial" w:cs="Arial"/>
                <w:sz w:val="20"/>
              </w:rPr>
            </w:pPr>
            <w:r w:rsidRPr="00806B7F">
              <w:rPr>
                <w:rFonts w:ascii="Arial" w:hAnsi="Arial" w:cs="Arial"/>
                <w:sz w:val="20"/>
              </w:rPr>
              <w:t>The budget allows for the following recruits/apprentice FFs each year:-</w:t>
            </w:r>
          </w:p>
          <w:p w14:paraId="524C1D5F"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23/24 – 60 apprentices</w:t>
            </w:r>
          </w:p>
          <w:p w14:paraId="4D0FA2DF"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24/25 – 24 apprentices</w:t>
            </w:r>
          </w:p>
          <w:p w14:paraId="6BE82B49"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25/26 – 24 apprentices</w:t>
            </w:r>
          </w:p>
          <w:p w14:paraId="44D18D66"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26/27 – 24 apprentices</w:t>
            </w:r>
          </w:p>
          <w:p w14:paraId="362A61E4"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27/28 – 24 apprentices</w:t>
            </w:r>
          </w:p>
          <w:p w14:paraId="12FA2785" w14:textId="77777777" w:rsidR="007C5B19" w:rsidRPr="00806B7F" w:rsidRDefault="007C5B19" w:rsidP="00A369A1">
            <w:pPr>
              <w:rPr>
                <w:rFonts w:ascii="Arial" w:hAnsi="Arial" w:cs="Arial"/>
                <w:sz w:val="20"/>
              </w:rPr>
            </w:pPr>
            <w:r w:rsidRPr="00806B7F">
              <w:rPr>
                <w:rFonts w:ascii="Arial" w:hAnsi="Arial" w:cs="Arial"/>
                <w:sz w:val="20"/>
              </w:rPr>
              <w:t>These forecasts take account of the timing of changes to establishment, predominantly arising from the outcome of the ECR, as well  anticipated retirements/early levers. However, it should be noted that the timing and number of retirements/early leavers has varied significantly in recent years.</w:t>
            </w:r>
          </w:p>
        </w:tc>
        <w:tc>
          <w:tcPr>
            <w:tcW w:w="1134" w:type="dxa"/>
            <w:tcBorders>
              <w:top w:val="single" w:sz="4" w:space="0" w:color="auto"/>
            </w:tcBorders>
          </w:tcPr>
          <w:p w14:paraId="21CADBEE"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Borders>
              <w:top w:val="single" w:sz="4" w:space="0" w:color="auto"/>
            </w:tcBorders>
          </w:tcPr>
          <w:p w14:paraId="7E63FF4A"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single" w:sz="4" w:space="0" w:color="auto"/>
            </w:tcBorders>
          </w:tcPr>
          <w:p w14:paraId="5D45C52C"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tcBorders>
          </w:tcPr>
          <w:p w14:paraId="58AA1C99"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single" w:sz="4" w:space="0" w:color="auto"/>
            </w:tcBorders>
          </w:tcPr>
          <w:p w14:paraId="1117FDD7"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527AC13E" w14:textId="77777777" w:rsidTr="00A369A1">
        <w:tc>
          <w:tcPr>
            <w:tcW w:w="4390" w:type="dxa"/>
          </w:tcPr>
          <w:p w14:paraId="0A28E77A" w14:textId="77777777" w:rsidR="007C5B19" w:rsidRPr="00806B7F" w:rsidRDefault="007C5B19" w:rsidP="00A369A1">
            <w:pPr>
              <w:rPr>
                <w:rFonts w:ascii="Arial" w:hAnsi="Arial" w:cs="Arial"/>
                <w:sz w:val="20"/>
              </w:rPr>
            </w:pPr>
            <w:proofErr w:type="gramStart"/>
            <w:r w:rsidRPr="00806B7F">
              <w:rPr>
                <w:rFonts w:ascii="Arial" w:hAnsi="Arial" w:cs="Arial"/>
                <w:sz w:val="20"/>
              </w:rPr>
              <w:t>A number of</w:t>
            </w:r>
            <w:proofErr w:type="gramEnd"/>
            <w:r w:rsidRPr="00806B7F">
              <w:rPr>
                <w:rFonts w:ascii="Arial" w:hAnsi="Arial" w:cs="Arial"/>
                <w:sz w:val="20"/>
              </w:rPr>
              <w:t xml:space="preserve"> temporary posts will be removed in future years</w:t>
            </w:r>
          </w:p>
        </w:tc>
        <w:tc>
          <w:tcPr>
            <w:tcW w:w="1134" w:type="dxa"/>
          </w:tcPr>
          <w:p w14:paraId="5E44E8E4" w14:textId="77777777" w:rsidR="007C5B19" w:rsidRPr="00806B7F" w:rsidRDefault="007C5B19" w:rsidP="00A369A1">
            <w:pPr>
              <w:jc w:val="center"/>
              <w:rPr>
                <w:rFonts w:ascii="Arial" w:hAnsi="Arial" w:cs="Arial"/>
                <w:sz w:val="20"/>
                <w:highlight w:val="yellow"/>
              </w:rPr>
            </w:pPr>
            <w:r w:rsidRPr="00806B7F">
              <w:rPr>
                <w:rFonts w:ascii="Arial" w:hAnsi="Arial" w:cs="Arial"/>
                <w:sz w:val="20"/>
              </w:rPr>
              <w:t>-</w:t>
            </w:r>
          </w:p>
        </w:tc>
        <w:tc>
          <w:tcPr>
            <w:tcW w:w="1134" w:type="dxa"/>
          </w:tcPr>
          <w:p w14:paraId="14A76E2A"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7639F3FB"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851E344"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68885D93"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2AA8C3A6" w14:textId="77777777" w:rsidTr="00A369A1">
        <w:tc>
          <w:tcPr>
            <w:tcW w:w="4390" w:type="dxa"/>
          </w:tcPr>
          <w:p w14:paraId="4A54567E" w14:textId="77777777" w:rsidR="007C5B19" w:rsidRPr="00806B7F" w:rsidRDefault="007C5B19" w:rsidP="00A369A1">
            <w:pPr>
              <w:rPr>
                <w:rFonts w:ascii="Arial" w:hAnsi="Arial" w:cs="Arial"/>
                <w:sz w:val="20"/>
              </w:rPr>
            </w:pPr>
            <w:r w:rsidRPr="00806B7F">
              <w:rPr>
                <w:rFonts w:ascii="Arial" w:hAnsi="Arial" w:cs="Arial"/>
                <w:sz w:val="20"/>
              </w:rPr>
              <w:t>Interest receivable has increased in 23/24, reflecting the change in bank base rates, and the increased use of fixed term deposits.</w:t>
            </w:r>
          </w:p>
          <w:p w14:paraId="2086F9FD" w14:textId="77777777" w:rsidR="007C5B19" w:rsidRPr="00806B7F" w:rsidRDefault="007C5B19" w:rsidP="00A369A1">
            <w:pPr>
              <w:rPr>
                <w:rFonts w:ascii="Arial" w:hAnsi="Arial" w:cs="Arial"/>
                <w:sz w:val="20"/>
              </w:rPr>
            </w:pPr>
            <w:r w:rsidRPr="00806B7F">
              <w:rPr>
                <w:rFonts w:ascii="Arial" w:hAnsi="Arial" w:cs="Arial"/>
                <w:sz w:val="20"/>
              </w:rPr>
              <w:t>This gradually reduces over the life of the strategy, reflecting the reduction in cash balances and falling interest rates in future years</w:t>
            </w:r>
          </w:p>
        </w:tc>
        <w:tc>
          <w:tcPr>
            <w:tcW w:w="1134" w:type="dxa"/>
          </w:tcPr>
          <w:p w14:paraId="75312D0F" w14:textId="77777777" w:rsidR="007C5B19" w:rsidRPr="00806B7F" w:rsidRDefault="007C5B19" w:rsidP="00A369A1">
            <w:pPr>
              <w:jc w:val="center"/>
              <w:rPr>
                <w:rFonts w:ascii="Arial" w:hAnsi="Arial" w:cs="Arial"/>
                <w:sz w:val="20"/>
              </w:rPr>
            </w:pPr>
            <w:r w:rsidRPr="00806B7F">
              <w:rPr>
                <w:rFonts w:ascii="Arial" w:hAnsi="Arial" w:cs="Arial"/>
                <w:sz w:val="20"/>
              </w:rPr>
              <w:t>(1.0)</w:t>
            </w:r>
          </w:p>
        </w:tc>
        <w:tc>
          <w:tcPr>
            <w:tcW w:w="1134" w:type="dxa"/>
          </w:tcPr>
          <w:p w14:paraId="7A9A8398"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Pr>
          <w:p w14:paraId="14B754D5"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Pr>
          <w:p w14:paraId="583E3789"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65E55989" w14:textId="77777777" w:rsidR="007C5B19" w:rsidRPr="00806B7F" w:rsidRDefault="007C5B19" w:rsidP="00A369A1">
            <w:pPr>
              <w:jc w:val="center"/>
              <w:rPr>
                <w:rFonts w:ascii="Arial" w:hAnsi="Arial" w:cs="Arial"/>
                <w:sz w:val="20"/>
              </w:rPr>
            </w:pPr>
            <w:r w:rsidRPr="00806B7F">
              <w:rPr>
                <w:rFonts w:ascii="Arial" w:hAnsi="Arial" w:cs="Arial"/>
                <w:sz w:val="20"/>
              </w:rPr>
              <w:t>0.1</w:t>
            </w:r>
          </w:p>
        </w:tc>
      </w:tr>
      <w:tr w:rsidR="007C5B19" w:rsidRPr="00806B7F" w14:paraId="38C8D4D3" w14:textId="77777777" w:rsidTr="00A369A1">
        <w:tc>
          <w:tcPr>
            <w:tcW w:w="4390" w:type="dxa"/>
          </w:tcPr>
          <w:p w14:paraId="276679D8" w14:textId="77777777" w:rsidR="007C5B19" w:rsidRPr="00806B7F" w:rsidRDefault="007C5B19" w:rsidP="00A369A1">
            <w:pPr>
              <w:rPr>
                <w:rFonts w:ascii="Arial" w:hAnsi="Arial" w:cs="Arial"/>
                <w:sz w:val="20"/>
              </w:rPr>
            </w:pPr>
            <w:r w:rsidRPr="00806B7F">
              <w:rPr>
                <w:rFonts w:ascii="Arial" w:hAnsi="Arial" w:cs="Arial"/>
                <w:sz w:val="20"/>
              </w:rPr>
              <w:t>Other</w:t>
            </w:r>
          </w:p>
        </w:tc>
        <w:tc>
          <w:tcPr>
            <w:tcW w:w="1134" w:type="dxa"/>
          </w:tcPr>
          <w:p w14:paraId="215D1256"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0A952FEF"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185C8A44"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31310D26"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41D2385B"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7A0CF159" w14:textId="77777777" w:rsidTr="00A369A1">
        <w:tc>
          <w:tcPr>
            <w:tcW w:w="4390" w:type="dxa"/>
          </w:tcPr>
          <w:p w14:paraId="0B996D5C" w14:textId="77777777" w:rsidR="007C5B19" w:rsidRPr="00806B7F" w:rsidRDefault="007C5B19" w:rsidP="00A369A1">
            <w:pPr>
              <w:rPr>
                <w:rFonts w:ascii="Arial" w:hAnsi="Arial" w:cs="Arial"/>
                <w:sz w:val="20"/>
              </w:rPr>
            </w:pPr>
          </w:p>
        </w:tc>
        <w:tc>
          <w:tcPr>
            <w:tcW w:w="1134" w:type="dxa"/>
          </w:tcPr>
          <w:p w14:paraId="18051992" w14:textId="77777777" w:rsidR="007C5B19" w:rsidRPr="00806B7F" w:rsidRDefault="007C5B19" w:rsidP="00A369A1">
            <w:pPr>
              <w:jc w:val="center"/>
              <w:rPr>
                <w:rFonts w:ascii="Arial" w:hAnsi="Arial" w:cs="Arial"/>
                <w:sz w:val="20"/>
              </w:rPr>
            </w:pPr>
            <w:r w:rsidRPr="00806B7F">
              <w:rPr>
                <w:rFonts w:ascii="Arial" w:hAnsi="Arial" w:cs="Arial"/>
                <w:sz w:val="20"/>
              </w:rPr>
              <w:t>(1.9)</w:t>
            </w:r>
          </w:p>
        </w:tc>
        <w:tc>
          <w:tcPr>
            <w:tcW w:w="1134" w:type="dxa"/>
          </w:tcPr>
          <w:p w14:paraId="16B2C3E4"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Pr>
          <w:p w14:paraId="6311D11A"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3D8FB307"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4CD3F28D" w14:textId="77777777" w:rsidR="007C5B19" w:rsidRPr="00806B7F" w:rsidRDefault="007C5B19" w:rsidP="00A369A1">
            <w:pPr>
              <w:jc w:val="center"/>
              <w:rPr>
                <w:rFonts w:ascii="Arial" w:hAnsi="Arial" w:cs="Arial"/>
                <w:sz w:val="20"/>
              </w:rPr>
            </w:pPr>
            <w:r w:rsidRPr="00806B7F">
              <w:rPr>
                <w:rFonts w:ascii="Arial" w:hAnsi="Arial" w:cs="Arial"/>
                <w:sz w:val="20"/>
              </w:rPr>
              <w:t>0.1</w:t>
            </w:r>
          </w:p>
        </w:tc>
      </w:tr>
    </w:tbl>
    <w:p w14:paraId="5D93D346" w14:textId="77777777" w:rsidR="007C5B19" w:rsidRPr="00806B7F" w:rsidRDefault="007C5B19" w:rsidP="007C5B19">
      <w:pPr>
        <w:jc w:val="both"/>
        <w:rPr>
          <w:rFonts w:ascii="Arial" w:hAnsi="Arial" w:cs="Arial"/>
          <w:sz w:val="20"/>
        </w:rPr>
      </w:pPr>
    </w:p>
    <w:p w14:paraId="0B1D0CA9" w14:textId="77777777" w:rsidR="007C5B19" w:rsidRPr="00806B7F" w:rsidRDefault="007C5B19" w:rsidP="007C5B19">
      <w:pPr>
        <w:jc w:val="both"/>
        <w:rPr>
          <w:rFonts w:ascii="Arial" w:hAnsi="Arial" w:cs="Arial"/>
          <w:b/>
          <w:sz w:val="20"/>
        </w:rPr>
      </w:pPr>
      <w:r w:rsidRPr="00806B7F">
        <w:rPr>
          <w:rFonts w:ascii="Arial" w:hAnsi="Arial" w:cs="Arial"/>
          <w:b/>
          <w:sz w:val="20"/>
        </w:rPr>
        <w:t>Gross Budget Requirement</w:t>
      </w:r>
    </w:p>
    <w:p w14:paraId="747B55E8" w14:textId="77777777" w:rsidR="007C5B19" w:rsidRPr="00806B7F" w:rsidRDefault="007C5B19" w:rsidP="007C5B19">
      <w:pPr>
        <w:jc w:val="both"/>
        <w:rPr>
          <w:rFonts w:ascii="Arial" w:hAnsi="Arial" w:cs="Arial"/>
          <w:sz w:val="20"/>
        </w:rPr>
      </w:pPr>
    </w:p>
    <w:p w14:paraId="3A9B8D0F" w14:textId="77777777" w:rsidR="007C5B19" w:rsidRPr="00806B7F" w:rsidRDefault="007C5B19" w:rsidP="007C5B19">
      <w:pPr>
        <w:jc w:val="both"/>
        <w:rPr>
          <w:rFonts w:ascii="Arial" w:hAnsi="Arial" w:cs="Arial"/>
          <w:sz w:val="20"/>
        </w:rPr>
      </w:pPr>
      <w:r w:rsidRPr="00806B7F">
        <w:rPr>
          <w:rFonts w:ascii="Arial" w:hAnsi="Arial" w:cs="Arial"/>
          <w:sz w:val="20"/>
        </w:rPr>
        <w:t>As set out above the overall gross budget requirement for each year is as follows: -</w:t>
      </w:r>
    </w:p>
    <w:p w14:paraId="7C7F41F3" w14:textId="77777777" w:rsidR="007C5B19" w:rsidRPr="00806B7F" w:rsidRDefault="007C5B19" w:rsidP="007C5B19">
      <w:pPr>
        <w:jc w:val="both"/>
        <w:rPr>
          <w:rFonts w:ascii="Arial" w:hAnsi="Arial" w:cs="Arial"/>
          <w:sz w:val="20"/>
        </w:rPr>
      </w:pPr>
    </w:p>
    <w:p w14:paraId="39120EC0"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8 Gross Budget Requirement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7A2A4509" w14:textId="77777777" w:rsidTr="00A369A1">
        <w:tc>
          <w:tcPr>
            <w:tcW w:w="4390" w:type="dxa"/>
          </w:tcPr>
          <w:p w14:paraId="04CC9ED1" w14:textId="77777777" w:rsidR="007C5B19" w:rsidRPr="00806B7F" w:rsidRDefault="007C5B19" w:rsidP="00A369A1">
            <w:pPr>
              <w:jc w:val="both"/>
              <w:rPr>
                <w:rFonts w:ascii="Arial" w:hAnsi="Arial" w:cs="Arial"/>
                <w:sz w:val="20"/>
              </w:rPr>
            </w:pPr>
          </w:p>
        </w:tc>
        <w:tc>
          <w:tcPr>
            <w:tcW w:w="1134" w:type="dxa"/>
          </w:tcPr>
          <w:p w14:paraId="38F55AD8"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37AADCAC"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30E081E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2FE48FCD"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6E6D823D"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2ED15117" w14:textId="77777777" w:rsidTr="00A369A1">
        <w:tc>
          <w:tcPr>
            <w:tcW w:w="4390" w:type="dxa"/>
          </w:tcPr>
          <w:p w14:paraId="42A7533F" w14:textId="77777777" w:rsidR="007C5B19" w:rsidRPr="00806B7F" w:rsidRDefault="007C5B19" w:rsidP="00A369A1">
            <w:pPr>
              <w:jc w:val="both"/>
              <w:rPr>
                <w:rFonts w:ascii="Arial" w:hAnsi="Arial" w:cs="Arial"/>
                <w:sz w:val="20"/>
              </w:rPr>
            </w:pPr>
          </w:p>
        </w:tc>
        <w:tc>
          <w:tcPr>
            <w:tcW w:w="1134" w:type="dxa"/>
          </w:tcPr>
          <w:p w14:paraId="28315DC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08E820A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C3922FF"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7006E4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6943565"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56155E5D" w14:textId="77777777" w:rsidTr="00A369A1">
        <w:tc>
          <w:tcPr>
            <w:tcW w:w="4390" w:type="dxa"/>
          </w:tcPr>
          <w:p w14:paraId="2F209A53" w14:textId="77777777" w:rsidR="007C5B19" w:rsidRPr="00806B7F" w:rsidRDefault="007C5B19" w:rsidP="00A369A1">
            <w:pPr>
              <w:rPr>
                <w:rFonts w:ascii="Arial" w:hAnsi="Arial" w:cs="Arial"/>
                <w:snapToGrid w:val="0"/>
                <w:color w:val="000000"/>
                <w:sz w:val="20"/>
                <w:lang w:eastAsia="en-US"/>
              </w:rPr>
            </w:pPr>
            <w:r w:rsidRPr="00806B7F">
              <w:rPr>
                <w:rFonts w:ascii="Arial" w:hAnsi="Arial" w:cs="Arial"/>
                <w:snapToGrid w:val="0"/>
                <w:color w:val="000000"/>
                <w:sz w:val="20"/>
                <w:lang w:eastAsia="en-US"/>
              </w:rPr>
              <w:t>Draft Gross Budget Requirement</w:t>
            </w:r>
          </w:p>
        </w:tc>
        <w:tc>
          <w:tcPr>
            <w:tcW w:w="1134" w:type="dxa"/>
          </w:tcPr>
          <w:p w14:paraId="10CD3A1F" w14:textId="77777777" w:rsidR="007C5B19" w:rsidRPr="00806B7F" w:rsidRDefault="007C5B19" w:rsidP="00A369A1">
            <w:pPr>
              <w:jc w:val="center"/>
              <w:rPr>
                <w:rFonts w:ascii="Arial" w:hAnsi="Arial" w:cs="Arial"/>
                <w:sz w:val="20"/>
              </w:rPr>
            </w:pPr>
            <w:r w:rsidRPr="00806B7F">
              <w:rPr>
                <w:rFonts w:ascii="Arial" w:hAnsi="Arial" w:cs="Arial"/>
                <w:sz w:val="20"/>
              </w:rPr>
              <w:t>70.3</w:t>
            </w:r>
          </w:p>
        </w:tc>
        <w:tc>
          <w:tcPr>
            <w:tcW w:w="1134" w:type="dxa"/>
          </w:tcPr>
          <w:p w14:paraId="2C3B742E" w14:textId="77777777" w:rsidR="007C5B19" w:rsidRPr="00806B7F" w:rsidRDefault="007C5B19" w:rsidP="00A369A1">
            <w:pPr>
              <w:jc w:val="center"/>
              <w:rPr>
                <w:rFonts w:ascii="Arial" w:hAnsi="Arial" w:cs="Arial"/>
                <w:sz w:val="20"/>
              </w:rPr>
            </w:pPr>
            <w:r w:rsidRPr="00806B7F">
              <w:rPr>
                <w:rFonts w:ascii="Arial" w:hAnsi="Arial" w:cs="Arial"/>
                <w:sz w:val="20"/>
              </w:rPr>
              <w:t>73.2</w:t>
            </w:r>
          </w:p>
        </w:tc>
        <w:tc>
          <w:tcPr>
            <w:tcW w:w="1134" w:type="dxa"/>
          </w:tcPr>
          <w:p w14:paraId="7FE4D609" w14:textId="77777777" w:rsidR="007C5B19" w:rsidRPr="00806B7F" w:rsidRDefault="007C5B19" w:rsidP="00A369A1">
            <w:pPr>
              <w:jc w:val="center"/>
              <w:rPr>
                <w:rFonts w:ascii="Arial" w:hAnsi="Arial" w:cs="Arial"/>
                <w:sz w:val="20"/>
              </w:rPr>
            </w:pPr>
            <w:r w:rsidRPr="00806B7F">
              <w:rPr>
                <w:rFonts w:ascii="Arial" w:hAnsi="Arial" w:cs="Arial"/>
                <w:sz w:val="20"/>
              </w:rPr>
              <w:t>75.1</w:t>
            </w:r>
          </w:p>
        </w:tc>
        <w:tc>
          <w:tcPr>
            <w:tcW w:w="1134" w:type="dxa"/>
          </w:tcPr>
          <w:p w14:paraId="08F4027F" w14:textId="77777777" w:rsidR="007C5B19" w:rsidRPr="00806B7F" w:rsidRDefault="007C5B19" w:rsidP="00A369A1">
            <w:pPr>
              <w:jc w:val="center"/>
              <w:rPr>
                <w:rFonts w:ascii="Arial" w:hAnsi="Arial" w:cs="Arial"/>
                <w:sz w:val="20"/>
              </w:rPr>
            </w:pPr>
            <w:r w:rsidRPr="00806B7F">
              <w:rPr>
                <w:rFonts w:ascii="Arial" w:hAnsi="Arial" w:cs="Arial"/>
                <w:sz w:val="20"/>
              </w:rPr>
              <w:t>77.3</w:t>
            </w:r>
          </w:p>
        </w:tc>
        <w:tc>
          <w:tcPr>
            <w:tcW w:w="1134" w:type="dxa"/>
          </w:tcPr>
          <w:p w14:paraId="141072EB" w14:textId="77777777" w:rsidR="007C5B19" w:rsidRPr="00806B7F" w:rsidRDefault="007C5B19" w:rsidP="00A369A1">
            <w:pPr>
              <w:jc w:val="center"/>
              <w:rPr>
                <w:rFonts w:ascii="Arial" w:hAnsi="Arial" w:cs="Arial"/>
                <w:sz w:val="20"/>
              </w:rPr>
            </w:pPr>
            <w:r w:rsidRPr="00806B7F">
              <w:rPr>
                <w:rFonts w:ascii="Arial" w:hAnsi="Arial" w:cs="Arial"/>
                <w:sz w:val="20"/>
              </w:rPr>
              <w:t>79.6</w:t>
            </w:r>
          </w:p>
        </w:tc>
      </w:tr>
    </w:tbl>
    <w:p w14:paraId="0CD1EA15" w14:textId="77777777" w:rsidR="007C5B19" w:rsidRPr="00806B7F" w:rsidRDefault="007C5B19" w:rsidP="007C5B19">
      <w:pPr>
        <w:jc w:val="both"/>
        <w:rPr>
          <w:rFonts w:ascii="Arial" w:hAnsi="Arial" w:cs="Arial"/>
          <w:sz w:val="20"/>
        </w:rPr>
      </w:pPr>
    </w:p>
    <w:p w14:paraId="6C0DE85D" w14:textId="77777777" w:rsidR="007C5B19" w:rsidRPr="00806B7F" w:rsidRDefault="007C5B19" w:rsidP="007C5B19">
      <w:pPr>
        <w:spacing w:after="200" w:line="276" w:lineRule="auto"/>
        <w:rPr>
          <w:rFonts w:ascii="Arial" w:hAnsi="Arial" w:cs="Arial"/>
          <w:b/>
          <w:sz w:val="20"/>
        </w:rPr>
      </w:pPr>
      <w:r w:rsidRPr="00806B7F">
        <w:rPr>
          <w:rFonts w:ascii="Arial" w:hAnsi="Arial" w:cs="Arial"/>
          <w:b/>
          <w:sz w:val="20"/>
        </w:rPr>
        <w:t>Vacancy Factors</w:t>
      </w:r>
    </w:p>
    <w:p w14:paraId="6C983596" w14:textId="77777777" w:rsidR="007C5B19" w:rsidRPr="00806B7F" w:rsidRDefault="007C5B19" w:rsidP="007C5B19">
      <w:pPr>
        <w:jc w:val="both"/>
        <w:rPr>
          <w:rFonts w:ascii="Arial" w:hAnsi="Arial" w:cs="Arial"/>
          <w:sz w:val="20"/>
        </w:rPr>
      </w:pPr>
      <w:r w:rsidRPr="00806B7F">
        <w:rPr>
          <w:rFonts w:ascii="Arial" w:hAnsi="Arial" w:cs="Arial"/>
          <w:sz w:val="20"/>
        </w:rPr>
        <w:t>The budget needs to take account of forecast vacancy factors arising from retirement and recruitment profiles: -</w:t>
      </w:r>
    </w:p>
    <w:p w14:paraId="264CBACC" w14:textId="77777777" w:rsidR="007C5B19" w:rsidRPr="00806B7F" w:rsidRDefault="007C5B19" w:rsidP="007C5B19">
      <w:pPr>
        <w:jc w:val="both"/>
        <w:rPr>
          <w:rFonts w:ascii="Arial" w:hAnsi="Arial" w:cs="Arial"/>
          <w:sz w:val="20"/>
        </w:rPr>
      </w:pPr>
    </w:p>
    <w:p w14:paraId="68A6EEF6"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9 Details of Vacancy Factors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2688509C" w14:textId="77777777" w:rsidTr="00A369A1">
        <w:tc>
          <w:tcPr>
            <w:tcW w:w="4390" w:type="dxa"/>
          </w:tcPr>
          <w:p w14:paraId="672A3ED0" w14:textId="77777777" w:rsidR="007C5B19" w:rsidRPr="00806B7F" w:rsidRDefault="007C5B19" w:rsidP="00A369A1">
            <w:pPr>
              <w:rPr>
                <w:rFonts w:ascii="Arial" w:hAnsi="Arial" w:cs="Arial"/>
                <w:sz w:val="20"/>
              </w:rPr>
            </w:pPr>
          </w:p>
        </w:tc>
        <w:tc>
          <w:tcPr>
            <w:tcW w:w="1134" w:type="dxa"/>
          </w:tcPr>
          <w:p w14:paraId="5AB89D88"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778060CA"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130E254A"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20B93DC2"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7D8305F4"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2BA34FE9" w14:textId="77777777" w:rsidTr="00A369A1">
        <w:tc>
          <w:tcPr>
            <w:tcW w:w="4390" w:type="dxa"/>
          </w:tcPr>
          <w:p w14:paraId="56894AF6" w14:textId="77777777" w:rsidR="007C5B19" w:rsidRPr="00806B7F" w:rsidRDefault="007C5B19" w:rsidP="00A369A1">
            <w:pPr>
              <w:rPr>
                <w:rFonts w:ascii="Arial" w:hAnsi="Arial" w:cs="Arial"/>
                <w:sz w:val="20"/>
              </w:rPr>
            </w:pPr>
          </w:p>
        </w:tc>
        <w:tc>
          <w:tcPr>
            <w:tcW w:w="1134" w:type="dxa"/>
          </w:tcPr>
          <w:p w14:paraId="6C0D947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60064012"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6AD4E973"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050CC4B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55E41FC3"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085884E5" w14:textId="77777777" w:rsidTr="00A369A1">
        <w:trPr>
          <w:trHeight w:val="353"/>
        </w:trPr>
        <w:tc>
          <w:tcPr>
            <w:tcW w:w="4390" w:type="dxa"/>
          </w:tcPr>
          <w:p w14:paraId="333D6FD8" w14:textId="77777777" w:rsidR="007C5B19" w:rsidRPr="00806B7F" w:rsidRDefault="007C5B19" w:rsidP="00A369A1">
            <w:pPr>
              <w:rPr>
                <w:rFonts w:ascii="Arial" w:hAnsi="Arial" w:cs="Arial"/>
                <w:sz w:val="20"/>
              </w:rPr>
            </w:pPr>
            <w:r w:rsidRPr="00806B7F">
              <w:rPr>
                <w:rFonts w:ascii="Arial" w:hAnsi="Arial" w:cs="Arial"/>
                <w:sz w:val="20"/>
              </w:rPr>
              <w:t>The vacancy/over establishment factor for whole-time has also been updated and is based on the following: -</w:t>
            </w:r>
          </w:p>
          <w:p w14:paraId="56F86EE9"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 xml:space="preserve">Each year </w:t>
            </w:r>
            <w:proofErr w:type="gramStart"/>
            <w:r w:rsidRPr="00806B7F">
              <w:rPr>
                <w:rFonts w:ascii="Arial" w:hAnsi="Arial" w:cs="Arial"/>
                <w:sz w:val="20"/>
                <w:szCs w:val="20"/>
              </w:rPr>
              <w:t>a number of</w:t>
            </w:r>
            <w:proofErr w:type="gramEnd"/>
            <w:r w:rsidRPr="00806B7F">
              <w:rPr>
                <w:rFonts w:ascii="Arial" w:hAnsi="Arial" w:cs="Arial"/>
                <w:sz w:val="20"/>
                <w:szCs w:val="20"/>
              </w:rPr>
              <w:t xml:space="preserve"> personnel who have reached full pension benefits delay their retirement. Whilst this varies each year it averages out at approx. 6 personnel at any point in time. As such we have assumed that all bar 6 personnel who can retire do so immediately.</w:t>
            </w:r>
          </w:p>
          <w:p w14:paraId="13C3B863"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An updated early leavers profile, i.e., personnel who retire before reaching forecast retirement date or who resign or are dismissed, of:-</w:t>
            </w:r>
          </w:p>
          <w:p w14:paraId="56857C57" w14:textId="77777777" w:rsidR="007C5B19" w:rsidRPr="00806B7F" w:rsidRDefault="007C5B19" w:rsidP="007C5B19">
            <w:pPr>
              <w:pStyle w:val="ListParagraph"/>
              <w:numPr>
                <w:ilvl w:val="0"/>
                <w:numId w:val="16"/>
              </w:numPr>
              <w:rPr>
                <w:rFonts w:ascii="Arial" w:hAnsi="Arial" w:cs="Arial"/>
                <w:sz w:val="20"/>
                <w:szCs w:val="20"/>
              </w:rPr>
            </w:pPr>
            <w:r w:rsidRPr="00806B7F">
              <w:rPr>
                <w:rFonts w:ascii="Arial" w:hAnsi="Arial" w:cs="Arial"/>
                <w:sz w:val="20"/>
                <w:szCs w:val="20"/>
              </w:rPr>
              <w:t>18 in 23/24</w:t>
            </w:r>
          </w:p>
          <w:p w14:paraId="59FFEF4B" w14:textId="77777777" w:rsidR="007C5B19" w:rsidRPr="00806B7F" w:rsidRDefault="007C5B19" w:rsidP="007C5B19">
            <w:pPr>
              <w:pStyle w:val="ListParagraph"/>
              <w:numPr>
                <w:ilvl w:val="0"/>
                <w:numId w:val="16"/>
              </w:numPr>
              <w:rPr>
                <w:rFonts w:ascii="Arial" w:hAnsi="Arial" w:cs="Arial"/>
                <w:sz w:val="20"/>
                <w:szCs w:val="20"/>
              </w:rPr>
            </w:pPr>
            <w:r w:rsidRPr="00806B7F">
              <w:rPr>
                <w:rFonts w:ascii="Arial" w:hAnsi="Arial" w:cs="Arial"/>
                <w:sz w:val="20"/>
                <w:szCs w:val="20"/>
              </w:rPr>
              <w:t>12 in 24/25</w:t>
            </w:r>
          </w:p>
          <w:p w14:paraId="4A8BFA58" w14:textId="77777777" w:rsidR="007C5B19" w:rsidRPr="00806B7F" w:rsidRDefault="007C5B19" w:rsidP="007C5B19">
            <w:pPr>
              <w:pStyle w:val="ListParagraph"/>
              <w:numPr>
                <w:ilvl w:val="0"/>
                <w:numId w:val="16"/>
              </w:numPr>
              <w:rPr>
                <w:rFonts w:ascii="Arial" w:hAnsi="Arial" w:cs="Arial"/>
                <w:sz w:val="20"/>
                <w:szCs w:val="20"/>
              </w:rPr>
            </w:pPr>
            <w:r w:rsidRPr="00806B7F">
              <w:rPr>
                <w:rFonts w:ascii="Arial" w:hAnsi="Arial" w:cs="Arial"/>
                <w:sz w:val="20"/>
                <w:szCs w:val="20"/>
              </w:rPr>
              <w:t>9 in 25/26</w:t>
            </w:r>
          </w:p>
          <w:p w14:paraId="770FE399" w14:textId="77777777" w:rsidR="007C5B19" w:rsidRPr="00806B7F" w:rsidRDefault="007C5B19" w:rsidP="007C5B19">
            <w:pPr>
              <w:pStyle w:val="ListParagraph"/>
              <w:numPr>
                <w:ilvl w:val="0"/>
                <w:numId w:val="16"/>
              </w:numPr>
              <w:rPr>
                <w:rFonts w:ascii="Arial" w:hAnsi="Arial" w:cs="Arial"/>
                <w:sz w:val="20"/>
                <w:szCs w:val="20"/>
              </w:rPr>
            </w:pPr>
            <w:r w:rsidRPr="00806B7F">
              <w:rPr>
                <w:rFonts w:ascii="Arial" w:hAnsi="Arial" w:cs="Arial"/>
                <w:sz w:val="20"/>
                <w:szCs w:val="20"/>
              </w:rPr>
              <w:t xml:space="preserve">6 in subsequent years </w:t>
            </w:r>
          </w:p>
          <w:p w14:paraId="379B586C" w14:textId="77777777" w:rsidR="007C5B19" w:rsidRPr="00806B7F" w:rsidRDefault="007C5B19" w:rsidP="007C5B19">
            <w:pPr>
              <w:pStyle w:val="ListParagraph"/>
              <w:numPr>
                <w:ilvl w:val="0"/>
                <w:numId w:val="10"/>
              </w:numPr>
              <w:ind w:left="284" w:hanging="284"/>
              <w:rPr>
                <w:rFonts w:ascii="Arial" w:hAnsi="Arial" w:cs="Arial"/>
                <w:sz w:val="20"/>
                <w:szCs w:val="20"/>
              </w:rPr>
            </w:pPr>
            <w:r w:rsidRPr="00806B7F">
              <w:rPr>
                <w:rFonts w:ascii="Arial" w:hAnsi="Arial" w:cs="Arial"/>
                <w:sz w:val="20"/>
                <w:szCs w:val="20"/>
              </w:rPr>
              <w:t>Recruit numbers are as set out earlier and we assume that all recruits successfully complete the course.</w:t>
            </w:r>
          </w:p>
          <w:p w14:paraId="5D9BFA2E" w14:textId="77777777" w:rsidR="007C5B19" w:rsidRPr="00806B7F" w:rsidRDefault="007C5B19" w:rsidP="00A369A1">
            <w:pPr>
              <w:rPr>
                <w:rFonts w:ascii="Arial" w:hAnsi="Arial" w:cs="Arial"/>
                <w:sz w:val="20"/>
              </w:rPr>
            </w:pPr>
            <w:r w:rsidRPr="00806B7F">
              <w:rPr>
                <w:rFonts w:ascii="Arial" w:hAnsi="Arial" w:cs="Arial"/>
                <w:sz w:val="20"/>
              </w:rPr>
              <w:t xml:space="preserve">Overall, this results in a net under-establishment in 23/24, a broadly balanced position in 24/25 and a net over-establishment in 25/26 and beyond. It should be noted that any vacancies are partly offset by a potential increase in overtime costs </w:t>
            </w:r>
          </w:p>
        </w:tc>
        <w:tc>
          <w:tcPr>
            <w:tcW w:w="1134" w:type="dxa"/>
          </w:tcPr>
          <w:p w14:paraId="43D99379" w14:textId="77777777" w:rsidR="007C5B19" w:rsidRPr="00806B7F" w:rsidDel="00AA2F44" w:rsidRDefault="007C5B19" w:rsidP="00A369A1">
            <w:pPr>
              <w:jc w:val="center"/>
              <w:rPr>
                <w:rFonts w:ascii="Arial" w:hAnsi="Arial" w:cs="Arial"/>
                <w:sz w:val="20"/>
              </w:rPr>
            </w:pPr>
            <w:r w:rsidRPr="00806B7F">
              <w:rPr>
                <w:rFonts w:ascii="Arial" w:hAnsi="Arial" w:cs="Arial"/>
                <w:sz w:val="20"/>
              </w:rPr>
              <w:t>(0.3)</w:t>
            </w:r>
          </w:p>
        </w:tc>
        <w:tc>
          <w:tcPr>
            <w:tcW w:w="1134" w:type="dxa"/>
          </w:tcPr>
          <w:p w14:paraId="0CFB5DDB"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224C4652" w14:textId="77777777" w:rsidR="007C5B19" w:rsidRPr="00806B7F" w:rsidDel="00AA2F44" w:rsidRDefault="007C5B19" w:rsidP="00A369A1">
            <w:pPr>
              <w:jc w:val="center"/>
              <w:rPr>
                <w:rFonts w:ascii="Arial" w:hAnsi="Arial" w:cs="Arial"/>
                <w:sz w:val="20"/>
              </w:rPr>
            </w:pPr>
            <w:r w:rsidRPr="00806B7F">
              <w:rPr>
                <w:rFonts w:ascii="Arial" w:hAnsi="Arial" w:cs="Arial"/>
                <w:sz w:val="20"/>
              </w:rPr>
              <w:t>0.3</w:t>
            </w:r>
          </w:p>
        </w:tc>
        <w:tc>
          <w:tcPr>
            <w:tcW w:w="1134" w:type="dxa"/>
          </w:tcPr>
          <w:p w14:paraId="63326E43"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134" w:type="dxa"/>
          </w:tcPr>
          <w:p w14:paraId="20BCDC34" w14:textId="77777777" w:rsidR="007C5B19" w:rsidRPr="00806B7F" w:rsidRDefault="007C5B19" w:rsidP="00A369A1">
            <w:pPr>
              <w:jc w:val="center"/>
              <w:rPr>
                <w:rFonts w:ascii="Arial" w:hAnsi="Arial" w:cs="Arial"/>
                <w:sz w:val="20"/>
              </w:rPr>
            </w:pPr>
            <w:r w:rsidRPr="00806B7F">
              <w:rPr>
                <w:rFonts w:ascii="Arial" w:hAnsi="Arial" w:cs="Arial"/>
                <w:sz w:val="20"/>
              </w:rPr>
              <w:t>0.1</w:t>
            </w:r>
          </w:p>
        </w:tc>
      </w:tr>
      <w:tr w:rsidR="007C5B19" w:rsidRPr="00806B7F" w14:paraId="5AB107E5" w14:textId="77777777" w:rsidTr="00A369A1">
        <w:trPr>
          <w:trHeight w:val="353"/>
        </w:trPr>
        <w:tc>
          <w:tcPr>
            <w:tcW w:w="4390" w:type="dxa"/>
          </w:tcPr>
          <w:p w14:paraId="46EEFC0A" w14:textId="77777777" w:rsidR="007C5B19" w:rsidRPr="00806B7F" w:rsidRDefault="007C5B19" w:rsidP="00A369A1">
            <w:pPr>
              <w:rPr>
                <w:rFonts w:ascii="Arial" w:hAnsi="Arial" w:cs="Arial"/>
                <w:sz w:val="20"/>
              </w:rPr>
            </w:pPr>
            <w:r w:rsidRPr="00806B7F">
              <w:rPr>
                <w:rFonts w:ascii="Arial" w:hAnsi="Arial" w:cs="Arial"/>
                <w:sz w:val="20"/>
              </w:rPr>
              <w:t xml:space="preserve">On Call vacancy factors have been increased from 21% to 25% reflecting the current level of staffing. However we have assumed that this reduces in future years, reflecting our desire to improve our recruitment and retention of on call personnel, reducing to 15% by 27/28. </w:t>
            </w:r>
          </w:p>
        </w:tc>
        <w:tc>
          <w:tcPr>
            <w:tcW w:w="1134" w:type="dxa"/>
          </w:tcPr>
          <w:p w14:paraId="5947E3F9" w14:textId="77777777" w:rsidR="007C5B19" w:rsidRPr="00806B7F" w:rsidRDefault="007C5B19" w:rsidP="00A369A1">
            <w:pPr>
              <w:jc w:val="center"/>
              <w:rPr>
                <w:rFonts w:ascii="Arial" w:hAnsi="Arial" w:cs="Arial"/>
                <w:sz w:val="20"/>
              </w:rPr>
            </w:pPr>
            <w:r w:rsidRPr="00806B7F">
              <w:rPr>
                <w:rFonts w:ascii="Arial" w:hAnsi="Arial" w:cs="Arial"/>
                <w:sz w:val="20"/>
              </w:rPr>
              <w:t>(0.8)</w:t>
            </w:r>
          </w:p>
        </w:tc>
        <w:tc>
          <w:tcPr>
            <w:tcW w:w="1134" w:type="dxa"/>
          </w:tcPr>
          <w:p w14:paraId="3601A737"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7878C810"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4C9FFAE8"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3069821B" w14:textId="77777777" w:rsidR="007C5B19" w:rsidRPr="00806B7F" w:rsidRDefault="007C5B19" w:rsidP="00A369A1">
            <w:pPr>
              <w:jc w:val="center"/>
              <w:rPr>
                <w:rFonts w:ascii="Arial" w:hAnsi="Arial" w:cs="Arial"/>
                <w:sz w:val="20"/>
              </w:rPr>
            </w:pPr>
            <w:r w:rsidRPr="00806B7F">
              <w:rPr>
                <w:rFonts w:ascii="Arial" w:hAnsi="Arial" w:cs="Arial"/>
                <w:sz w:val="20"/>
              </w:rPr>
              <w:t>(0.5)</w:t>
            </w:r>
          </w:p>
        </w:tc>
      </w:tr>
      <w:tr w:rsidR="007C5B19" w:rsidRPr="00806B7F" w14:paraId="59D12DE9" w14:textId="77777777" w:rsidTr="00A369A1">
        <w:trPr>
          <w:trHeight w:val="353"/>
        </w:trPr>
        <w:tc>
          <w:tcPr>
            <w:tcW w:w="4390" w:type="dxa"/>
          </w:tcPr>
          <w:p w14:paraId="5488BDF9" w14:textId="77777777" w:rsidR="007C5B19" w:rsidRPr="00806B7F" w:rsidRDefault="007C5B19" w:rsidP="00A369A1">
            <w:pPr>
              <w:rPr>
                <w:rFonts w:ascii="Arial" w:hAnsi="Arial" w:cs="Arial"/>
                <w:sz w:val="20"/>
              </w:rPr>
            </w:pPr>
            <w:r w:rsidRPr="00806B7F">
              <w:rPr>
                <w:rFonts w:ascii="Arial" w:hAnsi="Arial" w:cs="Arial"/>
                <w:sz w:val="20"/>
              </w:rPr>
              <w:t>Support staff vacancy factor has been set at 7.5% in 23/24, lower than its current level; on the assumption that we are successful in our current recruitment campaigns.</w:t>
            </w:r>
          </w:p>
          <w:p w14:paraId="1CECD4DF" w14:textId="77777777" w:rsidR="007C5B19" w:rsidRPr="00806B7F" w:rsidRDefault="007C5B19" w:rsidP="00A369A1">
            <w:pPr>
              <w:rPr>
                <w:rFonts w:ascii="Arial" w:hAnsi="Arial" w:cs="Arial"/>
                <w:sz w:val="20"/>
              </w:rPr>
            </w:pPr>
            <w:r w:rsidRPr="00806B7F">
              <w:rPr>
                <w:rFonts w:ascii="Arial" w:hAnsi="Arial" w:cs="Arial"/>
                <w:sz w:val="20"/>
              </w:rPr>
              <w:t>We have reduced this in subsequent years, down to 2.5% by 25/26.</w:t>
            </w:r>
          </w:p>
        </w:tc>
        <w:tc>
          <w:tcPr>
            <w:tcW w:w="1134" w:type="dxa"/>
          </w:tcPr>
          <w:p w14:paraId="44AF3991"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11403F41" w14:textId="77777777" w:rsidR="007C5B19" w:rsidRPr="00806B7F" w:rsidRDefault="007C5B19" w:rsidP="00A369A1">
            <w:pPr>
              <w:jc w:val="center"/>
              <w:rPr>
                <w:rFonts w:ascii="Arial" w:hAnsi="Arial" w:cs="Arial"/>
                <w:sz w:val="20"/>
              </w:rPr>
            </w:pPr>
            <w:r w:rsidRPr="00806B7F">
              <w:rPr>
                <w:rFonts w:ascii="Arial" w:hAnsi="Arial" w:cs="Arial"/>
                <w:sz w:val="20"/>
              </w:rPr>
              <w:t>(0.5)</w:t>
            </w:r>
          </w:p>
        </w:tc>
        <w:tc>
          <w:tcPr>
            <w:tcW w:w="1134" w:type="dxa"/>
          </w:tcPr>
          <w:p w14:paraId="68C75057"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41620E7E" w14:textId="77777777" w:rsidR="007C5B19" w:rsidRPr="00806B7F" w:rsidRDefault="007C5B19" w:rsidP="00A369A1">
            <w:pPr>
              <w:jc w:val="center"/>
              <w:rPr>
                <w:rFonts w:ascii="Arial" w:hAnsi="Arial" w:cs="Arial"/>
                <w:sz w:val="20"/>
              </w:rPr>
            </w:pPr>
            <w:r w:rsidRPr="00806B7F">
              <w:rPr>
                <w:rFonts w:ascii="Arial" w:hAnsi="Arial" w:cs="Arial"/>
                <w:sz w:val="20"/>
              </w:rPr>
              <w:t>(0.2)</w:t>
            </w:r>
          </w:p>
        </w:tc>
        <w:tc>
          <w:tcPr>
            <w:tcW w:w="1134" w:type="dxa"/>
          </w:tcPr>
          <w:p w14:paraId="69D2DF66" w14:textId="77777777" w:rsidR="007C5B19" w:rsidRPr="00806B7F" w:rsidRDefault="007C5B19" w:rsidP="00A369A1">
            <w:pPr>
              <w:jc w:val="center"/>
              <w:rPr>
                <w:rFonts w:ascii="Arial" w:hAnsi="Arial" w:cs="Arial"/>
                <w:sz w:val="20"/>
              </w:rPr>
            </w:pPr>
            <w:r w:rsidRPr="00806B7F">
              <w:rPr>
                <w:rFonts w:ascii="Arial" w:hAnsi="Arial" w:cs="Arial"/>
                <w:sz w:val="20"/>
              </w:rPr>
              <w:t>(0.3)</w:t>
            </w:r>
          </w:p>
        </w:tc>
      </w:tr>
      <w:tr w:rsidR="007C5B19" w:rsidRPr="00806B7F" w14:paraId="41D73AF7" w14:textId="77777777" w:rsidTr="00A369A1">
        <w:trPr>
          <w:trHeight w:val="353"/>
        </w:trPr>
        <w:tc>
          <w:tcPr>
            <w:tcW w:w="4390" w:type="dxa"/>
          </w:tcPr>
          <w:p w14:paraId="48DB2606" w14:textId="77777777" w:rsidR="007C5B19" w:rsidRPr="00806B7F" w:rsidRDefault="007C5B19" w:rsidP="00A369A1">
            <w:pPr>
              <w:rPr>
                <w:rFonts w:ascii="Arial" w:hAnsi="Arial" w:cs="Arial"/>
                <w:sz w:val="20"/>
              </w:rPr>
            </w:pPr>
          </w:p>
        </w:tc>
        <w:tc>
          <w:tcPr>
            <w:tcW w:w="1134" w:type="dxa"/>
          </w:tcPr>
          <w:p w14:paraId="1A4EA0FA" w14:textId="77777777" w:rsidR="007C5B19" w:rsidRPr="00806B7F" w:rsidRDefault="007C5B19" w:rsidP="00A369A1">
            <w:pPr>
              <w:jc w:val="center"/>
              <w:rPr>
                <w:rFonts w:ascii="Arial" w:hAnsi="Arial" w:cs="Arial"/>
                <w:sz w:val="20"/>
              </w:rPr>
            </w:pPr>
            <w:r w:rsidRPr="00806B7F">
              <w:rPr>
                <w:rFonts w:ascii="Arial" w:hAnsi="Arial" w:cs="Arial"/>
                <w:sz w:val="20"/>
              </w:rPr>
              <w:t>(1.8)</w:t>
            </w:r>
          </w:p>
        </w:tc>
        <w:tc>
          <w:tcPr>
            <w:tcW w:w="1134" w:type="dxa"/>
          </w:tcPr>
          <w:p w14:paraId="558266C5" w14:textId="77777777" w:rsidR="007C5B19" w:rsidRPr="00806B7F" w:rsidRDefault="007C5B19" w:rsidP="00A369A1">
            <w:pPr>
              <w:jc w:val="center"/>
              <w:rPr>
                <w:rFonts w:ascii="Arial" w:hAnsi="Arial" w:cs="Arial"/>
                <w:sz w:val="20"/>
              </w:rPr>
            </w:pPr>
            <w:r w:rsidRPr="00806B7F">
              <w:rPr>
                <w:rFonts w:ascii="Arial" w:hAnsi="Arial" w:cs="Arial"/>
                <w:sz w:val="20"/>
              </w:rPr>
              <w:t>(1.4)</w:t>
            </w:r>
          </w:p>
        </w:tc>
        <w:tc>
          <w:tcPr>
            <w:tcW w:w="1134" w:type="dxa"/>
          </w:tcPr>
          <w:p w14:paraId="06AD6624"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45342CFF" w14:textId="77777777" w:rsidR="007C5B19" w:rsidRPr="00806B7F" w:rsidRDefault="007C5B19" w:rsidP="00A369A1">
            <w:pPr>
              <w:jc w:val="center"/>
              <w:rPr>
                <w:rFonts w:ascii="Arial" w:hAnsi="Arial" w:cs="Arial"/>
                <w:sz w:val="20"/>
              </w:rPr>
            </w:pPr>
            <w:r w:rsidRPr="00806B7F">
              <w:rPr>
                <w:rFonts w:ascii="Arial" w:hAnsi="Arial" w:cs="Arial"/>
                <w:sz w:val="20"/>
              </w:rPr>
              <w:t>(0.7)</w:t>
            </w:r>
          </w:p>
        </w:tc>
        <w:tc>
          <w:tcPr>
            <w:tcW w:w="1134" w:type="dxa"/>
          </w:tcPr>
          <w:p w14:paraId="7DAF1C22" w14:textId="77777777" w:rsidR="007C5B19" w:rsidRPr="00806B7F" w:rsidRDefault="007C5B19" w:rsidP="00A369A1">
            <w:pPr>
              <w:jc w:val="center"/>
              <w:rPr>
                <w:rFonts w:ascii="Arial" w:hAnsi="Arial" w:cs="Arial"/>
                <w:sz w:val="20"/>
              </w:rPr>
            </w:pPr>
            <w:r w:rsidRPr="00806B7F">
              <w:rPr>
                <w:rFonts w:ascii="Arial" w:hAnsi="Arial" w:cs="Arial"/>
                <w:sz w:val="20"/>
              </w:rPr>
              <w:t>(0.7)</w:t>
            </w:r>
          </w:p>
        </w:tc>
      </w:tr>
    </w:tbl>
    <w:p w14:paraId="78FDDDE2" w14:textId="77777777" w:rsidR="007C5B19" w:rsidRPr="00806B7F" w:rsidRDefault="007C5B19" w:rsidP="007C5B19">
      <w:pPr>
        <w:jc w:val="both"/>
        <w:rPr>
          <w:rFonts w:ascii="Arial" w:hAnsi="Arial" w:cs="Arial"/>
          <w:sz w:val="20"/>
        </w:rPr>
      </w:pPr>
    </w:p>
    <w:p w14:paraId="3E36243B" w14:textId="77777777" w:rsidR="007C5B19" w:rsidRPr="00806B7F" w:rsidRDefault="007C5B19" w:rsidP="007C5B19">
      <w:pPr>
        <w:jc w:val="both"/>
        <w:rPr>
          <w:rFonts w:ascii="Arial" w:hAnsi="Arial" w:cs="Arial"/>
          <w:b/>
          <w:sz w:val="20"/>
        </w:rPr>
      </w:pPr>
      <w:r w:rsidRPr="00806B7F">
        <w:rPr>
          <w:rFonts w:ascii="Arial" w:hAnsi="Arial" w:cs="Arial"/>
          <w:b/>
          <w:sz w:val="20"/>
        </w:rPr>
        <w:t>Net Budget Requirement</w:t>
      </w:r>
    </w:p>
    <w:p w14:paraId="3E18D276" w14:textId="77777777" w:rsidR="007C5B19" w:rsidRPr="00806B7F" w:rsidRDefault="007C5B19" w:rsidP="007C5B19">
      <w:pPr>
        <w:jc w:val="both"/>
        <w:rPr>
          <w:rFonts w:ascii="Arial" w:hAnsi="Arial" w:cs="Arial"/>
          <w:sz w:val="20"/>
        </w:rPr>
      </w:pPr>
    </w:p>
    <w:p w14:paraId="594EC957" w14:textId="77777777" w:rsidR="007C5B19" w:rsidRPr="00806B7F" w:rsidRDefault="007C5B19" w:rsidP="007C5B19">
      <w:pPr>
        <w:jc w:val="both"/>
        <w:rPr>
          <w:rFonts w:ascii="Arial" w:hAnsi="Arial" w:cs="Arial"/>
          <w:sz w:val="20"/>
        </w:rPr>
      </w:pPr>
      <w:r w:rsidRPr="00806B7F">
        <w:rPr>
          <w:rFonts w:ascii="Arial" w:hAnsi="Arial" w:cs="Arial"/>
          <w:sz w:val="20"/>
        </w:rPr>
        <w:t>As set out above the overall net budget requirement for each year is as follows: -</w:t>
      </w:r>
    </w:p>
    <w:p w14:paraId="3E8EEB98" w14:textId="77777777" w:rsidR="007C5B19" w:rsidRPr="00806B7F" w:rsidRDefault="007C5B19" w:rsidP="007C5B19">
      <w:pPr>
        <w:jc w:val="both"/>
        <w:rPr>
          <w:rFonts w:ascii="Arial" w:hAnsi="Arial" w:cs="Arial"/>
          <w:sz w:val="20"/>
        </w:rPr>
      </w:pPr>
    </w:p>
    <w:p w14:paraId="0BF0E9A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10 Net Budget Requirement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76EAD7A0" w14:textId="77777777" w:rsidTr="00A369A1">
        <w:tc>
          <w:tcPr>
            <w:tcW w:w="4390" w:type="dxa"/>
          </w:tcPr>
          <w:p w14:paraId="344097CA" w14:textId="77777777" w:rsidR="007C5B19" w:rsidRPr="00806B7F" w:rsidRDefault="007C5B19" w:rsidP="00A369A1">
            <w:pPr>
              <w:jc w:val="both"/>
              <w:rPr>
                <w:rFonts w:ascii="Arial" w:hAnsi="Arial" w:cs="Arial"/>
                <w:sz w:val="20"/>
              </w:rPr>
            </w:pPr>
          </w:p>
        </w:tc>
        <w:tc>
          <w:tcPr>
            <w:tcW w:w="1134" w:type="dxa"/>
          </w:tcPr>
          <w:p w14:paraId="2D0BFE58"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40294744"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0A9FD89E"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3145E1DE"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60F6CB87"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4CEC7CFE" w14:textId="77777777" w:rsidTr="00A369A1">
        <w:tc>
          <w:tcPr>
            <w:tcW w:w="4390" w:type="dxa"/>
          </w:tcPr>
          <w:p w14:paraId="2A5F104F" w14:textId="77777777" w:rsidR="007C5B19" w:rsidRPr="00806B7F" w:rsidRDefault="007C5B19" w:rsidP="00A369A1">
            <w:pPr>
              <w:jc w:val="both"/>
              <w:rPr>
                <w:rFonts w:ascii="Arial" w:hAnsi="Arial" w:cs="Arial"/>
                <w:sz w:val="20"/>
                <w:highlight w:val="yellow"/>
              </w:rPr>
            </w:pPr>
          </w:p>
        </w:tc>
        <w:tc>
          <w:tcPr>
            <w:tcW w:w="1134" w:type="dxa"/>
          </w:tcPr>
          <w:p w14:paraId="1C0171DB"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E79992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19F548A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1F126A0"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B63C0E9"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6E1F8302" w14:textId="77777777" w:rsidTr="00A369A1">
        <w:tc>
          <w:tcPr>
            <w:tcW w:w="4390" w:type="dxa"/>
          </w:tcPr>
          <w:p w14:paraId="2783E7A7" w14:textId="77777777" w:rsidR="007C5B19" w:rsidRPr="00806B7F" w:rsidRDefault="007C5B19" w:rsidP="00A369A1">
            <w:pPr>
              <w:rPr>
                <w:rFonts w:ascii="Arial" w:hAnsi="Arial" w:cs="Arial"/>
                <w:snapToGrid w:val="0"/>
                <w:color w:val="000000"/>
                <w:sz w:val="20"/>
                <w:lang w:eastAsia="en-US"/>
              </w:rPr>
            </w:pPr>
            <w:r w:rsidRPr="00806B7F">
              <w:rPr>
                <w:rFonts w:ascii="Arial" w:hAnsi="Arial" w:cs="Arial"/>
                <w:snapToGrid w:val="0"/>
                <w:color w:val="000000"/>
                <w:sz w:val="20"/>
                <w:lang w:eastAsia="en-US"/>
              </w:rPr>
              <w:t>Draft Budget Requirement</w:t>
            </w:r>
          </w:p>
        </w:tc>
        <w:tc>
          <w:tcPr>
            <w:tcW w:w="1134" w:type="dxa"/>
          </w:tcPr>
          <w:p w14:paraId="0A5AC12C" w14:textId="77777777" w:rsidR="007C5B19" w:rsidRPr="00806B7F" w:rsidRDefault="007C5B19" w:rsidP="00A369A1">
            <w:pPr>
              <w:jc w:val="center"/>
              <w:rPr>
                <w:rFonts w:ascii="Arial" w:hAnsi="Arial" w:cs="Arial"/>
                <w:sz w:val="20"/>
              </w:rPr>
            </w:pPr>
            <w:r w:rsidRPr="00806B7F">
              <w:rPr>
                <w:rFonts w:ascii="Arial" w:hAnsi="Arial" w:cs="Arial"/>
                <w:sz w:val="20"/>
              </w:rPr>
              <w:t>68.5</w:t>
            </w:r>
          </w:p>
        </w:tc>
        <w:tc>
          <w:tcPr>
            <w:tcW w:w="1134" w:type="dxa"/>
          </w:tcPr>
          <w:p w14:paraId="56B15DBF" w14:textId="77777777" w:rsidR="007C5B19" w:rsidRPr="00806B7F" w:rsidRDefault="007C5B19" w:rsidP="00A369A1">
            <w:pPr>
              <w:jc w:val="center"/>
              <w:rPr>
                <w:rFonts w:ascii="Arial" w:hAnsi="Arial" w:cs="Arial"/>
                <w:sz w:val="20"/>
              </w:rPr>
            </w:pPr>
            <w:r w:rsidRPr="00806B7F">
              <w:rPr>
                <w:rFonts w:ascii="Arial" w:hAnsi="Arial" w:cs="Arial"/>
                <w:sz w:val="20"/>
              </w:rPr>
              <w:t>71.8</w:t>
            </w:r>
          </w:p>
        </w:tc>
        <w:tc>
          <w:tcPr>
            <w:tcW w:w="1134" w:type="dxa"/>
          </w:tcPr>
          <w:p w14:paraId="6D663B08" w14:textId="77777777" w:rsidR="007C5B19" w:rsidRPr="00806B7F" w:rsidRDefault="007C5B19" w:rsidP="00A369A1">
            <w:pPr>
              <w:jc w:val="center"/>
              <w:rPr>
                <w:rFonts w:ascii="Arial" w:hAnsi="Arial" w:cs="Arial"/>
                <w:sz w:val="20"/>
              </w:rPr>
            </w:pPr>
            <w:r w:rsidRPr="00806B7F">
              <w:rPr>
                <w:rFonts w:ascii="Arial" w:hAnsi="Arial" w:cs="Arial"/>
                <w:sz w:val="20"/>
              </w:rPr>
              <w:t>74.5</w:t>
            </w:r>
          </w:p>
        </w:tc>
        <w:tc>
          <w:tcPr>
            <w:tcW w:w="1134" w:type="dxa"/>
          </w:tcPr>
          <w:p w14:paraId="05F38929" w14:textId="77777777" w:rsidR="007C5B19" w:rsidRPr="00806B7F" w:rsidRDefault="007C5B19" w:rsidP="00A369A1">
            <w:pPr>
              <w:jc w:val="center"/>
              <w:rPr>
                <w:rFonts w:ascii="Arial" w:hAnsi="Arial" w:cs="Arial"/>
                <w:sz w:val="20"/>
              </w:rPr>
            </w:pPr>
            <w:r w:rsidRPr="00806B7F">
              <w:rPr>
                <w:rFonts w:ascii="Arial" w:hAnsi="Arial" w:cs="Arial"/>
                <w:sz w:val="20"/>
              </w:rPr>
              <w:t>76.6</w:t>
            </w:r>
          </w:p>
        </w:tc>
        <w:tc>
          <w:tcPr>
            <w:tcW w:w="1134" w:type="dxa"/>
          </w:tcPr>
          <w:p w14:paraId="6AE1A90F" w14:textId="77777777" w:rsidR="007C5B19" w:rsidRPr="00806B7F" w:rsidRDefault="007C5B19" w:rsidP="00A369A1">
            <w:pPr>
              <w:jc w:val="center"/>
              <w:rPr>
                <w:rFonts w:ascii="Arial" w:hAnsi="Arial" w:cs="Arial"/>
                <w:sz w:val="20"/>
              </w:rPr>
            </w:pPr>
            <w:r w:rsidRPr="00806B7F">
              <w:rPr>
                <w:rFonts w:ascii="Arial" w:hAnsi="Arial" w:cs="Arial"/>
                <w:sz w:val="20"/>
              </w:rPr>
              <w:t>78.9</w:t>
            </w:r>
          </w:p>
        </w:tc>
      </w:tr>
      <w:tr w:rsidR="007C5B19" w:rsidRPr="00806B7F" w14:paraId="50E9B0EC" w14:textId="77777777" w:rsidTr="00A369A1">
        <w:tc>
          <w:tcPr>
            <w:tcW w:w="4390" w:type="dxa"/>
          </w:tcPr>
          <w:p w14:paraId="49F1C68F" w14:textId="77777777" w:rsidR="007C5B19" w:rsidRPr="00806B7F" w:rsidRDefault="007C5B19" w:rsidP="00A369A1">
            <w:pPr>
              <w:jc w:val="both"/>
              <w:rPr>
                <w:rFonts w:ascii="Arial" w:hAnsi="Arial" w:cs="Arial"/>
                <w:sz w:val="20"/>
              </w:rPr>
            </w:pPr>
            <w:r w:rsidRPr="00806B7F">
              <w:rPr>
                <w:rFonts w:ascii="Arial" w:hAnsi="Arial" w:cs="Arial"/>
                <w:snapToGrid w:val="0"/>
                <w:color w:val="000000"/>
                <w:sz w:val="20"/>
                <w:lang w:eastAsia="en-US"/>
              </w:rPr>
              <w:t>Budget Increase</w:t>
            </w:r>
          </w:p>
        </w:tc>
        <w:tc>
          <w:tcPr>
            <w:tcW w:w="1134" w:type="dxa"/>
            <w:vAlign w:val="bottom"/>
          </w:tcPr>
          <w:p w14:paraId="5B5B25E7" w14:textId="77777777" w:rsidR="007C5B19" w:rsidRPr="00806B7F" w:rsidRDefault="007C5B19" w:rsidP="00A369A1">
            <w:pPr>
              <w:jc w:val="center"/>
              <w:rPr>
                <w:rFonts w:ascii="Arial" w:hAnsi="Arial" w:cs="Arial"/>
                <w:sz w:val="20"/>
              </w:rPr>
            </w:pPr>
            <w:r w:rsidRPr="00806B7F">
              <w:rPr>
                <w:rFonts w:ascii="Arial" w:hAnsi="Arial" w:cs="Arial"/>
                <w:sz w:val="20"/>
              </w:rPr>
              <w:t>8.7%</w:t>
            </w:r>
          </w:p>
        </w:tc>
        <w:tc>
          <w:tcPr>
            <w:tcW w:w="1134" w:type="dxa"/>
            <w:vAlign w:val="bottom"/>
          </w:tcPr>
          <w:p w14:paraId="52C9F379" w14:textId="77777777" w:rsidR="007C5B19" w:rsidRPr="00806B7F" w:rsidRDefault="007C5B19" w:rsidP="00A369A1">
            <w:pPr>
              <w:jc w:val="center"/>
              <w:rPr>
                <w:rFonts w:ascii="Arial" w:hAnsi="Arial" w:cs="Arial"/>
                <w:sz w:val="20"/>
              </w:rPr>
            </w:pPr>
            <w:r w:rsidRPr="00806B7F">
              <w:rPr>
                <w:rFonts w:ascii="Arial" w:hAnsi="Arial" w:cs="Arial"/>
                <w:sz w:val="20"/>
              </w:rPr>
              <w:t>4.8%</w:t>
            </w:r>
          </w:p>
        </w:tc>
        <w:tc>
          <w:tcPr>
            <w:tcW w:w="1134" w:type="dxa"/>
            <w:vAlign w:val="bottom"/>
          </w:tcPr>
          <w:p w14:paraId="288E39A8" w14:textId="77777777" w:rsidR="007C5B19" w:rsidRPr="00806B7F" w:rsidRDefault="007C5B19" w:rsidP="00A369A1">
            <w:pPr>
              <w:jc w:val="center"/>
              <w:rPr>
                <w:rFonts w:ascii="Arial" w:hAnsi="Arial" w:cs="Arial"/>
                <w:sz w:val="20"/>
              </w:rPr>
            </w:pPr>
            <w:r w:rsidRPr="00806B7F">
              <w:rPr>
                <w:rFonts w:ascii="Arial" w:hAnsi="Arial" w:cs="Arial"/>
                <w:sz w:val="20"/>
              </w:rPr>
              <w:t>3.9%</w:t>
            </w:r>
          </w:p>
        </w:tc>
        <w:tc>
          <w:tcPr>
            <w:tcW w:w="1134" w:type="dxa"/>
            <w:vAlign w:val="bottom"/>
          </w:tcPr>
          <w:p w14:paraId="7346AD8E" w14:textId="77777777" w:rsidR="007C5B19" w:rsidRPr="00806B7F" w:rsidRDefault="007C5B19" w:rsidP="00A369A1">
            <w:pPr>
              <w:jc w:val="center"/>
              <w:rPr>
                <w:rFonts w:ascii="Arial" w:hAnsi="Arial" w:cs="Arial"/>
                <w:sz w:val="20"/>
              </w:rPr>
            </w:pPr>
            <w:r w:rsidRPr="00806B7F">
              <w:rPr>
                <w:rFonts w:ascii="Arial" w:hAnsi="Arial" w:cs="Arial"/>
                <w:sz w:val="20"/>
              </w:rPr>
              <w:t>2.8%</w:t>
            </w:r>
          </w:p>
        </w:tc>
        <w:tc>
          <w:tcPr>
            <w:tcW w:w="1134" w:type="dxa"/>
            <w:vAlign w:val="bottom"/>
          </w:tcPr>
          <w:p w14:paraId="797D2462" w14:textId="77777777" w:rsidR="007C5B19" w:rsidRPr="00806B7F" w:rsidRDefault="007C5B19" w:rsidP="00A369A1">
            <w:pPr>
              <w:jc w:val="center"/>
              <w:rPr>
                <w:rFonts w:ascii="Arial" w:hAnsi="Arial" w:cs="Arial"/>
                <w:sz w:val="20"/>
              </w:rPr>
            </w:pPr>
            <w:r w:rsidRPr="00806B7F">
              <w:rPr>
                <w:rFonts w:ascii="Arial" w:hAnsi="Arial" w:cs="Arial"/>
                <w:sz w:val="20"/>
              </w:rPr>
              <w:t>2.9%</w:t>
            </w:r>
          </w:p>
        </w:tc>
      </w:tr>
    </w:tbl>
    <w:p w14:paraId="3035282D" w14:textId="77777777" w:rsidR="007C5B19" w:rsidRPr="00806B7F" w:rsidRDefault="007C5B19" w:rsidP="007C5B19">
      <w:pPr>
        <w:jc w:val="both"/>
        <w:rPr>
          <w:rFonts w:ascii="Arial" w:hAnsi="Arial" w:cs="Arial"/>
          <w:sz w:val="20"/>
        </w:rPr>
      </w:pPr>
    </w:p>
    <w:p w14:paraId="01E37F71" w14:textId="012AB8EA" w:rsidR="00806B7F" w:rsidRDefault="00806B7F" w:rsidP="00806B7F">
      <w:pPr>
        <w:jc w:val="both"/>
        <w:rPr>
          <w:rFonts w:ascii="Arial" w:hAnsi="Arial" w:cs="Arial"/>
          <w:b/>
          <w:sz w:val="20"/>
        </w:rPr>
      </w:pPr>
      <w:r w:rsidRPr="00806B7F">
        <w:rPr>
          <w:rFonts w:ascii="Arial" w:hAnsi="Arial" w:cs="Arial"/>
          <w:b/>
          <w:sz w:val="20"/>
        </w:rPr>
        <w:t>Proposed Budget Requirement</w:t>
      </w:r>
    </w:p>
    <w:p w14:paraId="5F04A40D" w14:textId="77777777" w:rsidR="00806B7F" w:rsidRPr="00806B7F" w:rsidRDefault="00806B7F" w:rsidP="00806B7F">
      <w:pPr>
        <w:jc w:val="both"/>
        <w:rPr>
          <w:rFonts w:ascii="Arial" w:hAnsi="Arial" w:cs="Arial"/>
          <w:b/>
          <w:sz w:val="20"/>
        </w:rPr>
      </w:pPr>
    </w:p>
    <w:p w14:paraId="0F9CC621" w14:textId="5D8B2459" w:rsidR="00806B7F" w:rsidRPr="00806B7F" w:rsidRDefault="00806B7F" w:rsidP="00806B7F">
      <w:pPr>
        <w:jc w:val="both"/>
        <w:rPr>
          <w:rFonts w:ascii="Arial" w:hAnsi="Arial" w:cs="Arial"/>
          <w:sz w:val="20"/>
        </w:rPr>
      </w:pPr>
      <w:proofErr w:type="gramStart"/>
      <w:r>
        <w:rPr>
          <w:rFonts w:ascii="Arial" w:hAnsi="Arial" w:cs="Arial"/>
          <w:sz w:val="20"/>
        </w:rPr>
        <w:t>In order to</w:t>
      </w:r>
      <w:proofErr w:type="gramEnd"/>
      <w:r>
        <w:rPr>
          <w:rFonts w:ascii="Arial" w:hAnsi="Arial" w:cs="Arial"/>
          <w:sz w:val="20"/>
        </w:rPr>
        <w:t xml:space="preserve"> balance to available funding in 2023/24 a further £0.3m of budget reductions are required, as referred to later in the report. This gives a revised budget requirement in 202/24 of £68.2m.</w:t>
      </w:r>
      <w:r w:rsidRPr="00806B7F">
        <w:rPr>
          <w:rFonts w:ascii="Arial" w:hAnsi="Arial" w:cs="Arial"/>
          <w:sz w:val="20"/>
        </w:rPr>
        <w:t>: -</w:t>
      </w:r>
    </w:p>
    <w:p w14:paraId="0C699CB0" w14:textId="77777777" w:rsidR="00806B7F" w:rsidRPr="00806B7F" w:rsidRDefault="00806B7F" w:rsidP="00806B7F">
      <w:pPr>
        <w:jc w:val="both"/>
        <w:rPr>
          <w:rFonts w:ascii="Arial" w:hAnsi="Arial" w:cs="Arial"/>
          <w:sz w:val="20"/>
        </w:rPr>
      </w:pPr>
    </w:p>
    <w:p w14:paraId="4AACB4FF" w14:textId="4DAC1CF5" w:rsidR="00806B7F" w:rsidRPr="00806B7F" w:rsidRDefault="00806B7F" w:rsidP="00806B7F">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w:t>
      </w:r>
      <w:r>
        <w:rPr>
          <w:rFonts w:ascii="Arial" w:eastAsia="Calibri" w:hAnsi="Arial" w:cs="Arial"/>
          <w:i/>
          <w:iCs/>
          <w:color w:val="44546A"/>
          <w:sz w:val="20"/>
          <w:lang w:eastAsia="en-US"/>
        </w:rPr>
        <w:t>1</w:t>
      </w:r>
      <w:r w:rsidRPr="00806B7F">
        <w:rPr>
          <w:rFonts w:ascii="Arial" w:eastAsia="Calibri" w:hAnsi="Arial" w:cs="Arial"/>
          <w:i/>
          <w:iCs/>
          <w:color w:val="44546A"/>
          <w:sz w:val="20"/>
          <w:lang w:eastAsia="en-US"/>
        </w:rPr>
        <w:t xml:space="preserve"> </w:t>
      </w:r>
      <w:r>
        <w:rPr>
          <w:rFonts w:ascii="Arial" w:eastAsia="Calibri" w:hAnsi="Arial" w:cs="Arial"/>
          <w:i/>
          <w:iCs/>
          <w:color w:val="44546A"/>
          <w:sz w:val="20"/>
          <w:lang w:eastAsia="en-US"/>
        </w:rPr>
        <w:t xml:space="preserve">Proposed </w:t>
      </w:r>
      <w:r w:rsidRPr="00806B7F">
        <w:rPr>
          <w:rFonts w:ascii="Arial" w:eastAsia="Calibri" w:hAnsi="Arial" w:cs="Arial"/>
          <w:i/>
          <w:iCs/>
          <w:color w:val="44546A"/>
          <w:sz w:val="20"/>
          <w:lang w:eastAsia="en-US"/>
        </w:rPr>
        <w:t>Budget Requirement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806B7F" w:rsidRPr="00806B7F" w14:paraId="751BAF38" w14:textId="77777777" w:rsidTr="00A369A1">
        <w:tc>
          <w:tcPr>
            <w:tcW w:w="4390" w:type="dxa"/>
          </w:tcPr>
          <w:p w14:paraId="5EA88928" w14:textId="77777777" w:rsidR="00806B7F" w:rsidRPr="00806B7F" w:rsidRDefault="00806B7F" w:rsidP="00A369A1">
            <w:pPr>
              <w:jc w:val="both"/>
              <w:rPr>
                <w:rFonts w:ascii="Arial" w:hAnsi="Arial" w:cs="Arial"/>
                <w:sz w:val="20"/>
              </w:rPr>
            </w:pPr>
          </w:p>
        </w:tc>
        <w:tc>
          <w:tcPr>
            <w:tcW w:w="1134" w:type="dxa"/>
          </w:tcPr>
          <w:p w14:paraId="02A29A4D" w14:textId="77777777" w:rsidR="00806B7F" w:rsidRPr="00806B7F" w:rsidRDefault="00806B7F" w:rsidP="00A369A1">
            <w:pPr>
              <w:jc w:val="center"/>
              <w:rPr>
                <w:rFonts w:ascii="Arial" w:hAnsi="Arial" w:cs="Arial"/>
                <w:sz w:val="20"/>
              </w:rPr>
            </w:pPr>
            <w:r w:rsidRPr="00806B7F">
              <w:rPr>
                <w:rFonts w:ascii="Arial" w:hAnsi="Arial" w:cs="Arial"/>
                <w:sz w:val="20"/>
              </w:rPr>
              <w:t>2023/24</w:t>
            </w:r>
          </w:p>
        </w:tc>
        <w:tc>
          <w:tcPr>
            <w:tcW w:w="1134" w:type="dxa"/>
          </w:tcPr>
          <w:p w14:paraId="33063C7D" w14:textId="77777777" w:rsidR="00806B7F" w:rsidRPr="00806B7F" w:rsidRDefault="00806B7F" w:rsidP="00A369A1">
            <w:pPr>
              <w:jc w:val="center"/>
              <w:rPr>
                <w:rFonts w:ascii="Arial" w:hAnsi="Arial" w:cs="Arial"/>
                <w:sz w:val="20"/>
              </w:rPr>
            </w:pPr>
            <w:r w:rsidRPr="00806B7F">
              <w:rPr>
                <w:rFonts w:ascii="Arial" w:hAnsi="Arial" w:cs="Arial"/>
                <w:sz w:val="20"/>
              </w:rPr>
              <w:t>2024/25</w:t>
            </w:r>
          </w:p>
        </w:tc>
        <w:tc>
          <w:tcPr>
            <w:tcW w:w="1134" w:type="dxa"/>
          </w:tcPr>
          <w:p w14:paraId="114B49F4" w14:textId="77777777" w:rsidR="00806B7F" w:rsidRPr="00806B7F" w:rsidRDefault="00806B7F" w:rsidP="00A369A1">
            <w:pPr>
              <w:jc w:val="center"/>
              <w:rPr>
                <w:rFonts w:ascii="Arial" w:hAnsi="Arial" w:cs="Arial"/>
                <w:sz w:val="20"/>
              </w:rPr>
            </w:pPr>
            <w:r w:rsidRPr="00806B7F">
              <w:rPr>
                <w:rFonts w:ascii="Arial" w:hAnsi="Arial" w:cs="Arial"/>
                <w:sz w:val="20"/>
              </w:rPr>
              <w:t>2025/26</w:t>
            </w:r>
          </w:p>
        </w:tc>
        <w:tc>
          <w:tcPr>
            <w:tcW w:w="1134" w:type="dxa"/>
          </w:tcPr>
          <w:p w14:paraId="1060C526" w14:textId="77777777" w:rsidR="00806B7F" w:rsidRPr="00806B7F" w:rsidRDefault="00806B7F" w:rsidP="00A369A1">
            <w:pPr>
              <w:jc w:val="center"/>
              <w:rPr>
                <w:rFonts w:ascii="Arial" w:hAnsi="Arial" w:cs="Arial"/>
                <w:sz w:val="20"/>
              </w:rPr>
            </w:pPr>
            <w:r w:rsidRPr="00806B7F">
              <w:rPr>
                <w:rFonts w:ascii="Arial" w:hAnsi="Arial" w:cs="Arial"/>
                <w:sz w:val="20"/>
              </w:rPr>
              <w:t>2026/27</w:t>
            </w:r>
          </w:p>
        </w:tc>
        <w:tc>
          <w:tcPr>
            <w:tcW w:w="1134" w:type="dxa"/>
          </w:tcPr>
          <w:p w14:paraId="6B77FC6C" w14:textId="77777777" w:rsidR="00806B7F" w:rsidRPr="00806B7F" w:rsidRDefault="00806B7F" w:rsidP="00A369A1">
            <w:pPr>
              <w:jc w:val="center"/>
              <w:rPr>
                <w:rFonts w:ascii="Arial" w:hAnsi="Arial" w:cs="Arial"/>
                <w:sz w:val="20"/>
              </w:rPr>
            </w:pPr>
            <w:r w:rsidRPr="00806B7F">
              <w:rPr>
                <w:rFonts w:ascii="Arial" w:hAnsi="Arial" w:cs="Arial"/>
                <w:sz w:val="20"/>
              </w:rPr>
              <w:t>2027/28</w:t>
            </w:r>
          </w:p>
        </w:tc>
      </w:tr>
      <w:tr w:rsidR="00806B7F" w:rsidRPr="00806B7F" w14:paraId="17BFAFED" w14:textId="77777777" w:rsidTr="00A369A1">
        <w:tc>
          <w:tcPr>
            <w:tcW w:w="4390" w:type="dxa"/>
          </w:tcPr>
          <w:p w14:paraId="421DFE71" w14:textId="77777777" w:rsidR="00806B7F" w:rsidRPr="00806B7F" w:rsidRDefault="00806B7F" w:rsidP="00A369A1">
            <w:pPr>
              <w:jc w:val="both"/>
              <w:rPr>
                <w:rFonts w:ascii="Arial" w:hAnsi="Arial" w:cs="Arial"/>
                <w:sz w:val="20"/>
                <w:highlight w:val="yellow"/>
              </w:rPr>
            </w:pPr>
          </w:p>
        </w:tc>
        <w:tc>
          <w:tcPr>
            <w:tcW w:w="1134" w:type="dxa"/>
          </w:tcPr>
          <w:p w14:paraId="13B6FBB6" w14:textId="77777777" w:rsidR="00806B7F" w:rsidRPr="00806B7F" w:rsidRDefault="00806B7F" w:rsidP="00A369A1">
            <w:pPr>
              <w:jc w:val="center"/>
              <w:rPr>
                <w:rFonts w:ascii="Arial" w:hAnsi="Arial" w:cs="Arial"/>
                <w:sz w:val="20"/>
              </w:rPr>
            </w:pPr>
            <w:r w:rsidRPr="00806B7F">
              <w:rPr>
                <w:rFonts w:ascii="Arial" w:hAnsi="Arial" w:cs="Arial"/>
                <w:sz w:val="20"/>
              </w:rPr>
              <w:t>£m</w:t>
            </w:r>
          </w:p>
        </w:tc>
        <w:tc>
          <w:tcPr>
            <w:tcW w:w="1134" w:type="dxa"/>
          </w:tcPr>
          <w:p w14:paraId="6DE3339B" w14:textId="77777777" w:rsidR="00806B7F" w:rsidRPr="00806B7F" w:rsidRDefault="00806B7F" w:rsidP="00A369A1">
            <w:pPr>
              <w:jc w:val="center"/>
              <w:rPr>
                <w:rFonts w:ascii="Arial" w:hAnsi="Arial" w:cs="Arial"/>
                <w:sz w:val="20"/>
              </w:rPr>
            </w:pPr>
            <w:r w:rsidRPr="00806B7F">
              <w:rPr>
                <w:rFonts w:ascii="Arial" w:hAnsi="Arial" w:cs="Arial"/>
                <w:sz w:val="20"/>
              </w:rPr>
              <w:t>£m</w:t>
            </w:r>
          </w:p>
        </w:tc>
        <w:tc>
          <w:tcPr>
            <w:tcW w:w="1134" w:type="dxa"/>
          </w:tcPr>
          <w:p w14:paraId="403FADE1" w14:textId="77777777" w:rsidR="00806B7F" w:rsidRPr="00806B7F" w:rsidRDefault="00806B7F" w:rsidP="00A369A1">
            <w:pPr>
              <w:jc w:val="center"/>
              <w:rPr>
                <w:rFonts w:ascii="Arial" w:hAnsi="Arial" w:cs="Arial"/>
                <w:sz w:val="20"/>
              </w:rPr>
            </w:pPr>
            <w:r w:rsidRPr="00806B7F">
              <w:rPr>
                <w:rFonts w:ascii="Arial" w:hAnsi="Arial" w:cs="Arial"/>
                <w:sz w:val="20"/>
              </w:rPr>
              <w:t>£m</w:t>
            </w:r>
          </w:p>
        </w:tc>
        <w:tc>
          <w:tcPr>
            <w:tcW w:w="1134" w:type="dxa"/>
          </w:tcPr>
          <w:p w14:paraId="65FE7238" w14:textId="77777777" w:rsidR="00806B7F" w:rsidRPr="00806B7F" w:rsidRDefault="00806B7F" w:rsidP="00A369A1">
            <w:pPr>
              <w:jc w:val="center"/>
              <w:rPr>
                <w:rFonts w:ascii="Arial" w:hAnsi="Arial" w:cs="Arial"/>
                <w:sz w:val="20"/>
              </w:rPr>
            </w:pPr>
            <w:r w:rsidRPr="00806B7F">
              <w:rPr>
                <w:rFonts w:ascii="Arial" w:hAnsi="Arial" w:cs="Arial"/>
                <w:sz w:val="20"/>
              </w:rPr>
              <w:t>£m</w:t>
            </w:r>
          </w:p>
        </w:tc>
        <w:tc>
          <w:tcPr>
            <w:tcW w:w="1134" w:type="dxa"/>
          </w:tcPr>
          <w:p w14:paraId="6D70B43E" w14:textId="77777777" w:rsidR="00806B7F" w:rsidRPr="00806B7F" w:rsidRDefault="00806B7F" w:rsidP="00A369A1">
            <w:pPr>
              <w:jc w:val="center"/>
              <w:rPr>
                <w:rFonts w:ascii="Arial" w:hAnsi="Arial" w:cs="Arial"/>
                <w:sz w:val="20"/>
              </w:rPr>
            </w:pPr>
            <w:r w:rsidRPr="00806B7F">
              <w:rPr>
                <w:rFonts w:ascii="Arial" w:hAnsi="Arial" w:cs="Arial"/>
                <w:sz w:val="20"/>
              </w:rPr>
              <w:t>£m</w:t>
            </w:r>
          </w:p>
        </w:tc>
      </w:tr>
      <w:tr w:rsidR="00806B7F" w:rsidRPr="00806B7F" w14:paraId="46A47796" w14:textId="77777777" w:rsidTr="00A369A1">
        <w:tc>
          <w:tcPr>
            <w:tcW w:w="4390" w:type="dxa"/>
          </w:tcPr>
          <w:p w14:paraId="2FCCE540" w14:textId="77777777" w:rsidR="00806B7F" w:rsidRPr="00806B7F" w:rsidRDefault="00806B7F" w:rsidP="00A369A1">
            <w:pPr>
              <w:rPr>
                <w:rFonts w:ascii="Arial" w:hAnsi="Arial" w:cs="Arial"/>
                <w:snapToGrid w:val="0"/>
                <w:color w:val="000000"/>
                <w:sz w:val="20"/>
                <w:lang w:eastAsia="en-US"/>
              </w:rPr>
            </w:pPr>
            <w:r w:rsidRPr="00806B7F">
              <w:rPr>
                <w:rFonts w:ascii="Arial" w:hAnsi="Arial" w:cs="Arial"/>
                <w:snapToGrid w:val="0"/>
                <w:color w:val="000000"/>
                <w:sz w:val="20"/>
                <w:lang w:eastAsia="en-US"/>
              </w:rPr>
              <w:t>Draft Budget Requirement</w:t>
            </w:r>
          </w:p>
        </w:tc>
        <w:tc>
          <w:tcPr>
            <w:tcW w:w="1134" w:type="dxa"/>
          </w:tcPr>
          <w:p w14:paraId="62838D08" w14:textId="254280D8" w:rsidR="00806B7F" w:rsidRPr="00806B7F" w:rsidRDefault="00806B7F" w:rsidP="00A369A1">
            <w:pPr>
              <w:jc w:val="center"/>
              <w:rPr>
                <w:rFonts w:ascii="Arial" w:hAnsi="Arial" w:cs="Arial"/>
                <w:sz w:val="20"/>
              </w:rPr>
            </w:pPr>
            <w:r w:rsidRPr="00806B7F">
              <w:rPr>
                <w:rFonts w:ascii="Arial" w:hAnsi="Arial" w:cs="Arial"/>
                <w:sz w:val="20"/>
              </w:rPr>
              <w:t>68.</w:t>
            </w:r>
            <w:r>
              <w:rPr>
                <w:rFonts w:ascii="Arial" w:hAnsi="Arial" w:cs="Arial"/>
                <w:sz w:val="20"/>
              </w:rPr>
              <w:t>5</w:t>
            </w:r>
          </w:p>
        </w:tc>
        <w:tc>
          <w:tcPr>
            <w:tcW w:w="1134" w:type="dxa"/>
          </w:tcPr>
          <w:p w14:paraId="6BC6625E" w14:textId="77777777" w:rsidR="00806B7F" w:rsidRPr="00806B7F" w:rsidRDefault="00806B7F" w:rsidP="00A369A1">
            <w:pPr>
              <w:jc w:val="center"/>
              <w:rPr>
                <w:rFonts w:ascii="Arial" w:hAnsi="Arial" w:cs="Arial"/>
                <w:sz w:val="20"/>
              </w:rPr>
            </w:pPr>
            <w:r w:rsidRPr="00806B7F">
              <w:rPr>
                <w:rFonts w:ascii="Arial" w:hAnsi="Arial" w:cs="Arial"/>
                <w:sz w:val="20"/>
              </w:rPr>
              <w:t>71.8</w:t>
            </w:r>
          </w:p>
        </w:tc>
        <w:tc>
          <w:tcPr>
            <w:tcW w:w="1134" w:type="dxa"/>
          </w:tcPr>
          <w:p w14:paraId="34B890A8" w14:textId="77777777" w:rsidR="00806B7F" w:rsidRPr="00806B7F" w:rsidRDefault="00806B7F" w:rsidP="00A369A1">
            <w:pPr>
              <w:jc w:val="center"/>
              <w:rPr>
                <w:rFonts w:ascii="Arial" w:hAnsi="Arial" w:cs="Arial"/>
                <w:sz w:val="20"/>
              </w:rPr>
            </w:pPr>
            <w:r w:rsidRPr="00806B7F">
              <w:rPr>
                <w:rFonts w:ascii="Arial" w:hAnsi="Arial" w:cs="Arial"/>
                <w:sz w:val="20"/>
              </w:rPr>
              <w:t>74.5</w:t>
            </w:r>
          </w:p>
        </w:tc>
        <w:tc>
          <w:tcPr>
            <w:tcW w:w="1134" w:type="dxa"/>
          </w:tcPr>
          <w:p w14:paraId="27925513" w14:textId="77777777" w:rsidR="00806B7F" w:rsidRPr="00806B7F" w:rsidRDefault="00806B7F" w:rsidP="00A369A1">
            <w:pPr>
              <w:jc w:val="center"/>
              <w:rPr>
                <w:rFonts w:ascii="Arial" w:hAnsi="Arial" w:cs="Arial"/>
                <w:sz w:val="20"/>
              </w:rPr>
            </w:pPr>
            <w:r w:rsidRPr="00806B7F">
              <w:rPr>
                <w:rFonts w:ascii="Arial" w:hAnsi="Arial" w:cs="Arial"/>
                <w:sz w:val="20"/>
              </w:rPr>
              <w:t>76.6</w:t>
            </w:r>
          </w:p>
        </w:tc>
        <w:tc>
          <w:tcPr>
            <w:tcW w:w="1134" w:type="dxa"/>
          </w:tcPr>
          <w:p w14:paraId="33D67DCA" w14:textId="77777777" w:rsidR="00806B7F" w:rsidRPr="00806B7F" w:rsidRDefault="00806B7F" w:rsidP="00A369A1">
            <w:pPr>
              <w:jc w:val="center"/>
              <w:rPr>
                <w:rFonts w:ascii="Arial" w:hAnsi="Arial" w:cs="Arial"/>
                <w:sz w:val="20"/>
              </w:rPr>
            </w:pPr>
            <w:r w:rsidRPr="00806B7F">
              <w:rPr>
                <w:rFonts w:ascii="Arial" w:hAnsi="Arial" w:cs="Arial"/>
                <w:sz w:val="20"/>
              </w:rPr>
              <w:t>78.9</w:t>
            </w:r>
          </w:p>
        </w:tc>
      </w:tr>
      <w:tr w:rsidR="00806B7F" w:rsidRPr="00806B7F" w14:paraId="74A1458D" w14:textId="77777777" w:rsidTr="00A369A1">
        <w:tc>
          <w:tcPr>
            <w:tcW w:w="4390" w:type="dxa"/>
          </w:tcPr>
          <w:p w14:paraId="380CA907" w14:textId="7CB08196" w:rsidR="00806B7F" w:rsidRPr="00806B7F" w:rsidRDefault="00806B7F" w:rsidP="00A369A1">
            <w:pPr>
              <w:rPr>
                <w:rFonts w:ascii="Arial" w:hAnsi="Arial" w:cs="Arial"/>
                <w:snapToGrid w:val="0"/>
                <w:color w:val="000000"/>
                <w:sz w:val="20"/>
                <w:lang w:eastAsia="en-US"/>
              </w:rPr>
            </w:pPr>
            <w:r>
              <w:rPr>
                <w:rFonts w:ascii="Arial" w:hAnsi="Arial" w:cs="Arial"/>
                <w:snapToGrid w:val="0"/>
                <w:color w:val="000000"/>
                <w:sz w:val="20"/>
                <w:lang w:eastAsia="en-US"/>
              </w:rPr>
              <w:t>Additional Saving/drawdown of reserve</w:t>
            </w:r>
          </w:p>
        </w:tc>
        <w:tc>
          <w:tcPr>
            <w:tcW w:w="1134" w:type="dxa"/>
          </w:tcPr>
          <w:p w14:paraId="58BD4383" w14:textId="53E34BF0" w:rsidR="00806B7F" w:rsidRPr="00806B7F" w:rsidRDefault="00806B7F" w:rsidP="00A369A1">
            <w:pPr>
              <w:jc w:val="center"/>
              <w:rPr>
                <w:rFonts w:ascii="Arial" w:hAnsi="Arial" w:cs="Arial"/>
                <w:sz w:val="20"/>
              </w:rPr>
            </w:pPr>
            <w:r>
              <w:rPr>
                <w:rFonts w:ascii="Arial" w:hAnsi="Arial" w:cs="Arial"/>
                <w:sz w:val="20"/>
              </w:rPr>
              <w:t>(0.3)</w:t>
            </w:r>
          </w:p>
        </w:tc>
        <w:tc>
          <w:tcPr>
            <w:tcW w:w="1134" w:type="dxa"/>
          </w:tcPr>
          <w:p w14:paraId="6FD3EDDA" w14:textId="2ECC65EF" w:rsidR="00806B7F" w:rsidRPr="00806B7F" w:rsidRDefault="00806B7F" w:rsidP="00A369A1">
            <w:pPr>
              <w:jc w:val="center"/>
              <w:rPr>
                <w:rFonts w:ascii="Arial" w:hAnsi="Arial" w:cs="Arial"/>
                <w:sz w:val="20"/>
              </w:rPr>
            </w:pPr>
            <w:r>
              <w:rPr>
                <w:rFonts w:ascii="Arial" w:hAnsi="Arial" w:cs="Arial"/>
                <w:sz w:val="20"/>
              </w:rPr>
              <w:t>-</w:t>
            </w:r>
          </w:p>
        </w:tc>
        <w:tc>
          <w:tcPr>
            <w:tcW w:w="1134" w:type="dxa"/>
          </w:tcPr>
          <w:p w14:paraId="3058A84D" w14:textId="726F4389" w:rsidR="00806B7F" w:rsidRPr="00806B7F" w:rsidRDefault="00806B7F" w:rsidP="00A369A1">
            <w:pPr>
              <w:jc w:val="center"/>
              <w:rPr>
                <w:rFonts w:ascii="Arial" w:hAnsi="Arial" w:cs="Arial"/>
                <w:sz w:val="20"/>
              </w:rPr>
            </w:pPr>
            <w:r>
              <w:rPr>
                <w:rFonts w:ascii="Arial" w:hAnsi="Arial" w:cs="Arial"/>
                <w:sz w:val="20"/>
              </w:rPr>
              <w:t>-</w:t>
            </w:r>
          </w:p>
        </w:tc>
        <w:tc>
          <w:tcPr>
            <w:tcW w:w="1134" w:type="dxa"/>
          </w:tcPr>
          <w:p w14:paraId="543D5F39" w14:textId="317EC413" w:rsidR="00806B7F" w:rsidRPr="00806B7F" w:rsidRDefault="00806B7F" w:rsidP="00A369A1">
            <w:pPr>
              <w:jc w:val="center"/>
              <w:rPr>
                <w:rFonts w:ascii="Arial" w:hAnsi="Arial" w:cs="Arial"/>
                <w:sz w:val="20"/>
              </w:rPr>
            </w:pPr>
            <w:r>
              <w:rPr>
                <w:rFonts w:ascii="Arial" w:hAnsi="Arial" w:cs="Arial"/>
                <w:sz w:val="20"/>
              </w:rPr>
              <w:t>-</w:t>
            </w:r>
          </w:p>
        </w:tc>
        <w:tc>
          <w:tcPr>
            <w:tcW w:w="1134" w:type="dxa"/>
          </w:tcPr>
          <w:p w14:paraId="517AF1F6" w14:textId="6734D68E" w:rsidR="00806B7F" w:rsidRPr="00806B7F" w:rsidRDefault="00806B7F" w:rsidP="00A369A1">
            <w:pPr>
              <w:jc w:val="center"/>
              <w:rPr>
                <w:rFonts w:ascii="Arial" w:hAnsi="Arial" w:cs="Arial"/>
                <w:sz w:val="20"/>
              </w:rPr>
            </w:pPr>
            <w:r>
              <w:rPr>
                <w:rFonts w:ascii="Arial" w:hAnsi="Arial" w:cs="Arial"/>
                <w:sz w:val="20"/>
              </w:rPr>
              <w:t>-</w:t>
            </w:r>
          </w:p>
        </w:tc>
      </w:tr>
      <w:tr w:rsidR="00806B7F" w:rsidRPr="00806B7F" w14:paraId="1A950C0E" w14:textId="77777777" w:rsidTr="00846CEB">
        <w:tc>
          <w:tcPr>
            <w:tcW w:w="4390" w:type="dxa"/>
          </w:tcPr>
          <w:p w14:paraId="1D4C84FA" w14:textId="3B59B4DF" w:rsidR="00806B7F" w:rsidRPr="00806B7F" w:rsidRDefault="00806B7F" w:rsidP="00806B7F">
            <w:pPr>
              <w:jc w:val="both"/>
              <w:rPr>
                <w:rFonts w:ascii="Arial" w:hAnsi="Arial" w:cs="Arial"/>
                <w:snapToGrid w:val="0"/>
                <w:color w:val="000000"/>
                <w:sz w:val="20"/>
                <w:lang w:eastAsia="en-US"/>
              </w:rPr>
            </w:pPr>
            <w:r>
              <w:rPr>
                <w:rFonts w:ascii="Arial" w:hAnsi="Arial" w:cs="Arial"/>
                <w:snapToGrid w:val="0"/>
                <w:color w:val="000000"/>
                <w:sz w:val="20"/>
                <w:lang w:eastAsia="en-US"/>
              </w:rPr>
              <w:t>Final Proposed Budget</w:t>
            </w:r>
          </w:p>
        </w:tc>
        <w:tc>
          <w:tcPr>
            <w:tcW w:w="1134" w:type="dxa"/>
            <w:vAlign w:val="bottom"/>
          </w:tcPr>
          <w:p w14:paraId="1B9630E1" w14:textId="5C7CC97D" w:rsidR="00806B7F" w:rsidRPr="00806B7F" w:rsidRDefault="00806B7F" w:rsidP="00806B7F">
            <w:pPr>
              <w:jc w:val="center"/>
              <w:rPr>
                <w:rFonts w:ascii="Arial" w:hAnsi="Arial" w:cs="Arial"/>
                <w:sz w:val="20"/>
              </w:rPr>
            </w:pPr>
            <w:r>
              <w:rPr>
                <w:rFonts w:ascii="Arial" w:hAnsi="Arial" w:cs="Arial"/>
                <w:sz w:val="20"/>
              </w:rPr>
              <w:t>68.2</w:t>
            </w:r>
          </w:p>
        </w:tc>
        <w:tc>
          <w:tcPr>
            <w:tcW w:w="1134" w:type="dxa"/>
          </w:tcPr>
          <w:p w14:paraId="6BDDFB35" w14:textId="35450B42" w:rsidR="00806B7F" w:rsidRPr="00806B7F" w:rsidRDefault="00806B7F" w:rsidP="00806B7F">
            <w:pPr>
              <w:jc w:val="center"/>
              <w:rPr>
                <w:rFonts w:ascii="Arial" w:hAnsi="Arial" w:cs="Arial"/>
                <w:sz w:val="20"/>
              </w:rPr>
            </w:pPr>
            <w:r w:rsidRPr="00806B7F">
              <w:rPr>
                <w:rFonts w:ascii="Arial" w:hAnsi="Arial" w:cs="Arial"/>
                <w:sz w:val="20"/>
              </w:rPr>
              <w:t>71.8</w:t>
            </w:r>
          </w:p>
        </w:tc>
        <w:tc>
          <w:tcPr>
            <w:tcW w:w="1134" w:type="dxa"/>
          </w:tcPr>
          <w:p w14:paraId="3DFB076E" w14:textId="34CDC38F" w:rsidR="00806B7F" w:rsidRPr="00806B7F" w:rsidRDefault="00806B7F" w:rsidP="00806B7F">
            <w:pPr>
              <w:jc w:val="center"/>
              <w:rPr>
                <w:rFonts w:ascii="Arial" w:hAnsi="Arial" w:cs="Arial"/>
                <w:sz w:val="20"/>
              </w:rPr>
            </w:pPr>
            <w:r w:rsidRPr="00806B7F">
              <w:rPr>
                <w:rFonts w:ascii="Arial" w:hAnsi="Arial" w:cs="Arial"/>
                <w:sz w:val="20"/>
              </w:rPr>
              <w:t>74.5</w:t>
            </w:r>
          </w:p>
        </w:tc>
        <w:tc>
          <w:tcPr>
            <w:tcW w:w="1134" w:type="dxa"/>
          </w:tcPr>
          <w:p w14:paraId="6258E572" w14:textId="54D423F5" w:rsidR="00806B7F" w:rsidRPr="00806B7F" w:rsidRDefault="00806B7F" w:rsidP="00806B7F">
            <w:pPr>
              <w:jc w:val="center"/>
              <w:rPr>
                <w:rFonts w:ascii="Arial" w:hAnsi="Arial" w:cs="Arial"/>
                <w:sz w:val="20"/>
              </w:rPr>
            </w:pPr>
            <w:r w:rsidRPr="00806B7F">
              <w:rPr>
                <w:rFonts w:ascii="Arial" w:hAnsi="Arial" w:cs="Arial"/>
                <w:sz w:val="20"/>
              </w:rPr>
              <w:t>76.6</w:t>
            </w:r>
          </w:p>
        </w:tc>
        <w:tc>
          <w:tcPr>
            <w:tcW w:w="1134" w:type="dxa"/>
          </w:tcPr>
          <w:p w14:paraId="07672221" w14:textId="69745421" w:rsidR="00806B7F" w:rsidRPr="00806B7F" w:rsidRDefault="00806B7F" w:rsidP="00806B7F">
            <w:pPr>
              <w:jc w:val="center"/>
              <w:rPr>
                <w:rFonts w:ascii="Arial" w:hAnsi="Arial" w:cs="Arial"/>
                <w:sz w:val="20"/>
              </w:rPr>
            </w:pPr>
            <w:r w:rsidRPr="00806B7F">
              <w:rPr>
                <w:rFonts w:ascii="Arial" w:hAnsi="Arial" w:cs="Arial"/>
                <w:sz w:val="20"/>
              </w:rPr>
              <w:t>78.9</w:t>
            </w:r>
          </w:p>
        </w:tc>
      </w:tr>
      <w:tr w:rsidR="00806B7F" w:rsidRPr="00806B7F" w14:paraId="538EE55B" w14:textId="77777777" w:rsidTr="00762F8D">
        <w:tc>
          <w:tcPr>
            <w:tcW w:w="4390" w:type="dxa"/>
          </w:tcPr>
          <w:p w14:paraId="71382DC4" w14:textId="77777777" w:rsidR="00806B7F" w:rsidRPr="00806B7F" w:rsidRDefault="00806B7F" w:rsidP="00762F8D">
            <w:pPr>
              <w:jc w:val="both"/>
              <w:rPr>
                <w:rFonts w:ascii="Arial" w:hAnsi="Arial" w:cs="Arial"/>
                <w:sz w:val="20"/>
              </w:rPr>
            </w:pPr>
            <w:r w:rsidRPr="00806B7F">
              <w:rPr>
                <w:rFonts w:ascii="Arial" w:hAnsi="Arial" w:cs="Arial"/>
                <w:snapToGrid w:val="0"/>
                <w:color w:val="000000"/>
                <w:sz w:val="20"/>
                <w:lang w:eastAsia="en-US"/>
              </w:rPr>
              <w:t>Budget Increase</w:t>
            </w:r>
          </w:p>
        </w:tc>
        <w:tc>
          <w:tcPr>
            <w:tcW w:w="1134" w:type="dxa"/>
            <w:vAlign w:val="bottom"/>
          </w:tcPr>
          <w:p w14:paraId="1340A4A1" w14:textId="7863A4FE" w:rsidR="00806B7F" w:rsidRPr="00806B7F" w:rsidRDefault="00806B7F" w:rsidP="00762F8D">
            <w:pPr>
              <w:jc w:val="center"/>
              <w:rPr>
                <w:rFonts w:ascii="Arial" w:hAnsi="Arial" w:cs="Arial"/>
                <w:sz w:val="20"/>
              </w:rPr>
            </w:pPr>
            <w:r w:rsidRPr="00806B7F">
              <w:rPr>
                <w:rFonts w:ascii="Arial" w:hAnsi="Arial" w:cs="Arial"/>
                <w:sz w:val="20"/>
              </w:rPr>
              <w:t>8.</w:t>
            </w:r>
            <w:r>
              <w:rPr>
                <w:rFonts w:ascii="Arial" w:hAnsi="Arial" w:cs="Arial"/>
                <w:sz w:val="20"/>
              </w:rPr>
              <w:t>2</w:t>
            </w:r>
            <w:r w:rsidRPr="00806B7F">
              <w:rPr>
                <w:rFonts w:ascii="Arial" w:hAnsi="Arial" w:cs="Arial"/>
                <w:sz w:val="20"/>
              </w:rPr>
              <w:t>%</w:t>
            </w:r>
          </w:p>
        </w:tc>
        <w:tc>
          <w:tcPr>
            <w:tcW w:w="1134" w:type="dxa"/>
            <w:vAlign w:val="bottom"/>
          </w:tcPr>
          <w:p w14:paraId="31F861AC" w14:textId="4E3F9A83" w:rsidR="00806B7F" w:rsidRPr="00806B7F" w:rsidRDefault="00806B7F" w:rsidP="00762F8D">
            <w:pPr>
              <w:jc w:val="center"/>
              <w:rPr>
                <w:rFonts w:ascii="Arial" w:hAnsi="Arial" w:cs="Arial"/>
                <w:sz w:val="20"/>
              </w:rPr>
            </w:pPr>
            <w:r>
              <w:rPr>
                <w:rFonts w:ascii="Arial" w:hAnsi="Arial" w:cs="Arial"/>
                <w:sz w:val="20"/>
              </w:rPr>
              <w:t>5.3</w:t>
            </w:r>
            <w:r w:rsidRPr="00806B7F">
              <w:rPr>
                <w:rFonts w:ascii="Arial" w:hAnsi="Arial" w:cs="Arial"/>
                <w:sz w:val="20"/>
              </w:rPr>
              <w:t>%</w:t>
            </w:r>
          </w:p>
        </w:tc>
        <w:tc>
          <w:tcPr>
            <w:tcW w:w="1134" w:type="dxa"/>
            <w:vAlign w:val="bottom"/>
          </w:tcPr>
          <w:p w14:paraId="20C7CB45" w14:textId="77777777" w:rsidR="00806B7F" w:rsidRPr="00806B7F" w:rsidRDefault="00806B7F" w:rsidP="00762F8D">
            <w:pPr>
              <w:jc w:val="center"/>
              <w:rPr>
                <w:rFonts w:ascii="Arial" w:hAnsi="Arial" w:cs="Arial"/>
                <w:sz w:val="20"/>
              </w:rPr>
            </w:pPr>
            <w:r w:rsidRPr="00806B7F">
              <w:rPr>
                <w:rFonts w:ascii="Arial" w:hAnsi="Arial" w:cs="Arial"/>
                <w:sz w:val="20"/>
              </w:rPr>
              <w:t>3.9%</w:t>
            </w:r>
          </w:p>
        </w:tc>
        <w:tc>
          <w:tcPr>
            <w:tcW w:w="1134" w:type="dxa"/>
            <w:vAlign w:val="bottom"/>
          </w:tcPr>
          <w:p w14:paraId="2BCDC9FE" w14:textId="77777777" w:rsidR="00806B7F" w:rsidRPr="00806B7F" w:rsidRDefault="00806B7F" w:rsidP="00762F8D">
            <w:pPr>
              <w:jc w:val="center"/>
              <w:rPr>
                <w:rFonts w:ascii="Arial" w:hAnsi="Arial" w:cs="Arial"/>
                <w:sz w:val="20"/>
              </w:rPr>
            </w:pPr>
            <w:r w:rsidRPr="00806B7F">
              <w:rPr>
                <w:rFonts w:ascii="Arial" w:hAnsi="Arial" w:cs="Arial"/>
                <w:sz w:val="20"/>
              </w:rPr>
              <w:t>2.8%</w:t>
            </w:r>
          </w:p>
        </w:tc>
        <w:tc>
          <w:tcPr>
            <w:tcW w:w="1134" w:type="dxa"/>
            <w:vAlign w:val="bottom"/>
          </w:tcPr>
          <w:p w14:paraId="10CAEA65" w14:textId="77777777" w:rsidR="00806B7F" w:rsidRPr="00806B7F" w:rsidRDefault="00806B7F" w:rsidP="00762F8D">
            <w:pPr>
              <w:jc w:val="center"/>
              <w:rPr>
                <w:rFonts w:ascii="Arial" w:hAnsi="Arial" w:cs="Arial"/>
                <w:sz w:val="20"/>
              </w:rPr>
            </w:pPr>
            <w:r w:rsidRPr="00806B7F">
              <w:rPr>
                <w:rFonts w:ascii="Arial" w:hAnsi="Arial" w:cs="Arial"/>
                <w:sz w:val="20"/>
              </w:rPr>
              <w:t>2.9%</w:t>
            </w:r>
          </w:p>
        </w:tc>
      </w:tr>
    </w:tbl>
    <w:p w14:paraId="6D35665F" w14:textId="77777777" w:rsidR="007C5B19" w:rsidRPr="00806B7F" w:rsidRDefault="007C5B19">
      <w:pPr>
        <w:rPr>
          <w:rFonts w:ascii="Arial" w:hAnsi="Arial" w:cs="Arial"/>
          <w:b/>
          <w:sz w:val="20"/>
          <w:u w:val="single"/>
        </w:rPr>
      </w:pPr>
      <w:r w:rsidRPr="00806B7F">
        <w:rPr>
          <w:rFonts w:ascii="Arial" w:hAnsi="Arial" w:cs="Arial"/>
          <w:b/>
          <w:sz w:val="20"/>
          <w:u w:val="single"/>
        </w:rPr>
        <w:br w:type="page"/>
      </w:r>
    </w:p>
    <w:p w14:paraId="20709EF5" w14:textId="250FE0F2" w:rsidR="00DB42BE" w:rsidRPr="00806B7F" w:rsidRDefault="00DB42BE" w:rsidP="00DB42BE">
      <w:pPr>
        <w:suppressAutoHyphens/>
        <w:jc w:val="both"/>
        <w:rPr>
          <w:rFonts w:ascii="Arial" w:hAnsi="Arial" w:cs="Arial"/>
          <w:b/>
          <w:sz w:val="20"/>
          <w:u w:val="single"/>
        </w:rPr>
      </w:pPr>
      <w:r w:rsidRPr="00806B7F">
        <w:rPr>
          <w:rFonts w:ascii="Arial" w:hAnsi="Arial" w:cs="Arial"/>
          <w:b/>
          <w:sz w:val="20"/>
          <w:u w:val="single"/>
        </w:rPr>
        <w:t>Analysis of Budget by Service Area</w:t>
      </w:r>
    </w:p>
    <w:p w14:paraId="1B8ED0DB" w14:textId="77777777" w:rsidR="00DB42BE" w:rsidRPr="00806B7F" w:rsidRDefault="00DB42BE" w:rsidP="00DB42BE">
      <w:pPr>
        <w:suppressAutoHyphens/>
        <w:jc w:val="both"/>
        <w:rPr>
          <w:rFonts w:ascii="Arial" w:hAnsi="Arial" w:cs="Arial"/>
          <w:b/>
          <w:sz w:val="20"/>
          <w:highlight w:val="yellow"/>
          <w:u w:val="single"/>
        </w:rPr>
      </w:pPr>
    </w:p>
    <w:p w14:paraId="50EF2FB5" w14:textId="416BF368" w:rsidR="00DB42BE" w:rsidRPr="00806B7F" w:rsidRDefault="00DB42BE" w:rsidP="00DB42BE">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23 Budget by Service Area</w:t>
      </w:r>
    </w:p>
    <w:tbl>
      <w:tblPr>
        <w:tblW w:w="10065" w:type="dxa"/>
        <w:tblLayout w:type="fixed"/>
        <w:tblLook w:val="04A0" w:firstRow="1" w:lastRow="0" w:firstColumn="1" w:lastColumn="0" w:noHBand="0" w:noVBand="1"/>
      </w:tblPr>
      <w:tblGrid>
        <w:gridCol w:w="3261"/>
        <w:gridCol w:w="992"/>
        <w:gridCol w:w="221"/>
        <w:gridCol w:w="941"/>
        <w:gridCol w:w="273"/>
        <w:gridCol w:w="889"/>
        <w:gridCol w:w="325"/>
        <w:gridCol w:w="838"/>
        <w:gridCol w:w="376"/>
        <w:gridCol w:w="786"/>
        <w:gridCol w:w="428"/>
        <w:gridCol w:w="735"/>
      </w:tblGrid>
      <w:tr w:rsidR="007C5B19" w:rsidRPr="00806B7F" w14:paraId="449B23E8" w14:textId="77777777" w:rsidTr="007C5B19">
        <w:trPr>
          <w:gridAfter w:val="1"/>
          <w:wAfter w:w="735" w:type="dxa"/>
          <w:trHeight w:val="1020"/>
        </w:trPr>
        <w:tc>
          <w:tcPr>
            <w:tcW w:w="3261" w:type="dxa"/>
            <w:tcBorders>
              <w:top w:val="nil"/>
              <w:left w:val="nil"/>
              <w:bottom w:val="nil"/>
              <w:right w:val="nil"/>
            </w:tcBorders>
            <w:shd w:val="clear" w:color="auto" w:fill="auto"/>
            <w:noWrap/>
            <w:hideMark/>
          </w:tcPr>
          <w:p w14:paraId="08BA3358" w14:textId="77777777" w:rsidR="007C5B19" w:rsidRPr="00806B7F" w:rsidRDefault="007C5B19" w:rsidP="00A369A1">
            <w:pPr>
              <w:rPr>
                <w:rFonts w:ascii="Arial" w:hAnsi="Arial" w:cs="Arial"/>
                <w:sz w:val="20"/>
              </w:rPr>
            </w:pPr>
          </w:p>
        </w:tc>
        <w:tc>
          <w:tcPr>
            <w:tcW w:w="1213" w:type="dxa"/>
            <w:gridSpan w:val="2"/>
            <w:tcBorders>
              <w:top w:val="nil"/>
              <w:left w:val="nil"/>
              <w:bottom w:val="nil"/>
              <w:right w:val="nil"/>
            </w:tcBorders>
            <w:shd w:val="clear" w:color="auto" w:fill="auto"/>
            <w:hideMark/>
          </w:tcPr>
          <w:p w14:paraId="6A507229" w14:textId="77777777" w:rsidR="007C5B19" w:rsidRPr="00806B7F" w:rsidRDefault="007C5B19" w:rsidP="00A369A1">
            <w:pPr>
              <w:jc w:val="center"/>
              <w:rPr>
                <w:rFonts w:ascii="Arial" w:hAnsi="Arial" w:cs="Arial"/>
                <w:sz w:val="20"/>
              </w:rPr>
            </w:pPr>
            <w:r w:rsidRPr="00806B7F">
              <w:rPr>
                <w:rFonts w:ascii="Arial" w:hAnsi="Arial" w:cs="Arial"/>
                <w:sz w:val="20"/>
              </w:rPr>
              <w:t xml:space="preserve"> 2023/24 Budget </w:t>
            </w:r>
          </w:p>
        </w:tc>
        <w:tc>
          <w:tcPr>
            <w:tcW w:w="1214" w:type="dxa"/>
            <w:gridSpan w:val="2"/>
            <w:tcBorders>
              <w:top w:val="nil"/>
              <w:left w:val="nil"/>
              <w:bottom w:val="nil"/>
              <w:right w:val="nil"/>
            </w:tcBorders>
            <w:shd w:val="clear" w:color="auto" w:fill="auto"/>
            <w:hideMark/>
          </w:tcPr>
          <w:p w14:paraId="2B387BC4" w14:textId="77777777" w:rsidR="007C5B19" w:rsidRPr="00806B7F" w:rsidRDefault="007C5B19" w:rsidP="00A369A1">
            <w:pPr>
              <w:jc w:val="center"/>
              <w:rPr>
                <w:rFonts w:ascii="Arial" w:hAnsi="Arial" w:cs="Arial"/>
                <w:sz w:val="20"/>
              </w:rPr>
            </w:pPr>
            <w:r w:rsidRPr="00806B7F">
              <w:rPr>
                <w:rFonts w:ascii="Arial" w:hAnsi="Arial" w:cs="Arial"/>
                <w:sz w:val="20"/>
              </w:rPr>
              <w:t xml:space="preserve"> 2024/25 Budget </w:t>
            </w:r>
          </w:p>
        </w:tc>
        <w:tc>
          <w:tcPr>
            <w:tcW w:w="1214" w:type="dxa"/>
            <w:gridSpan w:val="2"/>
            <w:tcBorders>
              <w:top w:val="nil"/>
              <w:left w:val="nil"/>
              <w:bottom w:val="nil"/>
              <w:right w:val="nil"/>
            </w:tcBorders>
            <w:shd w:val="clear" w:color="auto" w:fill="auto"/>
            <w:hideMark/>
          </w:tcPr>
          <w:p w14:paraId="30F0E51F" w14:textId="77777777" w:rsidR="007C5B19" w:rsidRPr="00806B7F" w:rsidRDefault="007C5B19" w:rsidP="00A369A1">
            <w:pPr>
              <w:jc w:val="center"/>
              <w:rPr>
                <w:rFonts w:ascii="Arial" w:hAnsi="Arial" w:cs="Arial"/>
                <w:sz w:val="20"/>
              </w:rPr>
            </w:pPr>
            <w:r w:rsidRPr="00806B7F">
              <w:rPr>
                <w:rFonts w:ascii="Arial" w:hAnsi="Arial" w:cs="Arial"/>
                <w:sz w:val="20"/>
              </w:rPr>
              <w:t xml:space="preserve"> 2025/26 Budget </w:t>
            </w:r>
          </w:p>
        </w:tc>
        <w:tc>
          <w:tcPr>
            <w:tcW w:w="1214" w:type="dxa"/>
            <w:gridSpan w:val="2"/>
            <w:tcBorders>
              <w:top w:val="nil"/>
              <w:left w:val="nil"/>
              <w:bottom w:val="nil"/>
              <w:right w:val="nil"/>
            </w:tcBorders>
            <w:shd w:val="clear" w:color="auto" w:fill="auto"/>
            <w:hideMark/>
          </w:tcPr>
          <w:p w14:paraId="2492A4B7" w14:textId="77777777" w:rsidR="007C5B19" w:rsidRPr="00806B7F" w:rsidRDefault="007C5B19" w:rsidP="00A369A1">
            <w:pPr>
              <w:jc w:val="center"/>
              <w:rPr>
                <w:rFonts w:ascii="Arial" w:hAnsi="Arial" w:cs="Arial"/>
                <w:sz w:val="20"/>
              </w:rPr>
            </w:pPr>
            <w:r w:rsidRPr="00806B7F">
              <w:rPr>
                <w:rFonts w:ascii="Arial" w:hAnsi="Arial" w:cs="Arial"/>
                <w:sz w:val="20"/>
              </w:rPr>
              <w:t xml:space="preserve"> 2026/27 Budget </w:t>
            </w:r>
          </w:p>
        </w:tc>
        <w:tc>
          <w:tcPr>
            <w:tcW w:w="1214" w:type="dxa"/>
            <w:gridSpan w:val="2"/>
            <w:tcBorders>
              <w:top w:val="nil"/>
              <w:left w:val="nil"/>
              <w:bottom w:val="nil"/>
              <w:right w:val="nil"/>
            </w:tcBorders>
            <w:shd w:val="clear" w:color="auto" w:fill="auto"/>
            <w:hideMark/>
          </w:tcPr>
          <w:p w14:paraId="28C5BAC7" w14:textId="77777777" w:rsidR="007C5B19" w:rsidRPr="00806B7F" w:rsidRDefault="007C5B19" w:rsidP="00A369A1">
            <w:pPr>
              <w:jc w:val="center"/>
              <w:rPr>
                <w:rFonts w:ascii="Arial" w:hAnsi="Arial" w:cs="Arial"/>
                <w:sz w:val="20"/>
              </w:rPr>
            </w:pPr>
            <w:r w:rsidRPr="00806B7F">
              <w:rPr>
                <w:rFonts w:ascii="Arial" w:hAnsi="Arial" w:cs="Arial"/>
                <w:sz w:val="20"/>
              </w:rPr>
              <w:t xml:space="preserve"> 2027/28 Budget </w:t>
            </w:r>
          </w:p>
        </w:tc>
      </w:tr>
      <w:tr w:rsidR="007C5B19" w:rsidRPr="00806B7F" w14:paraId="466A591C" w14:textId="77777777" w:rsidTr="007C5B19">
        <w:trPr>
          <w:gridAfter w:val="1"/>
          <w:wAfter w:w="735" w:type="dxa"/>
          <w:trHeight w:val="255"/>
        </w:trPr>
        <w:tc>
          <w:tcPr>
            <w:tcW w:w="3261" w:type="dxa"/>
            <w:tcBorders>
              <w:top w:val="nil"/>
              <w:left w:val="nil"/>
              <w:bottom w:val="nil"/>
              <w:right w:val="nil"/>
            </w:tcBorders>
            <w:shd w:val="clear" w:color="auto" w:fill="auto"/>
            <w:hideMark/>
          </w:tcPr>
          <w:p w14:paraId="0EBD5D4A" w14:textId="77777777" w:rsidR="007C5B19" w:rsidRPr="00806B7F" w:rsidRDefault="007C5B19" w:rsidP="00A369A1">
            <w:pPr>
              <w:jc w:val="center"/>
              <w:rPr>
                <w:rFonts w:ascii="Arial" w:hAnsi="Arial" w:cs="Arial"/>
                <w:sz w:val="20"/>
              </w:rPr>
            </w:pPr>
          </w:p>
        </w:tc>
        <w:tc>
          <w:tcPr>
            <w:tcW w:w="1213" w:type="dxa"/>
            <w:gridSpan w:val="2"/>
            <w:tcBorders>
              <w:top w:val="nil"/>
              <w:left w:val="nil"/>
              <w:bottom w:val="nil"/>
              <w:right w:val="nil"/>
            </w:tcBorders>
            <w:shd w:val="clear" w:color="auto" w:fill="auto"/>
            <w:hideMark/>
          </w:tcPr>
          <w:p w14:paraId="11B0A9D7" w14:textId="77777777" w:rsidR="007C5B19" w:rsidRPr="00806B7F" w:rsidRDefault="007C5B19" w:rsidP="00A369A1">
            <w:pPr>
              <w:jc w:val="center"/>
              <w:rPr>
                <w:rFonts w:ascii="Arial" w:hAnsi="Arial" w:cs="Arial"/>
                <w:sz w:val="20"/>
              </w:rPr>
            </w:pPr>
            <w:r w:rsidRPr="00806B7F">
              <w:rPr>
                <w:rFonts w:ascii="Arial" w:hAnsi="Arial" w:cs="Arial"/>
                <w:sz w:val="20"/>
              </w:rPr>
              <w:t xml:space="preserve"> £m </w:t>
            </w:r>
          </w:p>
        </w:tc>
        <w:tc>
          <w:tcPr>
            <w:tcW w:w="1214" w:type="dxa"/>
            <w:gridSpan w:val="2"/>
            <w:tcBorders>
              <w:top w:val="nil"/>
              <w:left w:val="nil"/>
              <w:bottom w:val="nil"/>
              <w:right w:val="nil"/>
            </w:tcBorders>
            <w:shd w:val="clear" w:color="auto" w:fill="auto"/>
            <w:hideMark/>
          </w:tcPr>
          <w:p w14:paraId="41705B4C" w14:textId="77777777" w:rsidR="007C5B19" w:rsidRPr="00806B7F" w:rsidRDefault="007C5B19" w:rsidP="00A369A1">
            <w:pPr>
              <w:jc w:val="center"/>
              <w:rPr>
                <w:rFonts w:ascii="Arial" w:hAnsi="Arial" w:cs="Arial"/>
                <w:sz w:val="20"/>
              </w:rPr>
            </w:pPr>
            <w:r w:rsidRPr="00806B7F">
              <w:rPr>
                <w:rFonts w:ascii="Arial" w:hAnsi="Arial" w:cs="Arial"/>
                <w:sz w:val="20"/>
              </w:rPr>
              <w:t xml:space="preserve"> £m </w:t>
            </w:r>
          </w:p>
        </w:tc>
        <w:tc>
          <w:tcPr>
            <w:tcW w:w="1214" w:type="dxa"/>
            <w:gridSpan w:val="2"/>
            <w:tcBorders>
              <w:top w:val="nil"/>
              <w:left w:val="nil"/>
              <w:bottom w:val="nil"/>
              <w:right w:val="nil"/>
            </w:tcBorders>
            <w:shd w:val="clear" w:color="auto" w:fill="auto"/>
            <w:hideMark/>
          </w:tcPr>
          <w:p w14:paraId="0E6B434F" w14:textId="77777777" w:rsidR="007C5B19" w:rsidRPr="00806B7F" w:rsidRDefault="007C5B19" w:rsidP="00A369A1">
            <w:pPr>
              <w:jc w:val="center"/>
              <w:rPr>
                <w:rFonts w:ascii="Arial" w:hAnsi="Arial" w:cs="Arial"/>
                <w:sz w:val="20"/>
              </w:rPr>
            </w:pPr>
            <w:r w:rsidRPr="00806B7F">
              <w:rPr>
                <w:rFonts w:ascii="Arial" w:hAnsi="Arial" w:cs="Arial"/>
                <w:sz w:val="20"/>
              </w:rPr>
              <w:t xml:space="preserve"> £m </w:t>
            </w:r>
          </w:p>
        </w:tc>
        <w:tc>
          <w:tcPr>
            <w:tcW w:w="1214" w:type="dxa"/>
            <w:gridSpan w:val="2"/>
            <w:tcBorders>
              <w:top w:val="nil"/>
              <w:left w:val="nil"/>
              <w:bottom w:val="nil"/>
              <w:right w:val="nil"/>
            </w:tcBorders>
            <w:shd w:val="clear" w:color="auto" w:fill="auto"/>
            <w:hideMark/>
          </w:tcPr>
          <w:p w14:paraId="4401F93A" w14:textId="77777777" w:rsidR="007C5B19" w:rsidRPr="00806B7F" w:rsidRDefault="007C5B19" w:rsidP="00A369A1">
            <w:pPr>
              <w:jc w:val="center"/>
              <w:rPr>
                <w:rFonts w:ascii="Arial" w:hAnsi="Arial" w:cs="Arial"/>
                <w:sz w:val="20"/>
              </w:rPr>
            </w:pPr>
            <w:r w:rsidRPr="00806B7F">
              <w:rPr>
                <w:rFonts w:ascii="Arial" w:hAnsi="Arial" w:cs="Arial"/>
                <w:sz w:val="20"/>
              </w:rPr>
              <w:t xml:space="preserve"> £m </w:t>
            </w:r>
          </w:p>
        </w:tc>
        <w:tc>
          <w:tcPr>
            <w:tcW w:w="1214" w:type="dxa"/>
            <w:gridSpan w:val="2"/>
            <w:tcBorders>
              <w:top w:val="nil"/>
              <w:left w:val="nil"/>
              <w:bottom w:val="nil"/>
              <w:right w:val="nil"/>
            </w:tcBorders>
            <w:shd w:val="clear" w:color="auto" w:fill="auto"/>
            <w:hideMark/>
          </w:tcPr>
          <w:p w14:paraId="1AC30382" w14:textId="77777777" w:rsidR="007C5B19" w:rsidRPr="00806B7F" w:rsidRDefault="007C5B19" w:rsidP="00A369A1">
            <w:pPr>
              <w:jc w:val="center"/>
              <w:rPr>
                <w:rFonts w:ascii="Arial" w:hAnsi="Arial" w:cs="Arial"/>
                <w:sz w:val="20"/>
              </w:rPr>
            </w:pPr>
            <w:r w:rsidRPr="00806B7F">
              <w:rPr>
                <w:rFonts w:ascii="Arial" w:hAnsi="Arial" w:cs="Arial"/>
                <w:sz w:val="20"/>
              </w:rPr>
              <w:t xml:space="preserve"> £m </w:t>
            </w:r>
          </w:p>
        </w:tc>
      </w:tr>
      <w:tr w:rsidR="007C5B19" w:rsidRPr="00806B7F" w14:paraId="6793382F"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78E95A90" w14:textId="77777777" w:rsidR="007C5B19" w:rsidRPr="00806B7F" w:rsidRDefault="007C5B19" w:rsidP="00A369A1">
            <w:pPr>
              <w:rPr>
                <w:rFonts w:ascii="Arial" w:hAnsi="Arial" w:cs="Arial"/>
                <w:sz w:val="20"/>
              </w:rPr>
            </w:pPr>
            <w:r w:rsidRPr="00806B7F">
              <w:rPr>
                <w:rFonts w:ascii="Arial" w:hAnsi="Arial" w:cs="Arial"/>
                <w:sz w:val="20"/>
              </w:rPr>
              <w:t>Service Delivery</w:t>
            </w:r>
          </w:p>
        </w:tc>
        <w:tc>
          <w:tcPr>
            <w:tcW w:w="1213" w:type="dxa"/>
            <w:gridSpan w:val="2"/>
            <w:tcBorders>
              <w:top w:val="nil"/>
              <w:left w:val="nil"/>
              <w:bottom w:val="nil"/>
              <w:right w:val="nil"/>
            </w:tcBorders>
            <w:shd w:val="clear" w:color="auto" w:fill="auto"/>
            <w:noWrap/>
            <w:hideMark/>
          </w:tcPr>
          <w:p w14:paraId="2B444CE3" w14:textId="77777777" w:rsidR="007C5B19" w:rsidRPr="00806B7F" w:rsidRDefault="007C5B19" w:rsidP="00A369A1">
            <w:pPr>
              <w:jc w:val="right"/>
              <w:rPr>
                <w:rFonts w:ascii="Arial" w:hAnsi="Arial" w:cs="Arial"/>
                <w:sz w:val="20"/>
              </w:rPr>
            </w:pPr>
            <w:r w:rsidRPr="00806B7F">
              <w:rPr>
                <w:rFonts w:ascii="Arial" w:hAnsi="Arial" w:cs="Arial"/>
                <w:sz w:val="20"/>
              </w:rPr>
              <w:t>39.223</w:t>
            </w:r>
          </w:p>
        </w:tc>
        <w:tc>
          <w:tcPr>
            <w:tcW w:w="1214" w:type="dxa"/>
            <w:gridSpan w:val="2"/>
            <w:tcBorders>
              <w:top w:val="nil"/>
              <w:left w:val="nil"/>
              <w:bottom w:val="nil"/>
              <w:right w:val="nil"/>
            </w:tcBorders>
            <w:shd w:val="clear" w:color="auto" w:fill="auto"/>
            <w:noWrap/>
            <w:hideMark/>
          </w:tcPr>
          <w:p w14:paraId="76465CA1" w14:textId="77777777" w:rsidR="007C5B19" w:rsidRPr="00806B7F" w:rsidRDefault="007C5B19" w:rsidP="00A369A1">
            <w:pPr>
              <w:jc w:val="right"/>
              <w:rPr>
                <w:rFonts w:ascii="Arial" w:hAnsi="Arial" w:cs="Arial"/>
                <w:sz w:val="20"/>
              </w:rPr>
            </w:pPr>
            <w:r w:rsidRPr="00806B7F">
              <w:rPr>
                <w:rFonts w:ascii="Arial" w:hAnsi="Arial" w:cs="Arial"/>
                <w:sz w:val="20"/>
              </w:rPr>
              <w:t>41.090</w:t>
            </w:r>
          </w:p>
        </w:tc>
        <w:tc>
          <w:tcPr>
            <w:tcW w:w="1214" w:type="dxa"/>
            <w:gridSpan w:val="2"/>
            <w:tcBorders>
              <w:top w:val="nil"/>
              <w:left w:val="nil"/>
              <w:bottom w:val="nil"/>
              <w:right w:val="nil"/>
            </w:tcBorders>
            <w:shd w:val="clear" w:color="auto" w:fill="auto"/>
            <w:noWrap/>
            <w:hideMark/>
          </w:tcPr>
          <w:p w14:paraId="045C873A" w14:textId="77777777" w:rsidR="007C5B19" w:rsidRPr="00806B7F" w:rsidRDefault="007C5B19" w:rsidP="00A369A1">
            <w:pPr>
              <w:jc w:val="right"/>
              <w:rPr>
                <w:rFonts w:ascii="Arial" w:hAnsi="Arial" w:cs="Arial"/>
                <w:sz w:val="20"/>
              </w:rPr>
            </w:pPr>
            <w:r w:rsidRPr="00806B7F">
              <w:rPr>
                <w:rFonts w:ascii="Arial" w:hAnsi="Arial" w:cs="Arial"/>
                <w:sz w:val="20"/>
              </w:rPr>
              <w:t>42.520</w:t>
            </w:r>
          </w:p>
        </w:tc>
        <w:tc>
          <w:tcPr>
            <w:tcW w:w="1214" w:type="dxa"/>
            <w:gridSpan w:val="2"/>
            <w:tcBorders>
              <w:top w:val="nil"/>
              <w:left w:val="nil"/>
              <w:bottom w:val="nil"/>
              <w:right w:val="nil"/>
            </w:tcBorders>
            <w:shd w:val="clear" w:color="auto" w:fill="auto"/>
            <w:noWrap/>
            <w:hideMark/>
          </w:tcPr>
          <w:p w14:paraId="6CBC5D90" w14:textId="77777777" w:rsidR="007C5B19" w:rsidRPr="00806B7F" w:rsidRDefault="007C5B19" w:rsidP="00A369A1">
            <w:pPr>
              <w:jc w:val="right"/>
              <w:rPr>
                <w:rFonts w:ascii="Arial" w:hAnsi="Arial" w:cs="Arial"/>
                <w:sz w:val="20"/>
              </w:rPr>
            </w:pPr>
            <w:r w:rsidRPr="00806B7F">
              <w:rPr>
                <w:rFonts w:ascii="Arial" w:hAnsi="Arial" w:cs="Arial"/>
                <w:sz w:val="20"/>
              </w:rPr>
              <w:t>43.404</w:t>
            </w:r>
          </w:p>
        </w:tc>
        <w:tc>
          <w:tcPr>
            <w:tcW w:w="1214" w:type="dxa"/>
            <w:gridSpan w:val="2"/>
            <w:tcBorders>
              <w:top w:val="nil"/>
              <w:left w:val="nil"/>
              <w:bottom w:val="nil"/>
              <w:right w:val="nil"/>
            </w:tcBorders>
            <w:shd w:val="clear" w:color="auto" w:fill="auto"/>
            <w:noWrap/>
            <w:hideMark/>
          </w:tcPr>
          <w:p w14:paraId="115E3E93" w14:textId="77777777" w:rsidR="007C5B19" w:rsidRPr="00806B7F" w:rsidRDefault="007C5B19" w:rsidP="00A369A1">
            <w:pPr>
              <w:jc w:val="right"/>
              <w:rPr>
                <w:rFonts w:ascii="Arial" w:hAnsi="Arial" w:cs="Arial"/>
                <w:sz w:val="20"/>
              </w:rPr>
            </w:pPr>
            <w:r w:rsidRPr="00806B7F">
              <w:rPr>
                <w:rFonts w:ascii="Arial" w:hAnsi="Arial" w:cs="Arial"/>
                <w:sz w:val="20"/>
              </w:rPr>
              <w:t>44.402</w:t>
            </w:r>
          </w:p>
        </w:tc>
      </w:tr>
      <w:tr w:rsidR="007C5B19" w:rsidRPr="00806B7F" w14:paraId="2EB5FDAD"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5DF586A" w14:textId="77777777" w:rsidR="007C5B19" w:rsidRPr="00806B7F" w:rsidRDefault="007C5B19" w:rsidP="00A369A1">
            <w:pPr>
              <w:rPr>
                <w:rFonts w:ascii="Arial" w:hAnsi="Arial" w:cs="Arial"/>
                <w:sz w:val="20"/>
              </w:rPr>
            </w:pPr>
            <w:r w:rsidRPr="00806B7F">
              <w:rPr>
                <w:rFonts w:ascii="Arial" w:hAnsi="Arial" w:cs="Arial"/>
                <w:sz w:val="20"/>
              </w:rPr>
              <w:t>Prevention and Protection</w:t>
            </w:r>
          </w:p>
        </w:tc>
        <w:tc>
          <w:tcPr>
            <w:tcW w:w="1213" w:type="dxa"/>
            <w:gridSpan w:val="2"/>
            <w:tcBorders>
              <w:top w:val="nil"/>
              <w:left w:val="nil"/>
              <w:bottom w:val="nil"/>
              <w:right w:val="nil"/>
            </w:tcBorders>
            <w:shd w:val="clear" w:color="auto" w:fill="auto"/>
            <w:noWrap/>
            <w:hideMark/>
          </w:tcPr>
          <w:p w14:paraId="344F9F38" w14:textId="77777777" w:rsidR="007C5B19" w:rsidRPr="00806B7F" w:rsidRDefault="007C5B19" w:rsidP="00A369A1">
            <w:pPr>
              <w:jc w:val="right"/>
              <w:rPr>
                <w:rFonts w:ascii="Arial" w:hAnsi="Arial" w:cs="Arial"/>
                <w:sz w:val="20"/>
              </w:rPr>
            </w:pPr>
            <w:r w:rsidRPr="00806B7F">
              <w:rPr>
                <w:rFonts w:ascii="Arial" w:hAnsi="Arial" w:cs="Arial"/>
                <w:sz w:val="20"/>
              </w:rPr>
              <w:t>3.210</w:t>
            </w:r>
          </w:p>
        </w:tc>
        <w:tc>
          <w:tcPr>
            <w:tcW w:w="1214" w:type="dxa"/>
            <w:gridSpan w:val="2"/>
            <w:tcBorders>
              <w:top w:val="nil"/>
              <w:left w:val="nil"/>
              <w:bottom w:val="nil"/>
              <w:right w:val="nil"/>
            </w:tcBorders>
            <w:shd w:val="clear" w:color="auto" w:fill="auto"/>
            <w:noWrap/>
            <w:hideMark/>
          </w:tcPr>
          <w:p w14:paraId="6D9BF079" w14:textId="77777777" w:rsidR="007C5B19" w:rsidRPr="00806B7F" w:rsidRDefault="007C5B19" w:rsidP="00A369A1">
            <w:pPr>
              <w:jc w:val="right"/>
              <w:rPr>
                <w:rFonts w:ascii="Arial" w:hAnsi="Arial" w:cs="Arial"/>
                <w:sz w:val="20"/>
              </w:rPr>
            </w:pPr>
            <w:r w:rsidRPr="00806B7F">
              <w:rPr>
                <w:rFonts w:ascii="Arial" w:hAnsi="Arial" w:cs="Arial"/>
                <w:sz w:val="20"/>
              </w:rPr>
              <w:t>3.383</w:t>
            </w:r>
          </w:p>
        </w:tc>
        <w:tc>
          <w:tcPr>
            <w:tcW w:w="1214" w:type="dxa"/>
            <w:gridSpan w:val="2"/>
            <w:tcBorders>
              <w:top w:val="nil"/>
              <w:left w:val="nil"/>
              <w:bottom w:val="nil"/>
              <w:right w:val="nil"/>
            </w:tcBorders>
            <w:shd w:val="clear" w:color="auto" w:fill="auto"/>
            <w:noWrap/>
            <w:hideMark/>
          </w:tcPr>
          <w:p w14:paraId="12653697" w14:textId="77777777" w:rsidR="007C5B19" w:rsidRPr="00806B7F" w:rsidRDefault="007C5B19" w:rsidP="00A369A1">
            <w:pPr>
              <w:jc w:val="right"/>
              <w:rPr>
                <w:rFonts w:ascii="Arial" w:hAnsi="Arial" w:cs="Arial"/>
                <w:sz w:val="20"/>
              </w:rPr>
            </w:pPr>
            <w:r w:rsidRPr="00806B7F">
              <w:rPr>
                <w:rFonts w:ascii="Arial" w:hAnsi="Arial" w:cs="Arial"/>
                <w:sz w:val="20"/>
              </w:rPr>
              <w:t>3.475</w:t>
            </w:r>
          </w:p>
        </w:tc>
        <w:tc>
          <w:tcPr>
            <w:tcW w:w="1214" w:type="dxa"/>
            <w:gridSpan w:val="2"/>
            <w:tcBorders>
              <w:top w:val="nil"/>
              <w:left w:val="nil"/>
              <w:bottom w:val="nil"/>
              <w:right w:val="nil"/>
            </w:tcBorders>
            <w:shd w:val="clear" w:color="auto" w:fill="auto"/>
            <w:noWrap/>
            <w:hideMark/>
          </w:tcPr>
          <w:p w14:paraId="4FEBF03C" w14:textId="77777777" w:rsidR="007C5B19" w:rsidRPr="00806B7F" w:rsidRDefault="007C5B19" w:rsidP="00A369A1">
            <w:pPr>
              <w:jc w:val="right"/>
              <w:rPr>
                <w:rFonts w:ascii="Arial" w:hAnsi="Arial" w:cs="Arial"/>
                <w:sz w:val="20"/>
              </w:rPr>
            </w:pPr>
            <w:r w:rsidRPr="00806B7F">
              <w:rPr>
                <w:rFonts w:ascii="Arial" w:hAnsi="Arial" w:cs="Arial"/>
                <w:sz w:val="20"/>
              </w:rPr>
              <w:t>3.551</w:t>
            </w:r>
          </w:p>
        </w:tc>
        <w:tc>
          <w:tcPr>
            <w:tcW w:w="1214" w:type="dxa"/>
            <w:gridSpan w:val="2"/>
            <w:tcBorders>
              <w:top w:val="nil"/>
              <w:left w:val="nil"/>
              <w:bottom w:val="nil"/>
              <w:right w:val="nil"/>
            </w:tcBorders>
            <w:shd w:val="clear" w:color="auto" w:fill="auto"/>
            <w:noWrap/>
            <w:hideMark/>
          </w:tcPr>
          <w:p w14:paraId="296BFC2C" w14:textId="77777777" w:rsidR="007C5B19" w:rsidRPr="00806B7F" w:rsidRDefault="007C5B19" w:rsidP="00A369A1">
            <w:pPr>
              <w:jc w:val="right"/>
              <w:rPr>
                <w:rFonts w:ascii="Arial" w:hAnsi="Arial" w:cs="Arial"/>
                <w:sz w:val="20"/>
              </w:rPr>
            </w:pPr>
            <w:r w:rsidRPr="00806B7F">
              <w:rPr>
                <w:rFonts w:ascii="Arial" w:hAnsi="Arial" w:cs="Arial"/>
                <w:sz w:val="20"/>
              </w:rPr>
              <w:t>3.627</w:t>
            </w:r>
          </w:p>
        </w:tc>
      </w:tr>
      <w:tr w:rsidR="007C5B19" w:rsidRPr="00806B7F" w14:paraId="2CD43D95"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6D19996" w14:textId="77777777" w:rsidR="007C5B19" w:rsidRPr="00806B7F" w:rsidRDefault="007C5B19" w:rsidP="00A369A1">
            <w:pPr>
              <w:rPr>
                <w:rFonts w:ascii="Arial" w:hAnsi="Arial" w:cs="Arial"/>
                <w:sz w:val="20"/>
              </w:rPr>
            </w:pPr>
            <w:r w:rsidRPr="00806B7F">
              <w:rPr>
                <w:rFonts w:ascii="Arial" w:hAnsi="Arial" w:cs="Arial"/>
                <w:sz w:val="20"/>
              </w:rPr>
              <w:t>Control</w:t>
            </w:r>
          </w:p>
        </w:tc>
        <w:tc>
          <w:tcPr>
            <w:tcW w:w="1213" w:type="dxa"/>
            <w:gridSpan w:val="2"/>
            <w:tcBorders>
              <w:top w:val="nil"/>
              <w:left w:val="nil"/>
              <w:bottom w:val="nil"/>
              <w:right w:val="nil"/>
            </w:tcBorders>
            <w:shd w:val="clear" w:color="auto" w:fill="auto"/>
            <w:noWrap/>
            <w:hideMark/>
          </w:tcPr>
          <w:p w14:paraId="01FDCAC4" w14:textId="77777777" w:rsidR="007C5B19" w:rsidRPr="00806B7F" w:rsidRDefault="007C5B19" w:rsidP="00A369A1">
            <w:pPr>
              <w:jc w:val="right"/>
              <w:rPr>
                <w:rFonts w:ascii="Arial" w:hAnsi="Arial" w:cs="Arial"/>
                <w:sz w:val="20"/>
              </w:rPr>
            </w:pPr>
            <w:r w:rsidRPr="00806B7F">
              <w:rPr>
                <w:rFonts w:ascii="Arial" w:hAnsi="Arial" w:cs="Arial"/>
                <w:sz w:val="20"/>
              </w:rPr>
              <w:t>1.610</w:t>
            </w:r>
          </w:p>
        </w:tc>
        <w:tc>
          <w:tcPr>
            <w:tcW w:w="1214" w:type="dxa"/>
            <w:gridSpan w:val="2"/>
            <w:tcBorders>
              <w:top w:val="nil"/>
              <w:left w:val="nil"/>
              <w:bottom w:val="nil"/>
              <w:right w:val="nil"/>
            </w:tcBorders>
            <w:shd w:val="clear" w:color="auto" w:fill="auto"/>
            <w:noWrap/>
            <w:hideMark/>
          </w:tcPr>
          <w:p w14:paraId="00586852" w14:textId="77777777" w:rsidR="007C5B19" w:rsidRPr="00806B7F" w:rsidRDefault="007C5B19" w:rsidP="00A369A1">
            <w:pPr>
              <w:jc w:val="right"/>
              <w:rPr>
                <w:rFonts w:ascii="Arial" w:hAnsi="Arial" w:cs="Arial"/>
                <w:sz w:val="20"/>
              </w:rPr>
            </w:pPr>
            <w:r w:rsidRPr="00806B7F">
              <w:rPr>
                <w:rFonts w:ascii="Arial" w:hAnsi="Arial" w:cs="Arial"/>
                <w:sz w:val="20"/>
              </w:rPr>
              <w:t>1.671</w:t>
            </w:r>
          </w:p>
        </w:tc>
        <w:tc>
          <w:tcPr>
            <w:tcW w:w="1214" w:type="dxa"/>
            <w:gridSpan w:val="2"/>
            <w:tcBorders>
              <w:top w:val="nil"/>
              <w:left w:val="nil"/>
              <w:bottom w:val="nil"/>
              <w:right w:val="nil"/>
            </w:tcBorders>
            <w:shd w:val="clear" w:color="auto" w:fill="auto"/>
            <w:noWrap/>
            <w:hideMark/>
          </w:tcPr>
          <w:p w14:paraId="5AA6BE39" w14:textId="77777777" w:rsidR="007C5B19" w:rsidRPr="00806B7F" w:rsidRDefault="007C5B19" w:rsidP="00A369A1">
            <w:pPr>
              <w:jc w:val="right"/>
              <w:rPr>
                <w:rFonts w:ascii="Arial" w:hAnsi="Arial" w:cs="Arial"/>
                <w:sz w:val="20"/>
              </w:rPr>
            </w:pPr>
            <w:r w:rsidRPr="00806B7F">
              <w:rPr>
                <w:rFonts w:ascii="Arial" w:hAnsi="Arial" w:cs="Arial"/>
                <w:sz w:val="20"/>
              </w:rPr>
              <w:t>1.734</w:t>
            </w:r>
          </w:p>
        </w:tc>
        <w:tc>
          <w:tcPr>
            <w:tcW w:w="1214" w:type="dxa"/>
            <w:gridSpan w:val="2"/>
            <w:tcBorders>
              <w:top w:val="nil"/>
              <w:left w:val="nil"/>
              <w:bottom w:val="nil"/>
              <w:right w:val="nil"/>
            </w:tcBorders>
            <w:shd w:val="clear" w:color="auto" w:fill="auto"/>
            <w:noWrap/>
            <w:hideMark/>
          </w:tcPr>
          <w:p w14:paraId="49DC7687" w14:textId="77777777" w:rsidR="007C5B19" w:rsidRPr="00806B7F" w:rsidRDefault="007C5B19" w:rsidP="00A369A1">
            <w:pPr>
              <w:jc w:val="right"/>
              <w:rPr>
                <w:rFonts w:ascii="Arial" w:hAnsi="Arial" w:cs="Arial"/>
                <w:sz w:val="20"/>
              </w:rPr>
            </w:pPr>
            <w:r w:rsidRPr="00806B7F">
              <w:rPr>
                <w:rFonts w:ascii="Arial" w:hAnsi="Arial" w:cs="Arial"/>
                <w:sz w:val="20"/>
              </w:rPr>
              <w:t>1.799</w:t>
            </w:r>
          </w:p>
        </w:tc>
        <w:tc>
          <w:tcPr>
            <w:tcW w:w="1214" w:type="dxa"/>
            <w:gridSpan w:val="2"/>
            <w:tcBorders>
              <w:top w:val="nil"/>
              <w:left w:val="nil"/>
              <w:bottom w:val="nil"/>
              <w:right w:val="nil"/>
            </w:tcBorders>
            <w:shd w:val="clear" w:color="auto" w:fill="auto"/>
            <w:noWrap/>
            <w:hideMark/>
          </w:tcPr>
          <w:p w14:paraId="29BC0338" w14:textId="77777777" w:rsidR="007C5B19" w:rsidRPr="00806B7F" w:rsidRDefault="007C5B19" w:rsidP="00A369A1">
            <w:pPr>
              <w:jc w:val="right"/>
              <w:rPr>
                <w:rFonts w:ascii="Arial" w:hAnsi="Arial" w:cs="Arial"/>
                <w:sz w:val="20"/>
              </w:rPr>
            </w:pPr>
            <w:r w:rsidRPr="00806B7F">
              <w:rPr>
                <w:rFonts w:ascii="Arial" w:hAnsi="Arial" w:cs="Arial"/>
                <w:sz w:val="20"/>
              </w:rPr>
              <w:t>1.866</w:t>
            </w:r>
          </w:p>
        </w:tc>
      </w:tr>
      <w:tr w:rsidR="007C5B19" w:rsidRPr="00806B7F" w14:paraId="4FDAE47C"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654B467B" w14:textId="77777777" w:rsidR="007C5B19" w:rsidRPr="00806B7F" w:rsidRDefault="007C5B19" w:rsidP="00A369A1">
            <w:pPr>
              <w:rPr>
                <w:rFonts w:ascii="Arial" w:hAnsi="Arial" w:cs="Arial"/>
                <w:sz w:val="20"/>
              </w:rPr>
            </w:pPr>
            <w:r w:rsidRPr="00806B7F">
              <w:rPr>
                <w:rFonts w:ascii="Arial" w:hAnsi="Arial" w:cs="Arial"/>
                <w:sz w:val="20"/>
              </w:rPr>
              <w:t>Special Projects</w:t>
            </w:r>
          </w:p>
        </w:tc>
        <w:tc>
          <w:tcPr>
            <w:tcW w:w="1213" w:type="dxa"/>
            <w:gridSpan w:val="2"/>
            <w:tcBorders>
              <w:top w:val="nil"/>
              <w:left w:val="nil"/>
              <w:bottom w:val="nil"/>
              <w:right w:val="nil"/>
            </w:tcBorders>
            <w:shd w:val="clear" w:color="auto" w:fill="auto"/>
            <w:noWrap/>
            <w:hideMark/>
          </w:tcPr>
          <w:p w14:paraId="13DBD638" w14:textId="77777777" w:rsidR="007C5B19" w:rsidRPr="00806B7F" w:rsidRDefault="007C5B19" w:rsidP="00A369A1">
            <w:pPr>
              <w:jc w:val="right"/>
              <w:rPr>
                <w:rFonts w:ascii="Arial" w:hAnsi="Arial" w:cs="Arial"/>
                <w:sz w:val="20"/>
              </w:rPr>
            </w:pPr>
            <w:r w:rsidRPr="00806B7F">
              <w:rPr>
                <w:rFonts w:ascii="Arial" w:hAnsi="Arial" w:cs="Arial"/>
                <w:sz w:val="20"/>
              </w:rPr>
              <w:t>0.036</w:t>
            </w:r>
          </w:p>
        </w:tc>
        <w:tc>
          <w:tcPr>
            <w:tcW w:w="1214" w:type="dxa"/>
            <w:gridSpan w:val="2"/>
            <w:tcBorders>
              <w:top w:val="nil"/>
              <w:left w:val="nil"/>
              <w:bottom w:val="nil"/>
              <w:right w:val="nil"/>
            </w:tcBorders>
            <w:shd w:val="clear" w:color="auto" w:fill="auto"/>
            <w:noWrap/>
            <w:hideMark/>
          </w:tcPr>
          <w:p w14:paraId="73B5EDA5" w14:textId="77777777" w:rsidR="007C5B19" w:rsidRPr="00806B7F" w:rsidRDefault="007C5B19" w:rsidP="00A369A1">
            <w:pPr>
              <w:jc w:val="right"/>
              <w:rPr>
                <w:rFonts w:ascii="Arial" w:hAnsi="Arial" w:cs="Arial"/>
                <w:sz w:val="20"/>
              </w:rPr>
            </w:pPr>
            <w:r w:rsidRPr="00806B7F">
              <w:rPr>
                <w:rFonts w:ascii="Arial" w:hAnsi="Arial" w:cs="Arial"/>
                <w:sz w:val="20"/>
              </w:rPr>
              <w:t>0.037</w:t>
            </w:r>
          </w:p>
        </w:tc>
        <w:tc>
          <w:tcPr>
            <w:tcW w:w="1214" w:type="dxa"/>
            <w:gridSpan w:val="2"/>
            <w:tcBorders>
              <w:top w:val="nil"/>
              <w:left w:val="nil"/>
              <w:bottom w:val="nil"/>
              <w:right w:val="nil"/>
            </w:tcBorders>
            <w:shd w:val="clear" w:color="auto" w:fill="auto"/>
            <w:noWrap/>
            <w:hideMark/>
          </w:tcPr>
          <w:p w14:paraId="256AC1D6" w14:textId="77777777" w:rsidR="007C5B19" w:rsidRPr="00806B7F" w:rsidRDefault="007C5B19" w:rsidP="00A369A1">
            <w:pPr>
              <w:jc w:val="right"/>
              <w:rPr>
                <w:rFonts w:ascii="Arial" w:hAnsi="Arial" w:cs="Arial"/>
                <w:sz w:val="20"/>
              </w:rPr>
            </w:pPr>
            <w:r w:rsidRPr="00806B7F">
              <w:rPr>
                <w:rFonts w:ascii="Arial" w:hAnsi="Arial" w:cs="Arial"/>
                <w:sz w:val="20"/>
              </w:rPr>
              <w:t>0.037</w:t>
            </w:r>
          </w:p>
        </w:tc>
        <w:tc>
          <w:tcPr>
            <w:tcW w:w="1214" w:type="dxa"/>
            <w:gridSpan w:val="2"/>
            <w:tcBorders>
              <w:top w:val="nil"/>
              <w:left w:val="nil"/>
              <w:bottom w:val="nil"/>
              <w:right w:val="nil"/>
            </w:tcBorders>
            <w:shd w:val="clear" w:color="auto" w:fill="auto"/>
            <w:noWrap/>
            <w:hideMark/>
          </w:tcPr>
          <w:p w14:paraId="0B9B01FE" w14:textId="77777777" w:rsidR="007C5B19" w:rsidRPr="00806B7F" w:rsidRDefault="007C5B19" w:rsidP="00A369A1">
            <w:pPr>
              <w:jc w:val="right"/>
              <w:rPr>
                <w:rFonts w:ascii="Arial" w:hAnsi="Arial" w:cs="Arial"/>
                <w:sz w:val="20"/>
              </w:rPr>
            </w:pPr>
            <w:r w:rsidRPr="00806B7F">
              <w:rPr>
                <w:rFonts w:ascii="Arial" w:hAnsi="Arial" w:cs="Arial"/>
                <w:sz w:val="20"/>
              </w:rPr>
              <w:t>0.038</w:t>
            </w:r>
          </w:p>
        </w:tc>
        <w:tc>
          <w:tcPr>
            <w:tcW w:w="1214" w:type="dxa"/>
            <w:gridSpan w:val="2"/>
            <w:tcBorders>
              <w:top w:val="nil"/>
              <w:left w:val="nil"/>
              <w:bottom w:val="nil"/>
              <w:right w:val="nil"/>
            </w:tcBorders>
            <w:shd w:val="clear" w:color="auto" w:fill="auto"/>
            <w:noWrap/>
            <w:hideMark/>
          </w:tcPr>
          <w:p w14:paraId="54A8192E" w14:textId="77777777" w:rsidR="007C5B19" w:rsidRPr="00806B7F" w:rsidRDefault="007C5B19" w:rsidP="00A369A1">
            <w:pPr>
              <w:jc w:val="right"/>
              <w:rPr>
                <w:rFonts w:ascii="Arial" w:hAnsi="Arial" w:cs="Arial"/>
                <w:sz w:val="20"/>
              </w:rPr>
            </w:pPr>
            <w:r w:rsidRPr="00806B7F">
              <w:rPr>
                <w:rFonts w:ascii="Arial" w:hAnsi="Arial" w:cs="Arial"/>
                <w:sz w:val="20"/>
              </w:rPr>
              <w:t>0.038</w:t>
            </w:r>
          </w:p>
        </w:tc>
      </w:tr>
      <w:tr w:rsidR="007C5B19" w:rsidRPr="00806B7F" w14:paraId="0D82B3AC"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B7C3CAB" w14:textId="77777777" w:rsidR="007C5B19" w:rsidRPr="00806B7F" w:rsidRDefault="007C5B19" w:rsidP="00A369A1">
            <w:pPr>
              <w:rPr>
                <w:rFonts w:ascii="Arial" w:hAnsi="Arial" w:cs="Arial"/>
                <w:sz w:val="20"/>
              </w:rPr>
            </w:pPr>
            <w:r w:rsidRPr="00806B7F">
              <w:rPr>
                <w:rFonts w:ascii="Arial" w:hAnsi="Arial" w:cs="Arial"/>
                <w:sz w:val="20"/>
              </w:rPr>
              <w:t>Service Development</w:t>
            </w:r>
          </w:p>
        </w:tc>
        <w:tc>
          <w:tcPr>
            <w:tcW w:w="1213" w:type="dxa"/>
            <w:gridSpan w:val="2"/>
            <w:tcBorders>
              <w:top w:val="nil"/>
              <w:left w:val="nil"/>
              <w:bottom w:val="nil"/>
              <w:right w:val="nil"/>
            </w:tcBorders>
            <w:shd w:val="clear" w:color="auto" w:fill="auto"/>
            <w:noWrap/>
            <w:hideMark/>
          </w:tcPr>
          <w:p w14:paraId="08303AE0" w14:textId="77777777" w:rsidR="007C5B19" w:rsidRPr="00806B7F" w:rsidRDefault="007C5B19" w:rsidP="00A369A1">
            <w:pPr>
              <w:jc w:val="right"/>
              <w:rPr>
                <w:rFonts w:ascii="Arial" w:hAnsi="Arial" w:cs="Arial"/>
                <w:sz w:val="20"/>
              </w:rPr>
            </w:pPr>
            <w:r w:rsidRPr="00806B7F">
              <w:rPr>
                <w:rFonts w:ascii="Arial" w:hAnsi="Arial" w:cs="Arial"/>
                <w:sz w:val="20"/>
              </w:rPr>
              <w:t>1.962</w:t>
            </w:r>
          </w:p>
        </w:tc>
        <w:tc>
          <w:tcPr>
            <w:tcW w:w="1214" w:type="dxa"/>
            <w:gridSpan w:val="2"/>
            <w:tcBorders>
              <w:top w:val="nil"/>
              <w:left w:val="nil"/>
              <w:bottom w:val="nil"/>
              <w:right w:val="nil"/>
            </w:tcBorders>
            <w:shd w:val="clear" w:color="auto" w:fill="auto"/>
            <w:noWrap/>
            <w:hideMark/>
          </w:tcPr>
          <w:p w14:paraId="3D4F532E" w14:textId="77777777" w:rsidR="007C5B19" w:rsidRPr="00806B7F" w:rsidRDefault="007C5B19" w:rsidP="00A369A1">
            <w:pPr>
              <w:jc w:val="right"/>
              <w:rPr>
                <w:rFonts w:ascii="Arial" w:hAnsi="Arial" w:cs="Arial"/>
                <w:sz w:val="20"/>
              </w:rPr>
            </w:pPr>
            <w:r w:rsidRPr="00806B7F">
              <w:rPr>
                <w:rFonts w:ascii="Arial" w:hAnsi="Arial" w:cs="Arial"/>
                <w:sz w:val="20"/>
              </w:rPr>
              <w:t>2.048</w:t>
            </w:r>
          </w:p>
        </w:tc>
        <w:tc>
          <w:tcPr>
            <w:tcW w:w="1214" w:type="dxa"/>
            <w:gridSpan w:val="2"/>
            <w:tcBorders>
              <w:top w:val="nil"/>
              <w:left w:val="nil"/>
              <w:bottom w:val="nil"/>
              <w:right w:val="nil"/>
            </w:tcBorders>
            <w:shd w:val="clear" w:color="auto" w:fill="auto"/>
            <w:noWrap/>
            <w:hideMark/>
          </w:tcPr>
          <w:p w14:paraId="2736E135" w14:textId="77777777" w:rsidR="007C5B19" w:rsidRPr="00806B7F" w:rsidRDefault="007C5B19" w:rsidP="00A369A1">
            <w:pPr>
              <w:jc w:val="right"/>
              <w:rPr>
                <w:rFonts w:ascii="Arial" w:hAnsi="Arial" w:cs="Arial"/>
                <w:sz w:val="20"/>
              </w:rPr>
            </w:pPr>
            <w:r w:rsidRPr="00806B7F">
              <w:rPr>
                <w:rFonts w:ascii="Arial" w:hAnsi="Arial" w:cs="Arial"/>
                <w:sz w:val="20"/>
              </w:rPr>
              <w:t>2.111</w:t>
            </w:r>
          </w:p>
        </w:tc>
        <w:tc>
          <w:tcPr>
            <w:tcW w:w="1214" w:type="dxa"/>
            <w:gridSpan w:val="2"/>
            <w:tcBorders>
              <w:top w:val="nil"/>
              <w:left w:val="nil"/>
              <w:bottom w:val="nil"/>
              <w:right w:val="nil"/>
            </w:tcBorders>
            <w:shd w:val="clear" w:color="auto" w:fill="auto"/>
            <w:noWrap/>
            <w:hideMark/>
          </w:tcPr>
          <w:p w14:paraId="7F6A6B64" w14:textId="77777777" w:rsidR="007C5B19" w:rsidRPr="00806B7F" w:rsidRDefault="007C5B19" w:rsidP="00A369A1">
            <w:pPr>
              <w:jc w:val="right"/>
              <w:rPr>
                <w:rFonts w:ascii="Arial" w:hAnsi="Arial" w:cs="Arial"/>
                <w:sz w:val="20"/>
              </w:rPr>
            </w:pPr>
            <w:r w:rsidRPr="00806B7F">
              <w:rPr>
                <w:rFonts w:ascii="Arial" w:hAnsi="Arial" w:cs="Arial"/>
                <w:sz w:val="20"/>
              </w:rPr>
              <w:t>2.155</w:t>
            </w:r>
          </w:p>
        </w:tc>
        <w:tc>
          <w:tcPr>
            <w:tcW w:w="1214" w:type="dxa"/>
            <w:gridSpan w:val="2"/>
            <w:tcBorders>
              <w:top w:val="nil"/>
              <w:left w:val="nil"/>
              <w:bottom w:val="nil"/>
              <w:right w:val="nil"/>
            </w:tcBorders>
            <w:shd w:val="clear" w:color="auto" w:fill="auto"/>
            <w:noWrap/>
            <w:hideMark/>
          </w:tcPr>
          <w:p w14:paraId="30A6E3EC" w14:textId="77777777" w:rsidR="007C5B19" w:rsidRPr="00806B7F" w:rsidRDefault="007C5B19" w:rsidP="00A369A1">
            <w:pPr>
              <w:jc w:val="right"/>
              <w:rPr>
                <w:rFonts w:ascii="Arial" w:hAnsi="Arial" w:cs="Arial"/>
                <w:sz w:val="20"/>
              </w:rPr>
            </w:pPr>
            <w:r w:rsidRPr="00806B7F">
              <w:rPr>
                <w:rFonts w:ascii="Arial" w:hAnsi="Arial" w:cs="Arial"/>
                <w:sz w:val="20"/>
              </w:rPr>
              <w:t>2.199</w:t>
            </w:r>
          </w:p>
        </w:tc>
      </w:tr>
      <w:tr w:rsidR="007C5B19" w:rsidRPr="00806B7F" w14:paraId="0E31CB3D"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6A338647" w14:textId="77777777" w:rsidR="007C5B19" w:rsidRPr="00806B7F" w:rsidRDefault="007C5B19" w:rsidP="00A369A1">
            <w:pPr>
              <w:rPr>
                <w:rFonts w:ascii="Arial" w:hAnsi="Arial" w:cs="Arial"/>
                <w:sz w:val="20"/>
              </w:rPr>
            </w:pPr>
            <w:r w:rsidRPr="00806B7F">
              <w:rPr>
                <w:rFonts w:ascii="Arial" w:hAnsi="Arial" w:cs="Arial"/>
                <w:sz w:val="20"/>
              </w:rPr>
              <w:t>Training</w:t>
            </w:r>
          </w:p>
        </w:tc>
        <w:tc>
          <w:tcPr>
            <w:tcW w:w="1213" w:type="dxa"/>
            <w:gridSpan w:val="2"/>
            <w:tcBorders>
              <w:top w:val="nil"/>
              <w:left w:val="nil"/>
              <w:bottom w:val="nil"/>
              <w:right w:val="nil"/>
            </w:tcBorders>
            <w:shd w:val="clear" w:color="auto" w:fill="auto"/>
            <w:noWrap/>
            <w:hideMark/>
          </w:tcPr>
          <w:p w14:paraId="55B345DB" w14:textId="77777777" w:rsidR="007C5B19" w:rsidRPr="00806B7F" w:rsidRDefault="007C5B19" w:rsidP="00A369A1">
            <w:pPr>
              <w:jc w:val="right"/>
              <w:rPr>
                <w:rFonts w:ascii="Arial" w:hAnsi="Arial" w:cs="Arial"/>
                <w:sz w:val="20"/>
              </w:rPr>
            </w:pPr>
            <w:r w:rsidRPr="00806B7F">
              <w:rPr>
                <w:rFonts w:ascii="Arial" w:hAnsi="Arial" w:cs="Arial"/>
                <w:sz w:val="20"/>
              </w:rPr>
              <w:t>4.571</w:t>
            </w:r>
          </w:p>
        </w:tc>
        <w:tc>
          <w:tcPr>
            <w:tcW w:w="1214" w:type="dxa"/>
            <w:gridSpan w:val="2"/>
            <w:tcBorders>
              <w:top w:val="nil"/>
              <w:left w:val="nil"/>
              <w:bottom w:val="nil"/>
              <w:right w:val="nil"/>
            </w:tcBorders>
            <w:shd w:val="clear" w:color="auto" w:fill="auto"/>
            <w:noWrap/>
            <w:hideMark/>
          </w:tcPr>
          <w:p w14:paraId="598BCA42" w14:textId="77777777" w:rsidR="007C5B19" w:rsidRPr="00806B7F" w:rsidRDefault="007C5B19" w:rsidP="00A369A1">
            <w:pPr>
              <w:jc w:val="right"/>
              <w:rPr>
                <w:rFonts w:ascii="Arial" w:hAnsi="Arial" w:cs="Arial"/>
                <w:sz w:val="20"/>
              </w:rPr>
            </w:pPr>
            <w:r w:rsidRPr="00806B7F">
              <w:rPr>
                <w:rFonts w:ascii="Arial" w:hAnsi="Arial" w:cs="Arial"/>
                <w:sz w:val="20"/>
              </w:rPr>
              <w:t>4.456</w:t>
            </w:r>
          </w:p>
        </w:tc>
        <w:tc>
          <w:tcPr>
            <w:tcW w:w="1214" w:type="dxa"/>
            <w:gridSpan w:val="2"/>
            <w:tcBorders>
              <w:top w:val="nil"/>
              <w:left w:val="nil"/>
              <w:bottom w:val="nil"/>
              <w:right w:val="nil"/>
            </w:tcBorders>
            <w:shd w:val="clear" w:color="auto" w:fill="auto"/>
            <w:noWrap/>
            <w:hideMark/>
          </w:tcPr>
          <w:p w14:paraId="62DB2ECD" w14:textId="77777777" w:rsidR="007C5B19" w:rsidRPr="00806B7F" w:rsidRDefault="007C5B19" w:rsidP="00A369A1">
            <w:pPr>
              <w:jc w:val="right"/>
              <w:rPr>
                <w:rFonts w:ascii="Arial" w:hAnsi="Arial" w:cs="Arial"/>
                <w:sz w:val="20"/>
              </w:rPr>
            </w:pPr>
            <w:r w:rsidRPr="00806B7F">
              <w:rPr>
                <w:rFonts w:ascii="Arial" w:hAnsi="Arial" w:cs="Arial"/>
                <w:sz w:val="20"/>
              </w:rPr>
              <w:t>4.673</w:t>
            </w:r>
          </w:p>
        </w:tc>
        <w:tc>
          <w:tcPr>
            <w:tcW w:w="1214" w:type="dxa"/>
            <w:gridSpan w:val="2"/>
            <w:tcBorders>
              <w:top w:val="nil"/>
              <w:left w:val="nil"/>
              <w:bottom w:val="nil"/>
              <w:right w:val="nil"/>
            </w:tcBorders>
            <w:shd w:val="clear" w:color="auto" w:fill="auto"/>
            <w:noWrap/>
            <w:hideMark/>
          </w:tcPr>
          <w:p w14:paraId="0D9F4CBC" w14:textId="77777777" w:rsidR="007C5B19" w:rsidRPr="00806B7F" w:rsidRDefault="007C5B19" w:rsidP="00A369A1">
            <w:pPr>
              <w:jc w:val="right"/>
              <w:rPr>
                <w:rFonts w:ascii="Arial" w:hAnsi="Arial" w:cs="Arial"/>
                <w:sz w:val="20"/>
              </w:rPr>
            </w:pPr>
            <w:r w:rsidRPr="00806B7F">
              <w:rPr>
                <w:rFonts w:ascii="Arial" w:hAnsi="Arial" w:cs="Arial"/>
                <w:sz w:val="20"/>
              </w:rPr>
              <w:t>4.882</w:t>
            </w:r>
          </w:p>
        </w:tc>
        <w:tc>
          <w:tcPr>
            <w:tcW w:w="1214" w:type="dxa"/>
            <w:gridSpan w:val="2"/>
            <w:tcBorders>
              <w:top w:val="nil"/>
              <w:left w:val="nil"/>
              <w:bottom w:val="nil"/>
              <w:right w:val="nil"/>
            </w:tcBorders>
            <w:shd w:val="clear" w:color="auto" w:fill="auto"/>
            <w:noWrap/>
            <w:hideMark/>
          </w:tcPr>
          <w:p w14:paraId="334F8F1B" w14:textId="77777777" w:rsidR="007C5B19" w:rsidRPr="00806B7F" w:rsidRDefault="007C5B19" w:rsidP="00A369A1">
            <w:pPr>
              <w:jc w:val="right"/>
              <w:rPr>
                <w:rFonts w:ascii="Arial" w:hAnsi="Arial" w:cs="Arial"/>
                <w:sz w:val="20"/>
              </w:rPr>
            </w:pPr>
            <w:r w:rsidRPr="00806B7F">
              <w:rPr>
                <w:rFonts w:ascii="Arial" w:hAnsi="Arial" w:cs="Arial"/>
                <w:sz w:val="20"/>
              </w:rPr>
              <w:t>5.066</w:t>
            </w:r>
          </w:p>
        </w:tc>
      </w:tr>
      <w:tr w:rsidR="007C5B19" w:rsidRPr="00806B7F" w14:paraId="52EC43C9"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274EA121" w14:textId="77777777" w:rsidR="007C5B19" w:rsidRPr="00806B7F" w:rsidRDefault="007C5B19" w:rsidP="00A369A1">
            <w:pPr>
              <w:rPr>
                <w:rFonts w:ascii="Arial" w:hAnsi="Arial" w:cs="Arial"/>
                <w:sz w:val="20"/>
              </w:rPr>
            </w:pPr>
            <w:r w:rsidRPr="00806B7F">
              <w:rPr>
                <w:rFonts w:ascii="Arial" w:hAnsi="Arial" w:cs="Arial"/>
                <w:sz w:val="20"/>
              </w:rPr>
              <w:t>Fleet Services</w:t>
            </w:r>
          </w:p>
        </w:tc>
        <w:tc>
          <w:tcPr>
            <w:tcW w:w="1213" w:type="dxa"/>
            <w:gridSpan w:val="2"/>
            <w:tcBorders>
              <w:top w:val="nil"/>
              <w:left w:val="nil"/>
              <w:bottom w:val="nil"/>
              <w:right w:val="nil"/>
            </w:tcBorders>
            <w:shd w:val="clear" w:color="auto" w:fill="auto"/>
            <w:noWrap/>
            <w:hideMark/>
          </w:tcPr>
          <w:p w14:paraId="0E882AC9" w14:textId="77777777" w:rsidR="007C5B19" w:rsidRPr="00806B7F" w:rsidRDefault="007C5B19" w:rsidP="00A369A1">
            <w:pPr>
              <w:jc w:val="right"/>
              <w:rPr>
                <w:rFonts w:ascii="Arial" w:hAnsi="Arial" w:cs="Arial"/>
                <w:sz w:val="20"/>
              </w:rPr>
            </w:pPr>
            <w:r w:rsidRPr="00806B7F">
              <w:rPr>
                <w:rFonts w:ascii="Arial" w:hAnsi="Arial" w:cs="Arial"/>
                <w:sz w:val="20"/>
              </w:rPr>
              <w:t>3.282</w:t>
            </w:r>
          </w:p>
        </w:tc>
        <w:tc>
          <w:tcPr>
            <w:tcW w:w="1214" w:type="dxa"/>
            <w:gridSpan w:val="2"/>
            <w:tcBorders>
              <w:top w:val="nil"/>
              <w:left w:val="nil"/>
              <w:bottom w:val="nil"/>
              <w:right w:val="nil"/>
            </w:tcBorders>
            <w:shd w:val="clear" w:color="auto" w:fill="auto"/>
            <w:noWrap/>
            <w:hideMark/>
          </w:tcPr>
          <w:p w14:paraId="18DE128D" w14:textId="77777777" w:rsidR="007C5B19" w:rsidRPr="00806B7F" w:rsidRDefault="007C5B19" w:rsidP="00A369A1">
            <w:pPr>
              <w:jc w:val="right"/>
              <w:rPr>
                <w:rFonts w:ascii="Arial" w:hAnsi="Arial" w:cs="Arial"/>
                <w:sz w:val="20"/>
              </w:rPr>
            </w:pPr>
            <w:r w:rsidRPr="00806B7F">
              <w:rPr>
                <w:rFonts w:ascii="Arial" w:hAnsi="Arial" w:cs="Arial"/>
                <w:sz w:val="20"/>
              </w:rPr>
              <w:t>3.403</w:t>
            </w:r>
          </w:p>
        </w:tc>
        <w:tc>
          <w:tcPr>
            <w:tcW w:w="1214" w:type="dxa"/>
            <w:gridSpan w:val="2"/>
            <w:tcBorders>
              <w:top w:val="nil"/>
              <w:left w:val="nil"/>
              <w:bottom w:val="nil"/>
              <w:right w:val="nil"/>
            </w:tcBorders>
            <w:shd w:val="clear" w:color="auto" w:fill="auto"/>
            <w:noWrap/>
            <w:hideMark/>
          </w:tcPr>
          <w:p w14:paraId="1A7A612C" w14:textId="77777777" w:rsidR="007C5B19" w:rsidRPr="00806B7F" w:rsidRDefault="007C5B19" w:rsidP="00A369A1">
            <w:pPr>
              <w:jc w:val="right"/>
              <w:rPr>
                <w:rFonts w:ascii="Arial" w:hAnsi="Arial" w:cs="Arial"/>
                <w:sz w:val="20"/>
              </w:rPr>
            </w:pPr>
            <w:r w:rsidRPr="00806B7F">
              <w:rPr>
                <w:rFonts w:ascii="Arial" w:hAnsi="Arial" w:cs="Arial"/>
                <w:sz w:val="20"/>
              </w:rPr>
              <w:t>3.461</w:t>
            </w:r>
          </w:p>
        </w:tc>
        <w:tc>
          <w:tcPr>
            <w:tcW w:w="1214" w:type="dxa"/>
            <w:gridSpan w:val="2"/>
            <w:tcBorders>
              <w:top w:val="nil"/>
              <w:left w:val="nil"/>
              <w:bottom w:val="nil"/>
              <w:right w:val="nil"/>
            </w:tcBorders>
            <w:shd w:val="clear" w:color="auto" w:fill="auto"/>
            <w:noWrap/>
            <w:hideMark/>
          </w:tcPr>
          <w:p w14:paraId="63EEA66E" w14:textId="77777777" w:rsidR="007C5B19" w:rsidRPr="00806B7F" w:rsidRDefault="007C5B19" w:rsidP="00A369A1">
            <w:pPr>
              <w:jc w:val="right"/>
              <w:rPr>
                <w:rFonts w:ascii="Arial" w:hAnsi="Arial" w:cs="Arial"/>
                <w:sz w:val="20"/>
              </w:rPr>
            </w:pPr>
            <w:r w:rsidRPr="00806B7F">
              <w:rPr>
                <w:rFonts w:ascii="Arial" w:hAnsi="Arial" w:cs="Arial"/>
                <w:sz w:val="20"/>
              </w:rPr>
              <w:t>3.748</w:t>
            </w:r>
          </w:p>
        </w:tc>
        <w:tc>
          <w:tcPr>
            <w:tcW w:w="1214" w:type="dxa"/>
            <w:gridSpan w:val="2"/>
            <w:tcBorders>
              <w:top w:val="nil"/>
              <w:left w:val="nil"/>
              <w:bottom w:val="nil"/>
              <w:right w:val="nil"/>
            </w:tcBorders>
            <w:shd w:val="clear" w:color="auto" w:fill="auto"/>
            <w:noWrap/>
            <w:hideMark/>
          </w:tcPr>
          <w:p w14:paraId="5573B4CF" w14:textId="77777777" w:rsidR="007C5B19" w:rsidRPr="00806B7F" w:rsidRDefault="007C5B19" w:rsidP="00A369A1">
            <w:pPr>
              <w:jc w:val="right"/>
              <w:rPr>
                <w:rFonts w:ascii="Arial" w:hAnsi="Arial" w:cs="Arial"/>
                <w:sz w:val="20"/>
              </w:rPr>
            </w:pPr>
            <w:r w:rsidRPr="00806B7F">
              <w:rPr>
                <w:rFonts w:ascii="Arial" w:hAnsi="Arial" w:cs="Arial"/>
                <w:sz w:val="20"/>
              </w:rPr>
              <w:t>3.581</w:t>
            </w:r>
          </w:p>
        </w:tc>
      </w:tr>
      <w:tr w:rsidR="007C5B19" w:rsidRPr="00806B7F" w14:paraId="1D9E8476"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4CF16703" w14:textId="77777777" w:rsidR="007C5B19" w:rsidRPr="00806B7F" w:rsidRDefault="007C5B19" w:rsidP="00A369A1">
            <w:pPr>
              <w:rPr>
                <w:rFonts w:ascii="Arial" w:hAnsi="Arial" w:cs="Arial"/>
                <w:sz w:val="20"/>
              </w:rPr>
            </w:pPr>
            <w:r w:rsidRPr="00806B7F">
              <w:rPr>
                <w:rFonts w:ascii="Arial" w:hAnsi="Arial" w:cs="Arial"/>
                <w:sz w:val="20"/>
              </w:rPr>
              <w:t>ICT</w:t>
            </w:r>
          </w:p>
        </w:tc>
        <w:tc>
          <w:tcPr>
            <w:tcW w:w="1213" w:type="dxa"/>
            <w:gridSpan w:val="2"/>
            <w:tcBorders>
              <w:top w:val="nil"/>
              <w:left w:val="nil"/>
              <w:bottom w:val="nil"/>
              <w:right w:val="nil"/>
            </w:tcBorders>
            <w:shd w:val="clear" w:color="auto" w:fill="auto"/>
            <w:noWrap/>
            <w:hideMark/>
          </w:tcPr>
          <w:p w14:paraId="6409B4A1" w14:textId="77777777" w:rsidR="007C5B19" w:rsidRPr="00806B7F" w:rsidRDefault="007C5B19" w:rsidP="00A369A1">
            <w:pPr>
              <w:jc w:val="right"/>
              <w:rPr>
                <w:rFonts w:ascii="Arial" w:hAnsi="Arial" w:cs="Arial"/>
                <w:sz w:val="20"/>
              </w:rPr>
            </w:pPr>
            <w:r w:rsidRPr="00806B7F">
              <w:rPr>
                <w:rFonts w:ascii="Arial" w:hAnsi="Arial" w:cs="Arial"/>
                <w:sz w:val="20"/>
              </w:rPr>
              <w:t>3.330</w:t>
            </w:r>
          </w:p>
        </w:tc>
        <w:tc>
          <w:tcPr>
            <w:tcW w:w="1214" w:type="dxa"/>
            <w:gridSpan w:val="2"/>
            <w:tcBorders>
              <w:top w:val="nil"/>
              <w:left w:val="nil"/>
              <w:bottom w:val="nil"/>
              <w:right w:val="nil"/>
            </w:tcBorders>
            <w:shd w:val="clear" w:color="auto" w:fill="auto"/>
            <w:noWrap/>
            <w:hideMark/>
          </w:tcPr>
          <w:p w14:paraId="63637CD2" w14:textId="77777777" w:rsidR="007C5B19" w:rsidRPr="00806B7F" w:rsidRDefault="007C5B19" w:rsidP="00A369A1">
            <w:pPr>
              <w:jc w:val="right"/>
              <w:rPr>
                <w:rFonts w:ascii="Arial" w:hAnsi="Arial" w:cs="Arial"/>
                <w:sz w:val="20"/>
              </w:rPr>
            </w:pPr>
            <w:r w:rsidRPr="00806B7F">
              <w:rPr>
                <w:rFonts w:ascii="Arial" w:hAnsi="Arial" w:cs="Arial"/>
                <w:sz w:val="20"/>
              </w:rPr>
              <w:t>3.415</w:t>
            </w:r>
          </w:p>
        </w:tc>
        <w:tc>
          <w:tcPr>
            <w:tcW w:w="1214" w:type="dxa"/>
            <w:gridSpan w:val="2"/>
            <w:tcBorders>
              <w:top w:val="nil"/>
              <w:left w:val="nil"/>
              <w:bottom w:val="nil"/>
              <w:right w:val="nil"/>
            </w:tcBorders>
            <w:shd w:val="clear" w:color="auto" w:fill="auto"/>
            <w:noWrap/>
            <w:hideMark/>
          </w:tcPr>
          <w:p w14:paraId="7AB8798C" w14:textId="77777777" w:rsidR="007C5B19" w:rsidRPr="00806B7F" w:rsidRDefault="007C5B19" w:rsidP="00A369A1">
            <w:pPr>
              <w:jc w:val="right"/>
              <w:rPr>
                <w:rFonts w:ascii="Arial" w:hAnsi="Arial" w:cs="Arial"/>
                <w:sz w:val="20"/>
              </w:rPr>
            </w:pPr>
            <w:r w:rsidRPr="00806B7F">
              <w:rPr>
                <w:rFonts w:ascii="Arial" w:hAnsi="Arial" w:cs="Arial"/>
                <w:sz w:val="20"/>
              </w:rPr>
              <w:t>3.519</w:t>
            </w:r>
          </w:p>
        </w:tc>
        <w:tc>
          <w:tcPr>
            <w:tcW w:w="1214" w:type="dxa"/>
            <w:gridSpan w:val="2"/>
            <w:tcBorders>
              <w:top w:val="nil"/>
              <w:left w:val="nil"/>
              <w:bottom w:val="nil"/>
              <w:right w:val="nil"/>
            </w:tcBorders>
            <w:shd w:val="clear" w:color="auto" w:fill="auto"/>
            <w:noWrap/>
            <w:hideMark/>
          </w:tcPr>
          <w:p w14:paraId="121BFA54" w14:textId="77777777" w:rsidR="007C5B19" w:rsidRPr="00806B7F" w:rsidRDefault="007C5B19" w:rsidP="00A369A1">
            <w:pPr>
              <w:jc w:val="right"/>
              <w:rPr>
                <w:rFonts w:ascii="Arial" w:hAnsi="Arial" w:cs="Arial"/>
                <w:sz w:val="20"/>
              </w:rPr>
            </w:pPr>
            <w:r w:rsidRPr="00806B7F">
              <w:rPr>
                <w:rFonts w:ascii="Arial" w:hAnsi="Arial" w:cs="Arial"/>
                <w:sz w:val="20"/>
              </w:rPr>
              <w:t>3.608</w:t>
            </w:r>
          </w:p>
        </w:tc>
        <w:tc>
          <w:tcPr>
            <w:tcW w:w="1214" w:type="dxa"/>
            <w:gridSpan w:val="2"/>
            <w:tcBorders>
              <w:top w:val="nil"/>
              <w:left w:val="nil"/>
              <w:bottom w:val="nil"/>
              <w:right w:val="nil"/>
            </w:tcBorders>
            <w:shd w:val="clear" w:color="auto" w:fill="auto"/>
            <w:noWrap/>
            <w:hideMark/>
          </w:tcPr>
          <w:p w14:paraId="565F35C4" w14:textId="77777777" w:rsidR="007C5B19" w:rsidRPr="00806B7F" w:rsidRDefault="007C5B19" w:rsidP="00A369A1">
            <w:pPr>
              <w:jc w:val="right"/>
              <w:rPr>
                <w:rFonts w:ascii="Arial" w:hAnsi="Arial" w:cs="Arial"/>
                <w:sz w:val="20"/>
              </w:rPr>
            </w:pPr>
            <w:r w:rsidRPr="00806B7F">
              <w:rPr>
                <w:rFonts w:ascii="Arial" w:hAnsi="Arial" w:cs="Arial"/>
                <w:sz w:val="20"/>
              </w:rPr>
              <w:t>3.699</w:t>
            </w:r>
          </w:p>
        </w:tc>
      </w:tr>
      <w:tr w:rsidR="007C5B19" w:rsidRPr="00806B7F" w14:paraId="399F597E"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654C57B1" w14:textId="77777777" w:rsidR="007C5B19" w:rsidRPr="00806B7F" w:rsidRDefault="007C5B19" w:rsidP="00A369A1">
            <w:pPr>
              <w:rPr>
                <w:rFonts w:ascii="Arial" w:hAnsi="Arial" w:cs="Arial"/>
                <w:sz w:val="20"/>
              </w:rPr>
            </w:pPr>
            <w:r w:rsidRPr="00806B7F">
              <w:rPr>
                <w:rFonts w:ascii="Arial" w:hAnsi="Arial" w:cs="Arial"/>
                <w:sz w:val="20"/>
              </w:rPr>
              <w:t>Digital Transformation</w:t>
            </w:r>
          </w:p>
        </w:tc>
        <w:tc>
          <w:tcPr>
            <w:tcW w:w="1213" w:type="dxa"/>
            <w:gridSpan w:val="2"/>
            <w:tcBorders>
              <w:top w:val="nil"/>
              <w:left w:val="nil"/>
              <w:bottom w:val="nil"/>
              <w:right w:val="nil"/>
            </w:tcBorders>
            <w:shd w:val="clear" w:color="auto" w:fill="auto"/>
            <w:noWrap/>
            <w:hideMark/>
          </w:tcPr>
          <w:p w14:paraId="3CCCFD50" w14:textId="77777777" w:rsidR="007C5B19" w:rsidRPr="00806B7F" w:rsidRDefault="007C5B19" w:rsidP="00A369A1">
            <w:pPr>
              <w:jc w:val="right"/>
              <w:rPr>
                <w:rFonts w:ascii="Arial" w:hAnsi="Arial" w:cs="Arial"/>
                <w:sz w:val="20"/>
              </w:rPr>
            </w:pPr>
            <w:r w:rsidRPr="00806B7F">
              <w:rPr>
                <w:rFonts w:ascii="Arial" w:hAnsi="Arial" w:cs="Arial"/>
                <w:sz w:val="20"/>
              </w:rPr>
              <w:t>0.609</w:t>
            </w:r>
          </w:p>
        </w:tc>
        <w:tc>
          <w:tcPr>
            <w:tcW w:w="1214" w:type="dxa"/>
            <w:gridSpan w:val="2"/>
            <w:tcBorders>
              <w:top w:val="nil"/>
              <w:left w:val="nil"/>
              <w:bottom w:val="nil"/>
              <w:right w:val="nil"/>
            </w:tcBorders>
            <w:shd w:val="clear" w:color="auto" w:fill="auto"/>
            <w:noWrap/>
            <w:hideMark/>
          </w:tcPr>
          <w:p w14:paraId="1F1EC200" w14:textId="77777777" w:rsidR="007C5B19" w:rsidRPr="00806B7F" w:rsidRDefault="007C5B19" w:rsidP="00A369A1">
            <w:pPr>
              <w:jc w:val="right"/>
              <w:rPr>
                <w:rFonts w:ascii="Arial" w:hAnsi="Arial" w:cs="Arial"/>
                <w:sz w:val="20"/>
              </w:rPr>
            </w:pPr>
            <w:r w:rsidRPr="00806B7F">
              <w:rPr>
                <w:rFonts w:ascii="Arial" w:hAnsi="Arial" w:cs="Arial"/>
                <w:sz w:val="20"/>
              </w:rPr>
              <w:t>0.635</w:t>
            </w:r>
          </w:p>
        </w:tc>
        <w:tc>
          <w:tcPr>
            <w:tcW w:w="1214" w:type="dxa"/>
            <w:gridSpan w:val="2"/>
            <w:tcBorders>
              <w:top w:val="nil"/>
              <w:left w:val="nil"/>
              <w:bottom w:val="nil"/>
              <w:right w:val="nil"/>
            </w:tcBorders>
            <w:shd w:val="clear" w:color="auto" w:fill="auto"/>
            <w:noWrap/>
            <w:hideMark/>
          </w:tcPr>
          <w:p w14:paraId="7A054EF7" w14:textId="77777777" w:rsidR="007C5B19" w:rsidRPr="00806B7F" w:rsidRDefault="007C5B19" w:rsidP="00A369A1">
            <w:pPr>
              <w:jc w:val="right"/>
              <w:rPr>
                <w:rFonts w:ascii="Arial" w:hAnsi="Arial" w:cs="Arial"/>
                <w:sz w:val="20"/>
              </w:rPr>
            </w:pPr>
            <w:r w:rsidRPr="00806B7F">
              <w:rPr>
                <w:rFonts w:ascii="Arial" w:hAnsi="Arial" w:cs="Arial"/>
                <w:sz w:val="20"/>
              </w:rPr>
              <w:t>0.662</w:t>
            </w:r>
          </w:p>
        </w:tc>
        <w:tc>
          <w:tcPr>
            <w:tcW w:w="1214" w:type="dxa"/>
            <w:gridSpan w:val="2"/>
            <w:tcBorders>
              <w:top w:val="nil"/>
              <w:left w:val="nil"/>
              <w:bottom w:val="nil"/>
              <w:right w:val="nil"/>
            </w:tcBorders>
            <w:shd w:val="clear" w:color="auto" w:fill="auto"/>
            <w:noWrap/>
            <w:hideMark/>
          </w:tcPr>
          <w:p w14:paraId="38B3592F" w14:textId="77777777" w:rsidR="007C5B19" w:rsidRPr="00806B7F" w:rsidRDefault="007C5B19" w:rsidP="00A369A1">
            <w:pPr>
              <w:jc w:val="right"/>
              <w:rPr>
                <w:rFonts w:ascii="Arial" w:hAnsi="Arial" w:cs="Arial"/>
                <w:sz w:val="20"/>
              </w:rPr>
            </w:pPr>
            <w:r w:rsidRPr="00806B7F">
              <w:rPr>
                <w:rFonts w:ascii="Arial" w:hAnsi="Arial" w:cs="Arial"/>
                <w:sz w:val="20"/>
              </w:rPr>
              <w:t>0.625</w:t>
            </w:r>
          </w:p>
        </w:tc>
        <w:tc>
          <w:tcPr>
            <w:tcW w:w="1214" w:type="dxa"/>
            <w:gridSpan w:val="2"/>
            <w:tcBorders>
              <w:top w:val="nil"/>
              <w:left w:val="nil"/>
              <w:bottom w:val="nil"/>
              <w:right w:val="nil"/>
            </w:tcBorders>
            <w:shd w:val="clear" w:color="auto" w:fill="auto"/>
            <w:noWrap/>
            <w:hideMark/>
          </w:tcPr>
          <w:p w14:paraId="537138DD" w14:textId="77777777" w:rsidR="007C5B19" w:rsidRPr="00806B7F" w:rsidRDefault="007C5B19" w:rsidP="00A369A1">
            <w:pPr>
              <w:jc w:val="right"/>
              <w:rPr>
                <w:rFonts w:ascii="Arial" w:hAnsi="Arial" w:cs="Arial"/>
                <w:sz w:val="20"/>
              </w:rPr>
            </w:pPr>
            <w:r w:rsidRPr="00806B7F">
              <w:rPr>
                <w:rFonts w:ascii="Arial" w:hAnsi="Arial" w:cs="Arial"/>
                <w:sz w:val="20"/>
              </w:rPr>
              <w:t>0.638</w:t>
            </w:r>
          </w:p>
        </w:tc>
      </w:tr>
      <w:tr w:rsidR="007C5B19" w:rsidRPr="00806B7F" w14:paraId="17AF5FA0"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3138FD22" w14:textId="77777777" w:rsidR="007C5B19" w:rsidRPr="00806B7F" w:rsidRDefault="007C5B19" w:rsidP="00A369A1">
            <w:pPr>
              <w:rPr>
                <w:rFonts w:ascii="Arial" w:hAnsi="Arial" w:cs="Arial"/>
                <w:sz w:val="20"/>
              </w:rPr>
            </w:pPr>
            <w:r w:rsidRPr="00806B7F">
              <w:rPr>
                <w:rFonts w:ascii="Arial" w:hAnsi="Arial" w:cs="Arial"/>
                <w:sz w:val="20"/>
              </w:rPr>
              <w:t>Human Resources</w:t>
            </w:r>
          </w:p>
        </w:tc>
        <w:tc>
          <w:tcPr>
            <w:tcW w:w="1213" w:type="dxa"/>
            <w:gridSpan w:val="2"/>
            <w:tcBorders>
              <w:top w:val="nil"/>
              <w:left w:val="nil"/>
              <w:bottom w:val="nil"/>
              <w:right w:val="nil"/>
            </w:tcBorders>
            <w:shd w:val="clear" w:color="auto" w:fill="auto"/>
            <w:noWrap/>
            <w:hideMark/>
          </w:tcPr>
          <w:p w14:paraId="7253CA54" w14:textId="77777777" w:rsidR="007C5B19" w:rsidRPr="00806B7F" w:rsidRDefault="007C5B19" w:rsidP="00A369A1">
            <w:pPr>
              <w:jc w:val="right"/>
              <w:rPr>
                <w:rFonts w:ascii="Arial" w:hAnsi="Arial" w:cs="Arial"/>
                <w:sz w:val="20"/>
              </w:rPr>
            </w:pPr>
            <w:r w:rsidRPr="00806B7F">
              <w:rPr>
                <w:rFonts w:ascii="Arial" w:hAnsi="Arial" w:cs="Arial"/>
                <w:sz w:val="20"/>
              </w:rPr>
              <w:t>1.071</w:t>
            </w:r>
          </w:p>
        </w:tc>
        <w:tc>
          <w:tcPr>
            <w:tcW w:w="1214" w:type="dxa"/>
            <w:gridSpan w:val="2"/>
            <w:tcBorders>
              <w:top w:val="nil"/>
              <w:left w:val="nil"/>
              <w:bottom w:val="nil"/>
              <w:right w:val="nil"/>
            </w:tcBorders>
            <w:shd w:val="clear" w:color="auto" w:fill="auto"/>
            <w:noWrap/>
            <w:hideMark/>
          </w:tcPr>
          <w:p w14:paraId="1385F593" w14:textId="77777777" w:rsidR="007C5B19" w:rsidRPr="00806B7F" w:rsidRDefault="007C5B19" w:rsidP="00A369A1">
            <w:pPr>
              <w:jc w:val="right"/>
              <w:rPr>
                <w:rFonts w:ascii="Arial" w:hAnsi="Arial" w:cs="Arial"/>
                <w:sz w:val="20"/>
              </w:rPr>
            </w:pPr>
            <w:r w:rsidRPr="00806B7F">
              <w:rPr>
                <w:rFonts w:ascii="Arial" w:hAnsi="Arial" w:cs="Arial"/>
                <w:sz w:val="20"/>
              </w:rPr>
              <w:t>1.119</w:t>
            </w:r>
          </w:p>
        </w:tc>
        <w:tc>
          <w:tcPr>
            <w:tcW w:w="1214" w:type="dxa"/>
            <w:gridSpan w:val="2"/>
            <w:tcBorders>
              <w:top w:val="nil"/>
              <w:left w:val="nil"/>
              <w:bottom w:val="nil"/>
              <w:right w:val="nil"/>
            </w:tcBorders>
            <w:shd w:val="clear" w:color="auto" w:fill="auto"/>
            <w:noWrap/>
            <w:hideMark/>
          </w:tcPr>
          <w:p w14:paraId="152AC206" w14:textId="77777777" w:rsidR="007C5B19" w:rsidRPr="00806B7F" w:rsidRDefault="007C5B19" w:rsidP="00A369A1">
            <w:pPr>
              <w:jc w:val="right"/>
              <w:rPr>
                <w:rFonts w:ascii="Arial" w:hAnsi="Arial" w:cs="Arial"/>
                <w:sz w:val="20"/>
              </w:rPr>
            </w:pPr>
            <w:r w:rsidRPr="00806B7F">
              <w:rPr>
                <w:rFonts w:ascii="Arial" w:hAnsi="Arial" w:cs="Arial"/>
                <w:sz w:val="20"/>
              </w:rPr>
              <w:t>1.093</w:t>
            </w:r>
          </w:p>
        </w:tc>
        <w:tc>
          <w:tcPr>
            <w:tcW w:w="1214" w:type="dxa"/>
            <w:gridSpan w:val="2"/>
            <w:tcBorders>
              <w:top w:val="nil"/>
              <w:left w:val="nil"/>
              <w:bottom w:val="nil"/>
              <w:right w:val="nil"/>
            </w:tcBorders>
            <w:shd w:val="clear" w:color="auto" w:fill="auto"/>
            <w:noWrap/>
            <w:hideMark/>
          </w:tcPr>
          <w:p w14:paraId="24622DCF" w14:textId="77777777" w:rsidR="007C5B19" w:rsidRPr="00806B7F" w:rsidRDefault="007C5B19" w:rsidP="00A369A1">
            <w:pPr>
              <w:jc w:val="right"/>
              <w:rPr>
                <w:rFonts w:ascii="Arial" w:hAnsi="Arial" w:cs="Arial"/>
                <w:sz w:val="20"/>
              </w:rPr>
            </w:pPr>
            <w:r w:rsidRPr="00806B7F">
              <w:rPr>
                <w:rFonts w:ascii="Arial" w:hAnsi="Arial" w:cs="Arial"/>
                <w:sz w:val="20"/>
              </w:rPr>
              <w:t>1.116</w:t>
            </w:r>
          </w:p>
        </w:tc>
        <w:tc>
          <w:tcPr>
            <w:tcW w:w="1214" w:type="dxa"/>
            <w:gridSpan w:val="2"/>
            <w:tcBorders>
              <w:top w:val="nil"/>
              <w:left w:val="nil"/>
              <w:bottom w:val="nil"/>
              <w:right w:val="nil"/>
            </w:tcBorders>
            <w:shd w:val="clear" w:color="auto" w:fill="auto"/>
            <w:noWrap/>
            <w:hideMark/>
          </w:tcPr>
          <w:p w14:paraId="65841891" w14:textId="77777777" w:rsidR="007C5B19" w:rsidRPr="00806B7F" w:rsidRDefault="007C5B19" w:rsidP="00A369A1">
            <w:pPr>
              <w:jc w:val="right"/>
              <w:rPr>
                <w:rFonts w:ascii="Arial" w:hAnsi="Arial" w:cs="Arial"/>
                <w:sz w:val="20"/>
              </w:rPr>
            </w:pPr>
            <w:r w:rsidRPr="00806B7F">
              <w:rPr>
                <w:rFonts w:ascii="Arial" w:hAnsi="Arial" w:cs="Arial"/>
                <w:sz w:val="20"/>
              </w:rPr>
              <w:t>1.139</w:t>
            </w:r>
          </w:p>
        </w:tc>
      </w:tr>
      <w:tr w:rsidR="007C5B19" w:rsidRPr="00806B7F" w14:paraId="0E8B6FA1"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3DF434A6" w14:textId="77777777" w:rsidR="007C5B19" w:rsidRPr="00806B7F" w:rsidRDefault="007C5B19" w:rsidP="00A369A1">
            <w:pPr>
              <w:rPr>
                <w:rFonts w:ascii="Arial" w:hAnsi="Arial" w:cs="Arial"/>
                <w:sz w:val="20"/>
              </w:rPr>
            </w:pPr>
            <w:r w:rsidRPr="00806B7F">
              <w:rPr>
                <w:rFonts w:ascii="Arial" w:hAnsi="Arial" w:cs="Arial"/>
                <w:sz w:val="20"/>
              </w:rPr>
              <w:t>Occupational Health</w:t>
            </w:r>
          </w:p>
        </w:tc>
        <w:tc>
          <w:tcPr>
            <w:tcW w:w="1213" w:type="dxa"/>
            <w:gridSpan w:val="2"/>
            <w:tcBorders>
              <w:top w:val="nil"/>
              <w:left w:val="nil"/>
              <w:bottom w:val="nil"/>
              <w:right w:val="nil"/>
            </w:tcBorders>
            <w:shd w:val="clear" w:color="auto" w:fill="auto"/>
            <w:noWrap/>
            <w:hideMark/>
          </w:tcPr>
          <w:p w14:paraId="5C948EA2" w14:textId="77777777" w:rsidR="007C5B19" w:rsidRPr="00806B7F" w:rsidRDefault="007C5B19" w:rsidP="00A369A1">
            <w:pPr>
              <w:jc w:val="right"/>
              <w:rPr>
                <w:rFonts w:ascii="Arial" w:hAnsi="Arial" w:cs="Arial"/>
                <w:sz w:val="20"/>
              </w:rPr>
            </w:pPr>
            <w:r w:rsidRPr="00806B7F">
              <w:rPr>
                <w:rFonts w:ascii="Arial" w:hAnsi="Arial" w:cs="Arial"/>
                <w:sz w:val="20"/>
              </w:rPr>
              <w:t>0.318</w:t>
            </w:r>
          </w:p>
        </w:tc>
        <w:tc>
          <w:tcPr>
            <w:tcW w:w="1214" w:type="dxa"/>
            <w:gridSpan w:val="2"/>
            <w:tcBorders>
              <w:top w:val="nil"/>
              <w:left w:val="nil"/>
              <w:bottom w:val="nil"/>
              <w:right w:val="nil"/>
            </w:tcBorders>
            <w:shd w:val="clear" w:color="auto" w:fill="auto"/>
            <w:noWrap/>
            <w:hideMark/>
          </w:tcPr>
          <w:p w14:paraId="4A30BDE2" w14:textId="77777777" w:rsidR="007C5B19" w:rsidRPr="00806B7F" w:rsidRDefault="007C5B19" w:rsidP="00A369A1">
            <w:pPr>
              <w:jc w:val="right"/>
              <w:rPr>
                <w:rFonts w:ascii="Arial" w:hAnsi="Arial" w:cs="Arial"/>
                <w:sz w:val="20"/>
              </w:rPr>
            </w:pPr>
            <w:r w:rsidRPr="00806B7F">
              <w:rPr>
                <w:rFonts w:ascii="Arial" w:hAnsi="Arial" w:cs="Arial"/>
                <w:sz w:val="20"/>
              </w:rPr>
              <w:t>0.330</w:t>
            </w:r>
          </w:p>
        </w:tc>
        <w:tc>
          <w:tcPr>
            <w:tcW w:w="1214" w:type="dxa"/>
            <w:gridSpan w:val="2"/>
            <w:tcBorders>
              <w:top w:val="nil"/>
              <w:left w:val="nil"/>
              <w:bottom w:val="nil"/>
              <w:right w:val="nil"/>
            </w:tcBorders>
            <w:shd w:val="clear" w:color="auto" w:fill="auto"/>
            <w:noWrap/>
            <w:hideMark/>
          </w:tcPr>
          <w:p w14:paraId="4AF1698F" w14:textId="77777777" w:rsidR="007C5B19" w:rsidRPr="00806B7F" w:rsidRDefault="007C5B19" w:rsidP="00A369A1">
            <w:pPr>
              <w:jc w:val="right"/>
              <w:rPr>
                <w:rFonts w:ascii="Arial" w:hAnsi="Arial" w:cs="Arial"/>
                <w:sz w:val="20"/>
              </w:rPr>
            </w:pPr>
            <w:r w:rsidRPr="00806B7F">
              <w:rPr>
                <w:rFonts w:ascii="Arial" w:hAnsi="Arial" w:cs="Arial"/>
                <w:sz w:val="20"/>
              </w:rPr>
              <w:t>0.342</w:t>
            </w:r>
          </w:p>
        </w:tc>
        <w:tc>
          <w:tcPr>
            <w:tcW w:w="1214" w:type="dxa"/>
            <w:gridSpan w:val="2"/>
            <w:tcBorders>
              <w:top w:val="nil"/>
              <w:left w:val="nil"/>
              <w:bottom w:val="nil"/>
              <w:right w:val="nil"/>
            </w:tcBorders>
            <w:shd w:val="clear" w:color="auto" w:fill="auto"/>
            <w:noWrap/>
            <w:hideMark/>
          </w:tcPr>
          <w:p w14:paraId="2A6B605A" w14:textId="77777777" w:rsidR="007C5B19" w:rsidRPr="00806B7F" w:rsidRDefault="007C5B19" w:rsidP="00A369A1">
            <w:pPr>
              <w:jc w:val="right"/>
              <w:rPr>
                <w:rFonts w:ascii="Arial" w:hAnsi="Arial" w:cs="Arial"/>
                <w:sz w:val="20"/>
              </w:rPr>
            </w:pPr>
            <w:r w:rsidRPr="00806B7F">
              <w:rPr>
                <w:rFonts w:ascii="Arial" w:hAnsi="Arial" w:cs="Arial"/>
                <w:sz w:val="20"/>
              </w:rPr>
              <w:t>0.350</w:t>
            </w:r>
          </w:p>
        </w:tc>
        <w:tc>
          <w:tcPr>
            <w:tcW w:w="1214" w:type="dxa"/>
            <w:gridSpan w:val="2"/>
            <w:tcBorders>
              <w:top w:val="nil"/>
              <w:left w:val="nil"/>
              <w:bottom w:val="nil"/>
              <w:right w:val="nil"/>
            </w:tcBorders>
            <w:shd w:val="clear" w:color="auto" w:fill="auto"/>
            <w:noWrap/>
            <w:hideMark/>
          </w:tcPr>
          <w:p w14:paraId="745C2885" w14:textId="77777777" w:rsidR="007C5B19" w:rsidRPr="00806B7F" w:rsidRDefault="007C5B19" w:rsidP="00A369A1">
            <w:pPr>
              <w:jc w:val="right"/>
              <w:rPr>
                <w:rFonts w:ascii="Arial" w:hAnsi="Arial" w:cs="Arial"/>
                <w:sz w:val="20"/>
              </w:rPr>
            </w:pPr>
            <w:r w:rsidRPr="00806B7F">
              <w:rPr>
                <w:rFonts w:ascii="Arial" w:hAnsi="Arial" w:cs="Arial"/>
                <w:sz w:val="20"/>
              </w:rPr>
              <w:t>0.357</w:t>
            </w:r>
          </w:p>
        </w:tc>
      </w:tr>
      <w:tr w:rsidR="007C5B19" w:rsidRPr="00806B7F" w14:paraId="25E68C8C"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64629F7" w14:textId="77777777" w:rsidR="007C5B19" w:rsidRPr="00806B7F" w:rsidRDefault="007C5B19" w:rsidP="00A369A1">
            <w:pPr>
              <w:rPr>
                <w:rFonts w:ascii="Arial" w:hAnsi="Arial" w:cs="Arial"/>
                <w:sz w:val="20"/>
              </w:rPr>
            </w:pPr>
            <w:r w:rsidRPr="00806B7F">
              <w:rPr>
                <w:rFonts w:ascii="Arial" w:hAnsi="Arial" w:cs="Arial"/>
                <w:sz w:val="20"/>
              </w:rPr>
              <w:t>Corporate Communications</w:t>
            </w:r>
          </w:p>
        </w:tc>
        <w:tc>
          <w:tcPr>
            <w:tcW w:w="1213" w:type="dxa"/>
            <w:gridSpan w:val="2"/>
            <w:tcBorders>
              <w:top w:val="nil"/>
              <w:left w:val="nil"/>
              <w:bottom w:val="nil"/>
              <w:right w:val="nil"/>
            </w:tcBorders>
            <w:shd w:val="clear" w:color="auto" w:fill="auto"/>
            <w:noWrap/>
            <w:hideMark/>
          </w:tcPr>
          <w:p w14:paraId="1CC49E3B" w14:textId="77777777" w:rsidR="007C5B19" w:rsidRPr="00806B7F" w:rsidRDefault="007C5B19" w:rsidP="00A369A1">
            <w:pPr>
              <w:jc w:val="right"/>
              <w:rPr>
                <w:rFonts w:ascii="Arial" w:hAnsi="Arial" w:cs="Arial"/>
                <w:sz w:val="20"/>
              </w:rPr>
            </w:pPr>
            <w:r w:rsidRPr="00806B7F">
              <w:rPr>
                <w:rFonts w:ascii="Arial" w:hAnsi="Arial" w:cs="Arial"/>
                <w:sz w:val="20"/>
              </w:rPr>
              <w:t>0.386</w:t>
            </w:r>
          </w:p>
        </w:tc>
        <w:tc>
          <w:tcPr>
            <w:tcW w:w="1214" w:type="dxa"/>
            <w:gridSpan w:val="2"/>
            <w:tcBorders>
              <w:top w:val="nil"/>
              <w:left w:val="nil"/>
              <w:bottom w:val="nil"/>
              <w:right w:val="nil"/>
            </w:tcBorders>
            <w:shd w:val="clear" w:color="auto" w:fill="auto"/>
            <w:noWrap/>
            <w:hideMark/>
          </w:tcPr>
          <w:p w14:paraId="3DF70B6F" w14:textId="77777777" w:rsidR="007C5B19" w:rsidRPr="00806B7F" w:rsidRDefault="007C5B19" w:rsidP="00A369A1">
            <w:pPr>
              <w:jc w:val="right"/>
              <w:rPr>
                <w:rFonts w:ascii="Arial" w:hAnsi="Arial" w:cs="Arial"/>
                <w:sz w:val="20"/>
              </w:rPr>
            </w:pPr>
            <w:r w:rsidRPr="00806B7F">
              <w:rPr>
                <w:rFonts w:ascii="Arial" w:hAnsi="Arial" w:cs="Arial"/>
                <w:sz w:val="20"/>
              </w:rPr>
              <w:t>0.403</w:t>
            </w:r>
          </w:p>
        </w:tc>
        <w:tc>
          <w:tcPr>
            <w:tcW w:w="1214" w:type="dxa"/>
            <w:gridSpan w:val="2"/>
            <w:tcBorders>
              <w:top w:val="nil"/>
              <w:left w:val="nil"/>
              <w:bottom w:val="nil"/>
              <w:right w:val="nil"/>
            </w:tcBorders>
            <w:shd w:val="clear" w:color="auto" w:fill="auto"/>
            <w:noWrap/>
            <w:hideMark/>
          </w:tcPr>
          <w:p w14:paraId="497E7E89" w14:textId="77777777" w:rsidR="007C5B19" w:rsidRPr="00806B7F" w:rsidRDefault="007C5B19" w:rsidP="00A369A1">
            <w:pPr>
              <w:jc w:val="right"/>
              <w:rPr>
                <w:rFonts w:ascii="Arial" w:hAnsi="Arial" w:cs="Arial"/>
                <w:sz w:val="20"/>
              </w:rPr>
            </w:pPr>
            <w:r w:rsidRPr="00806B7F">
              <w:rPr>
                <w:rFonts w:ascii="Arial" w:hAnsi="Arial" w:cs="Arial"/>
                <w:sz w:val="20"/>
              </w:rPr>
              <w:t>0.420</w:t>
            </w:r>
          </w:p>
        </w:tc>
        <w:tc>
          <w:tcPr>
            <w:tcW w:w="1214" w:type="dxa"/>
            <w:gridSpan w:val="2"/>
            <w:tcBorders>
              <w:top w:val="nil"/>
              <w:left w:val="nil"/>
              <w:bottom w:val="nil"/>
              <w:right w:val="nil"/>
            </w:tcBorders>
            <w:shd w:val="clear" w:color="auto" w:fill="auto"/>
            <w:noWrap/>
            <w:hideMark/>
          </w:tcPr>
          <w:p w14:paraId="14C9261D" w14:textId="77777777" w:rsidR="007C5B19" w:rsidRPr="00806B7F" w:rsidRDefault="007C5B19" w:rsidP="00A369A1">
            <w:pPr>
              <w:jc w:val="right"/>
              <w:rPr>
                <w:rFonts w:ascii="Arial" w:hAnsi="Arial" w:cs="Arial"/>
                <w:sz w:val="20"/>
              </w:rPr>
            </w:pPr>
            <w:r w:rsidRPr="00806B7F">
              <w:rPr>
                <w:rFonts w:ascii="Arial" w:hAnsi="Arial" w:cs="Arial"/>
                <w:sz w:val="20"/>
              </w:rPr>
              <w:t>0.429</w:t>
            </w:r>
          </w:p>
        </w:tc>
        <w:tc>
          <w:tcPr>
            <w:tcW w:w="1214" w:type="dxa"/>
            <w:gridSpan w:val="2"/>
            <w:tcBorders>
              <w:top w:val="nil"/>
              <w:left w:val="nil"/>
              <w:bottom w:val="nil"/>
              <w:right w:val="nil"/>
            </w:tcBorders>
            <w:shd w:val="clear" w:color="auto" w:fill="auto"/>
            <w:noWrap/>
            <w:hideMark/>
          </w:tcPr>
          <w:p w14:paraId="03C7DFEF" w14:textId="77777777" w:rsidR="007C5B19" w:rsidRPr="00806B7F" w:rsidRDefault="007C5B19" w:rsidP="00A369A1">
            <w:pPr>
              <w:jc w:val="right"/>
              <w:rPr>
                <w:rFonts w:ascii="Arial" w:hAnsi="Arial" w:cs="Arial"/>
                <w:sz w:val="20"/>
              </w:rPr>
            </w:pPr>
            <w:r w:rsidRPr="00806B7F">
              <w:rPr>
                <w:rFonts w:ascii="Arial" w:hAnsi="Arial" w:cs="Arial"/>
                <w:sz w:val="20"/>
              </w:rPr>
              <w:t>0.438</w:t>
            </w:r>
          </w:p>
        </w:tc>
      </w:tr>
      <w:tr w:rsidR="007C5B19" w:rsidRPr="00806B7F" w14:paraId="1B635258"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8AA9D98" w14:textId="77777777" w:rsidR="007C5B19" w:rsidRPr="00806B7F" w:rsidRDefault="007C5B19" w:rsidP="00A369A1">
            <w:pPr>
              <w:rPr>
                <w:rFonts w:ascii="Arial" w:hAnsi="Arial" w:cs="Arial"/>
                <w:sz w:val="20"/>
              </w:rPr>
            </w:pPr>
            <w:r w:rsidRPr="00806B7F">
              <w:rPr>
                <w:rFonts w:ascii="Arial" w:hAnsi="Arial" w:cs="Arial"/>
                <w:sz w:val="20"/>
              </w:rPr>
              <w:t>Health &amp; Safety</w:t>
            </w:r>
          </w:p>
        </w:tc>
        <w:tc>
          <w:tcPr>
            <w:tcW w:w="1213" w:type="dxa"/>
            <w:gridSpan w:val="2"/>
            <w:tcBorders>
              <w:top w:val="nil"/>
              <w:left w:val="nil"/>
              <w:bottom w:val="nil"/>
              <w:right w:val="nil"/>
            </w:tcBorders>
            <w:shd w:val="clear" w:color="auto" w:fill="auto"/>
            <w:noWrap/>
            <w:hideMark/>
          </w:tcPr>
          <w:p w14:paraId="646C95AD" w14:textId="77777777" w:rsidR="007C5B19" w:rsidRPr="00806B7F" w:rsidRDefault="007C5B19" w:rsidP="00A369A1">
            <w:pPr>
              <w:jc w:val="right"/>
              <w:rPr>
                <w:rFonts w:ascii="Arial" w:hAnsi="Arial" w:cs="Arial"/>
                <w:sz w:val="20"/>
              </w:rPr>
            </w:pPr>
            <w:r w:rsidRPr="00806B7F">
              <w:rPr>
                <w:rFonts w:ascii="Arial" w:hAnsi="Arial" w:cs="Arial"/>
                <w:sz w:val="20"/>
              </w:rPr>
              <w:t>0.288</w:t>
            </w:r>
          </w:p>
        </w:tc>
        <w:tc>
          <w:tcPr>
            <w:tcW w:w="1214" w:type="dxa"/>
            <w:gridSpan w:val="2"/>
            <w:tcBorders>
              <w:top w:val="nil"/>
              <w:left w:val="nil"/>
              <w:bottom w:val="nil"/>
              <w:right w:val="nil"/>
            </w:tcBorders>
            <w:shd w:val="clear" w:color="auto" w:fill="auto"/>
            <w:noWrap/>
            <w:hideMark/>
          </w:tcPr>
          <w:p w14:paraId="34B6F64C" w14:textId="77777777" w:rsidR="007C5B19" w:rsidRPr="00806B7F" w:rsidRDefault="007C5B19" w:rsidP="00A369A1">
            <w:pPr>
              <w:jc w:val="right"/>
              <w:rPr>
                <w:rFonts w:ascii="Arial" w:hAnsi="Arial" w:cs="Arial"/>
                <w:sz w:val="20"/>
              </w:rPr>
            </w:pPr>
            <w:r w:rsidRPr="00806B7F">
              <w:rPr>
                <w:rFonts w:ascii="Arial" w:hAnsi="Arial" w:cs="Arial"/>
                <w:sz w:val="20"/>
              </w:rPr>
              <w:t>0.299</w:t>
            </w:r>
          </w:p>
        </w:tc>
        <w:tc>
          <w:tcPr>
            <w:tcW w:w="1214" w:type="dxa"/>
            <w:gridSpan w:val="2"/>
            <w:tcBorders>
              <w:top w:val="nil"/>
              <w:left w:val="nil"/>
              <w:bottom w:val="nil"/>
              <w:right w:val="nil"/>
            </w:tcBorders>
            <w:shd w:val="clear" w:color="auto" w:fill="auto"/>
            <w:noWrap/>
            <w:hideMark/>
          </w:tcPr>
          <w:p w14:paraId="6A13A363" w14:textId="77777777" w:rsidR="007C5B19" w:rsidRPr="00806B7F" w:rsidRDefault="007C5B19" w:rsidP="00A369A1">
            <w:pPr>
              <w:jc w:val="right"/>
              <w:rPr>
                <w:rFonts w:ascii="Arial" w:hAnsi="Arial" w:cs="Arial"/>
                <w:sz w:val="20"/>
              </w:rPr>
            </w:pPr>
            <w:r w:rsidRPr="00806B7F">
              <w:rPr>
                <w:rFonts w:ascii="Arial" w:hAnsi="Arial" w:cs="Arial"/>
                <w:sz w:val="20"/>
              </w:rPr>
              <w:t>0.311</w:t>
            </w:r>
          </w:p>
        </w:tc>
        <w:tc>
          <w:tcPr>
            <w:tcW w:w="1214" w:type="dxa"/>
            <w:gridSpan w:val="2"/>
            <w:tcBorders>
              <w:top w:val="nil"/>
              <w:left w:val="nil"/>
              <w:bottom w:val="nil"/>
              <w:right w:val="nil"/>
            </w:tcBorders>
            <w:shd w:val="clear" w:color="auto" w:fill="auto"/>
            <w:noWrap/>
            <w:hideMark/>
          </w:tcPr>
          <w:p w14:paraId="0E700EBE" w14:textId="77777777" w:rsidR="007C5B19" w:rsidRPr="00806B7F" w:rsidRDefault="007C5B19" w:rsidP="00A369A1">
            <w:pPr>
              <w:jc w:val="right"/>
              <w:rPr>
                <w:rFonts w:ascii="Arial" w:hAnsi="Arial" w:cs="Arial"/>
                <w:sz w:val="20"/>
              </w:rPr>
            </w:pPr>
            <w:r w:rsidRPr="00806B7F">
              <w:rPr>
                <w:rFonts w:ascii="Arial" w:hAnsi="Arial" w:cs="Arial"/>
                <w:sz w:val="20"/>
              </w:rPr>
              <w:t>0.318</w:t>
            </w:r>
          </w:p>
        </w:tc>
        <w:tc>
          <w:tcPr>
            <w:tcW w:w="1214" w:type="dxa"/>
            <w:gridSpan w:val="2"/>
            <w:tcBorders>
              <w:top w:val="nil"/>
              <w:left w:val="nil"/>
              <w:bottom w:val="nil"/>
              <w:right w:val="nil"/>
            </w:tcBorders>
            <w:shd w:val="clear" w:color="auto" w:fill="auto"/>
            <w:noWrap/>
            <w:hideMark/>
          </w:tcPr>
          <w:p w14:paraId="7BF25993" w14:textId="77777777" w:rsidR="007C5B19" w:rsidRPr="00806B7F" w:rsidRDefault="007C5B19" w:rsidP="00A369A1">
            <w:pPr>
              <w:jc w:val="right"/>
              <w:rPr>
                <w:rFonts w:ascii="Arial" w:hAnsi="Arial" w:cs="Arial"/>
                <w:sz w:val="20"/>
              </w:rPr>
            </w:pPr>
            <w:r w:rsidRPr="00806B7F">
              <w:rPr>
                <w:rFonts w:ascii="Arial" w:hAnsi="Arial" w:cs="Arial"/>
                <w:sz w:val="20"/>
              </w:rPr>
              <w:t>0.324</w:t>
            </w:r>
          </w:p>
        </w:tc>
      </w:tr>
      <w:tr w:rsidR="007C5B19" w:rsidRPr="00806B7F" w14:paraId="2DF090F7"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4C5AA9D9" w14:textId="77777777" w:rsidR="007C5B19" w:rsidRPr="00806B7F" w:rsidRDefault="007C5B19" w:rsidP="00A369A1">
            <w:pPr>
              <w:rPr>
                <w:rFonts w:ascii="Arial" w:hAnsi="Arial" w:cs="Arial"/>
                <w:sz w:val="20"/>
              </w:rPr>
            </w:pPr>
            <w:r w:rsidRPr="00806B7F">
              <w:rPr>
                <w:rFonts w:ascii="Arial" w:hAnsi="Arial" w:cs="Arial"/>
                <w:sz w:val="20"/>
              </w:rPr>
              <w:t>Executive Board</w:t>
            </w:r>
          </w:p>
        </w:tc>
        <w:tc>
          <w:tcPr>
            <w:tcW w:w="1213" w:type="dxa"/>
            <w:gridSpan w:val="2"/>
            <w:tcBorders>
              <w:top w:val="nil"/>
              <w:left w:val="nil"/>
              <w:bottom w:val="nil"/>
              <w:right w:val="nil"/>
            </w:tcBorders>
            <w:shd w:val="clear" w:color="auto" w:fill="auto"/>
            <w:noWrap/>
            <w:hideMark/>
          </w:tcPr>
          <w:p w14:paraId="4D32C64B" w14:textId="77777777" w:rsidR="007C5B19" w:rsidRPr="00806B7F" w:rsidRDefault="007C5B19" w:rsidP="00A369A1">
            <w:pPr>
              <w:jc w:val="right"/>
              <w:rPr>
                <w:rFonts w:ascii="Arial" w:hAnsi="Arial" w:cs="Arial"/>
                <w:sz w:val="20"/>
              </w:rPr>
            </w:pPr>
            <w:r w:rsidRPr="00806B7F">
              <w:rPr>
                <w:rFonts w:ascii="Arial" w:hAnsi="Arial" w:cs="Arial"/>
                <w:sz w:val="20"/>
              </w:rPr>
              <w:t>1.124</w:t>
            </w:r>
          </w:p>
        </w:tc>
        <w:tc>
          <w:tcPr>
            <w:tcW w:w="1214" w:type="dxa"/>
            <w:gridSpan w:val="2"/>
            <w:tcBorders>
              <w:top w:val="nil"/>
              <w:left w:val="nil"/>
              <w:bottom w:val="nil"/>
              <w:right w:val="nil"/>
            </w:tcBorders>
            <w:shd w:val="clear" w:color="auto" w:fill="auto"/>
            <w:noWrap/>
            <w:hideMark/>
          </w:tcPr>
          <w:p w14:paraId="2FEE0AA2" w14:textId="77777777" w:rsidR="007C5B19" w:rsidRPr="00806B7F" w:rsidRDefault="007C5B19" w:rsidP="00A369A1">
            <w:pPr>
              <w:jc w:val="right"/>
              <w:rPr>
                <w:rFonts w:ascii="Arial" w:hAnsi="Arial" w:cs="Arial"/>
                <w:sz w:val="20"/>
              </w:rPr>
            </w:pPr>
            <w:r w:rsidRPr="00806B7F">
              <w:rPr>
                <w:rFonts w:ascii="Arial" w:hAnsi="Arial" w:cs="Arial"/>
                <w:sz w:val="20"/>
              </w:rPr>
              <w:t>1.177</w:t>
            </w:r>
          </w:p>
        </w:tc>
        <w:tc>
          <w:tcPr>
            <w:tcW w:w="1214" w:type="dxa"/>
            <w:gridSpan w:val="2"/>
            <w:tcBorders>
              <w:top w:val="nil"/>
              <w:left w:val="nil"/>
              <w:bottom w:val="nil"/>
              <w:right w:val="nil"/>
            </w:tcBorders>
            <w:shd w:val="clear" w:color="auto" w:fill="auto"/>
            <w:noWrap/>
            <w:hideMark/>
          </w:tcPr>
          <w:p w14:paraId="5A1AA518" w14:textId="77777777" w:rsidR="007C5B19" w:rsidRPr="00806B7F" w:rsidRDefault="007C5B19" w:rsidP="00A369A1">
            <w:pPr>
              <w:jc w:val="right"/>
              <w:rPr>
                <w:rFonts w:ascii="Arial" w:hAnsi="Arial" w:cs="Arial"/>
                <w:sz w:val="20"/>
              </w:rPr>
            </w:pPr>
            <w:r w:rsidRPr="00806B7F">
              <w:rPr>
                <w:rFonts w:ascii="Arial" w:hAnsi="Arial" w:cs="Arial"/>
                <w:sz w:val="20"/>
              </w:rPr>
              <w:t>1.211</w:t>
            </w:r>
          </w:p>
        </w:tc>
        <w:tc>
          <w:tcPr>
            <w:tcW w:w="1214" w:type="dxa"/>
            <w:gridSpan w:val="2"/>
            <w:tcBorders>
              <w:top w:val="nil"/>
              <w:left w:val="nil"/>
              <w:bottom w:val="nil"/>
              <w:right w:val="nil"/>
            </w:tcBorders>
            <w:shd w:val="clear" w:color="auto" w:fill="auto"/>
            <w:noWrap/>
            <w:hideMark/>
          </w:tcPr>
          <w:p w14:paraId="4B3C650E" w14:textId="77777777" w:rsidR="007C5B19" w:rsidRPr="00806B7F" w:rsidRDefault="007C5B19" w:rsidP="00A369A1">
            <w:pPr>
              <w:jc w:val="right"/>
              <w:rPr>
                <w:rFonts w:ascii="Arial" w:hAnsi="Arial" w:cs="Arial"/>
                <w:sz w:val="20"/>
              </w:rPr>
            </w:pPr>
            <w:r w:rsidRPr="00806B7F">
              <w:rPr>
                <w:rFonts w:ascii="Arial" w:hAnsi="Arial" w:cs="Arial"/>
                <w:sz w:val="20"/>
              </w:rPr>
              <w:t>1.236</w:t>
            </w:r>
          </w:p>
        </w:tc>
        <w:tc>
          <w:tcPr>
            <w:tcW w:w="1214" w:type="dxa"/>
            <w:gridSpan w:val="2"/>
            <w:tcBorders>
              <w:top w:val="nil"/>
              <w:left w:val="nil"/>
              <w:bottom w:val="nil"/>
              <w:right w:val="nil"/>
            </w:tcBorders>
            <w:shd w:val="clear" w:color="auto" w:fill="auto"/>
            <w:noWrap/>
            <w:hideMark/>
          </w:tcPr>
          <w:p w14:paraId="66FDB408" w14:textId="77777777" w:rsidR="007C5B19" w:rsidRPr="00806B7F" w:rsidRDefault="007C5B19" w:rsidP="00A369A1">
            <w:pPr>
              <w:jc w:val="right"/>
              <w:rPr>
                <w:rFonts w:ascii="Arial" w:hAnsi="Arial" w:cs="Arial"/>
                <w:sz w:val="20"/>
              </w:rPr>
            </w:pPr>
            <w:r w:rsidRPr="00806B7F">
              <w:rPr>
                <w:rFonts w:ascii="Arial" w:hAnsi="Arial" w:cs="Arial"/>
                <w:sz w:val="20"/>
              </w:rPr>
              <w:t>1.261</w:t>
            </w:r>
          </w:p>
        </w:tc>
      </w:tr>
      <w:tr w:rsidR="007C5B19" w:rsidRPr="00806B7F" w14:paraId="46777C20"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00F62974" w14:textId="77777777" w:rsidR="007C5B19" w:rsidRPr="00806B7F" w:rsidRDefault="007C5B19" w:rsidP="00A369A1">
            <w:pPr>
              <w:rPr>
                <w:rFonts w:ascii="Arial" w:hAnsi="Arial" w:cs="Arial"/>
                <w:sz w:val="20"/>
              </w:rPr>
            </w:pPr>
            <w:r w:rsidRPr="00806B7F">
              <w:rPr>
                <w:rFonts w:ascii="Arial" w:hAnsi="Arial" w:cs="Arial"/>
                <w:sz w:val="20"/>
              </w:rPr>
              <w:t>Central Admin Hub</w:t>
            </w:r>
          </w:p>
        </w:tc>
        <w:tc>
          <w:tcPr>
            <w:tcW w:w="1213" w:type="dxa"/>
            <w:gridSpan w:val="2"/>
            <w:tcBorders>
              <w:top w:val="nil"/>
              <w:left w:val="nil"/>
              <w:bottom w:val="nil"/>
              <w:right w:val="nil"/>
            </w:tcBorders>
            <w:shd w:val="clear" w:color="auto" w:fill="auto"/>
            <w:noWrap/>
            <w:hideMark/>
          </w:tcPr>
          <w:p w14:paraId="7EA0F2D2" w14:textId="77777777" w:rsidR="007C5B19" w:rsidRPr="00806B7F" w:rsidRDefault="007C5B19" w:rsidP="00A369A1">
            <w:pPr>
              <w:jc w:val="right"/>
              <w:rPr>
                <w:rFonts w:ascii="Arial" w:hAnsi="Arial" w:cs="Arial"/>
                <w:sz w:val="20"/>
              </w:rPr>
            </w:pPr>
            <w:r w:rsidRPr="00806B7F">
              <w:rPr>
                <w:rFonts w:ascii="Arial" w:hAnsi="Arial" w:cs="Arial"/>
                <w:sz w:val="20"/>
              </w:rPr>
              <w:t>0.955</w:t>
            </w:r>
          </w:p>
        </w:tc>
        <w:tc>
          <w:tcPr>
            <w:tcW w:w="1214" w:type="dxa"/>
            <w:gridSpan w:val="2"/>
            <w:tcBorders>
              <w:top w:val="nil"/>
              <w:left w:val="nil"/>
              <w:bottom w:val="nil"/>
              <w:right w:val="nil"/>
            </w:tcBorders>
            <w:shd w:val="clear" w:color="auto" w:fill="auto"/>
            <w:noWrap/>
            <w:hideMark/>
          </w:tcPr>
          <w:p w14:paraId="7F905E85" w14:textId="77777777" w:rsidR="007C5B19" w:rsidRPr="00806B7F" w:rsidRDefault="007C5B19" w:rsidP="00A369A1">
            <w:pPr>
              <w:jc w:val="right"/>
              <w:rPr>
                <w:rFonts w:ascii="Arial" w:hAnsi="Arial" w:cs="Arial"/>
                <w:sz w:val="20"/>
              </w:rPr>
            </w:pPr>
            <w:r w:rsidRPr="00806B7F">
              <w:rPr>
                <w:rFonts w:ascii="Arial" w:hAnsi="Arial" w:cs="Arial"/>
                <w:sz w:val="20"/>
              </w:rPr>
              <w:t>0.999</w:t>
            </w:r>
          </w:p>
        </w:tc>
        <w:tc>
          <w:tcPr>
            <w:tcW w:w="1214" w:type="dxa"/>
            <w:gridSpan w:val="2"/>
            <w:tcBorders>
              <w:top w:val="nil"/>
              <w:left w:val="nil"/>
              <w:bottom w:val="nil"/>
              <w:right w:val="nil"/>
            </w:tcBorders>
            <w:shd w:val="clear" w:color="auto" w:fill="auto"/>
            <w:noWrap/>
            <w:hideMark/>
          </w:tcPr>
          <w:p w14:paraId="6086FFD6" w14:textId="77777777" w:rsidR="007C5B19" w:rsidRPr="00806B7F" w:rsidRDefault="007C5B19" w:rsidP="00A369A1">
            <w:pPr>
              <w:jc w:val="right"/>
              <w:rPr>
                <w:rFonts w:ascii="Arial" w:hAnsi="Arial" w:cs="Arial"/>
                <w:sz w:val="20"/>
              </w:rPr>
            </w:pPr>
            <w:r w:rsidRPr="00806B7F">
              <w:rPr>
                <w:rFonts w:ascii="Arial" w:hAnsi="Arial" w:cs="Arial"/>
                <w:sz w:val="20"/>
              </w:rPr>
              <w:t>1.045</w:t>
            </w:r>
          </w:p>
        </w:tc>
        <w:tc>
          <w:tcPr>
            <w:tcW w:w="1214" w:type="dxa"/>
            <w:gridSpan w:val="2"/>
            <w:tcBorders>
              <w:top w:val="nil"/>
              <w:left w:val="nil"/>
              <w:bottom w:val="nil"/>
              <w:right w:val="nil"/>
            </w:tcBorders>
            <w:shd w:val="clear" w:color="auto" w:fill="auto"/>
            <w:noWrap/>
            <w:hideMark/>
          </w:tcPr>
          <w:p w14:paraId="3611A7C2" w14:textId="77777777" w:rsidR="007C5B19" w:rsidRPr="00806B7F" w:rsidRDefault="007C5B19" w:rsidP="00A369A1">
            <w:pPr>
              <w:jc w:val="right"/>
              <w:rPr>
                <w:rFonts w:ascii="Arial" w:hAnsi="Arial" w:cs="Arial"/>
                <w:sz w:val="20"/>
              </w:rPr>
            </w:pPr>
            <w:r w:rsidRPr="00806B7F">
              <w:rPr>
                <w:rFonts w:ascii="Arial" w:hAnsi="Arial" w:cs="Arial"/>
                <w:sz w:val="20"/>
              </w:rPr>
              <w:t>1.067</w:t>
            </w:r>
          </w:p>
        </w:tc>
        <w:tc>
          <w:tcPr>
            <w:tcW w:w="1214" w:type="dxa"/>
            <w:gridSpan w:val="2"/>
            <w:tcBorders>
              <w:top w:val="nil"/>
              <w:left w:val="nil"/>
              <w:bottom w:val="nil"/>
              <w:right w:val="nil"/>
            </w:tcBorders>
            <w:shd w:val="clear" w:color="auto" w:fill="auto"/>
            <w:noWrap/>
            <w:hideMark/>
          </w:tcPr>
          <w:p w14:paraId="5E5D9059" w14:textId="77777777" w:rsidR="007C5B19" w:rsidRPr="00806B7F" w:rsidRDefault="007C5B19" w:rsidP="00A369A1">
            <w:pPr>
              <w:jc w:val="right"/>
              <w:rPr>
                <w:rFonts w:ascii="Arial" w:hAnsi="Arial" w:cs="Arial"/>
                <w:sz w:val="20"/>
              </w:rPr>
            </w:pPr>
            <w:r w:rsidRPr="00806B7F">
              <w:rPr>
                <w:rFonts w:ascii="Arial" w:hAnsi="Arial" w:cs="Arial"/>
                <w:sz w:val="20"/>
              </w:rPr>
              <w:t>1.088</w:t>
            </w:r>
          </w:p>
        </w:tc>
      </w:tr>
      <w:tr w:rsidR="007C5B19" w:rsidRPr="00806B7F" w14:paraId="559DA289"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70E1B0A3" w14:textId="77777777" w:rsidR="007C5B19" w:rsidRPr="00806B7F" w:rsidRDefault="007C5B19" w:rsidP="00A369A1">
            <w:pPr>
              <w:rPr>
                <w:rFonts w:ascii="Arial" w:hAnsi="Arial" w:cs="Arial"/>
                <w:sz w:val="20"/>
              </w:rPr>
            </w:pPr>
            <w:r w:rsidRPr="00806B7F">
              <w:rPr>
                <w:rFonts w:ascii="Arial" w:hAnsi="Arial" w:cs="Arial"/>
                <w:sz w:val="20"/>
              </w:rPr>
              <w:t>Finance</w:t>
            </w:r>
          </w:p>
        </w:tc>
        <w:tc>
          <w:tcPr>
            <w:tcW w:w="1213" w:type="dxa"/>
            <w:gridSpan w:val="2"/>
            <w:tcBorders>
              <w:top w:val="nil"/>
              <w:left w:val="nil"/>
              <w:bottom w:val="nil"/>
              <w:right w:val="nil"/>
            </w:tcBorders>
            <w:shd w:val="clear" w:color="auto" w:fill="auto"/>
            <w:noWrap/>
            <w:hideMark/>
          </w:tcPr>
          <w:p w14:paraId="1D425554" w14:textId="77777777" w:rsidR="007C5B19" w:rsidRPr="00806B7F" w:rsidRDefault="007C5B19" w:rsidP="00A369A1">
            <w:pPr>
              <w:jc w:val="right"/>
              <w:rPr>
                <w:rFonts w:ascii="Arial" w:hAnsi="Arial" w:cs="Arial"/>
                <w:sz w:val="20"/>
              </w:rPr>
            </w:pPr>
            <w:r w:rsidRPr="00806B7F">
              <w:rPr>
                <w:rFonts w:ascii="Arial" w:hAnsi="Arial" w:cs="Arial"/>
                <w:sz w:val="20"/>
              </w:rPr>
              <w:t>0.221</w:t>
            </w:r>
          </w:p>
        </w:tc>
        <w:tc>
          <w:tcPr>
            <w:tcW w:w="1214" w:type="dxa"/>
            <w:gridSpan w:val="2"/>
            <w:tcBorders>
              <w:top w:val="nil"/>
              <w:left w:val="nil"/>
              <w:bottom w:val="nil"/>
              <w:right w:val="nil"/>
            </w:tcBorders>
            <w:shd w:val="clear" w:color="auto" w:fill="auto"/>
            <w:noWrap/>
            <w:hideMark/>
          </w:tcPr>
          <w:p w14:paraId="14D03197" w14:textId="77777777" w:rsidR="007C5B19" w:rsidRPr="00806B7F" w:rsidRDefault="007C5B19" w:rsidP="00A369A1">
            <w:pPr>
              <w:jc w:val="right"/>
              <w:rPr>
                <w:rFonts w:ascii="Arial" w:hAnsi="Arial" w:cs="Arial"/>
                <w:sz w:val="20"/>
              </w:rPr>
            </w:pPr>
            <w:r w:rsidRPr="00806B7F">
              <w:rPr>
                <w:rFonts w:ascii="Arial" w:hAnsi="Arial" w:cs="Arial"/>
                <w:sz w:val="20"/>
              </w:rPr>
              <w:t>0.231</w:t>
            </w:r>
          </w:p>
        </w:tc>
        <w:tc>
          <w:tcPr>
            <w:tcW w:w="1214" w:type="dxa"/>
            <w:gridSpan w:val="2"/>
            <w:tcBorders>
              <w:top w:val="nil"/>
              <w:left w:val="nil"/>
              <w:bottom w:val="nil"/>
              <w:right w:val="nil"/>
            </w:tcBorders>
            <w:shd w:val="clear" w:color="auto" w:fill="auto"/>
            <w:noWrap/>
            <w:hideMark/>
          </w:tcPr>
          <w:p w14:paraId="120B1891" w14:textId="77777777" w:rsidR="007C5B19" w:rsidRPr="00806B7F" w:rsidRDefault="007C5B19" w:rsidP="00A369A1">
            <w:pPr>
              <w:jc w:val="right"/>
              <w:rPr>
                <w:rFonts w:ascii="Arial" w:hAnsi="Arial" w:cs="Arial"/>
                <w:sz w:val="20"/>
              </w:rPr>
            </w:pPr>
            <w:r w:rsidRPr="00806B7F">
              <w:rPr>
                <w:rFonts w:ascii="Arial" w:hAnsi="Arial" w:cs="Arial"/>
                <w:sz w:val="20"/>
              </w:rPr>
              <w:t>0.242</w:t>
            </w:r>
          </w:p>
        </w:tc>
        <w:tc>
          <w:tcPr>
            <w:tcW w:w="1214" w:type="dxa"/>
            <w:gridSpan w:val="2"/>
            <w:tcBorders>
              <w:top w:val="nil"/>
              <w:left w:val="nil"/>
              <w:bottom w:val="nil"/>
              <w:right w:val="nil"/>
            </w:tcBorders>
            <w:shd w:val="clear" w:color="auto" w:fill="auto"/>
            <w:noWrap/>
            <w:hideMark/>
          </w:tcPr>
          <w:p w14:paraId="4EBA3AAE" w14:textId="77777777" w:rsidR="007C5B19" w:rsidRPr="00806B7F" w:rsidRDefault="007C5B19" w:rsidP="00A369A1">
            <w:pPr>
              <w:jc w:val="right"/>
              <w:rPr>
                <w:rFonts w:ascii="Arial" w:hAnsi="Arial" w:cs="Arial"/>
                <w:sz w:val="20"/>
              </w:rPr>
            </w:pPr>
            <w:r w:rsidRPr="00806B7F">
              <w:rPr>
                <w:rFonts w:ascii="Arial" w:hAnsi="Arial" w:cs="Arial"/>
                <w:sz w:val="20"/>
              </w:rPr>
              <w:t>0.247</w:t>
            </w:r>
          </w:p>
        </w:tc>
        <w:tc>
          <w:tcPr>
            <w:tcW w:w="1214" w:type="dxa"/>
            <w:gridSpan w:val="2"/>
            <w:tcBorders>
              <w:top w:val="nil"/>
              <w:left w:val="nil"/>
              <w:bottom w:val="nil"/>
              <w:right w:val="nil"/>
            </w:tcBorders>
            <w:shd w:val="clear" w:color="auto" w:fill="auto"/>
            <w:noWrap/>
            <w:hideMark/>
          </w:tcPr>
          <w:p w14:paraId="596A1467" w14:textId="77777777" w:rsidR="007C5B19" w:rsidRPr="00806B7F" w:rsidRDefault="007C5B19" w:rsidP="00A369A1">
            <w:pPr>
              <w:jc w:val="right"/>
              <w:rPr>
                <w:rFonts w:ascii="Arial" w:hAnsi="Arial" w:cs="Arial"/>
                <w:sz w:val="20"/>
              </w:rPr>
            </w:pPr>
            <w:r w:rsidRPr="00806B7F">
              <w:rPr>
                <w:rFonts w:ascii="Arial" w:hAnsi="Arial" w:cs="Arial"/>
                <w:sz w:val="20"/>
              </w:rPr>
              <w:t>0.252</w:t>
            </w:r>
          </w:p>
        </w:tc>
      </w:tr>
      <w:tr w:rsidR="007C5B19" w:rsidRPr="00806B7F" w14:paraId="76D7F7FA"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B7149EC" w14:textId="77777777" w:rsidR="007C5B19" w:rsidRPr="00806B7F" w:rsidRDefault="007C5B19" w:rsidP="00A369A1">
            <w:pPr>
              <w:rPr>
                <w:rFonts w:ascii="Arial" w:hAnsi="Arial" w:cs="Arial"/>
                <w:sz w:val="20"/>
              </w:rPr>
            </w:pPr>
            <w:r w:rsidRPr="00806B7F">
              <w:rPr>
                <w:rFonts w:ascii="Arial" w:hAnsi="Arial" w:cs="Arial"/>
                <w:sz w:val="20"/>
              </w:rPr>
              <w:t>Procurement</w:t>
            </w:r>
          </w:p>
        </w:tc>
        <w:tc>
          <w:tcPr>
            <w:tcW w:w="1213" w:type="dxa"/>
            <w:gridSpan w:val="2"/>
            <w:tcBorders>
              <w:top w:val="nil"/>
              <w:left w:val="nil"/>
              <w:bottom w:val="nil"/>
              <w:right w:val="nil"/>
            </w:tcBorders>
            <w:shd w:val="clear" w:color="auto" w:fill="auto"/>
            <w:noWrap/>
            <w:hideMark/>
          </w:tcPr>
          <w:p w14:paraId="642DA8A4" w14:textId="77777777" w:rsidR="007C5B19" w:rsidRPr="00806B7F" w:rsidRDefault="007C5B19" w:rsidP="00A369A1">
            <w:pPr>
              <w:jc w:val="right"/>
              <w:rPr>
                <w:rFonts w:ascii="Arial" w:hAnsi="Arial" w:cs="Arial"/>
                <w:sz w:val="20"/>
              </w:rPr>
            </w:pPr>
            <w:r w:rsidRPr="00806B7F">
              <w:rPr>
                <w:rFonts w:ascii="Arial" w:hAnsi="Arial" w:cs="Arial"/>
                <w:sz w:val="20"/>
              </w:rPr>
              <w:t>0.667</w:t>
            </w:r>
          </w:p>
        </w:tc>
        <w:tc>
          <w:tcPr>
            <w:tcW w:w="1214" w:type="dxa"/>
            <w:gridSpan w:val="2"/>
            <w:tcBorders>
              <w:top w:val="nil"/>
              <w:left w:val="nil"/>
              <w:bottom w:val="nil"/>
              <w:right w:val="nil"/>
            </w:tcBorders>
            <w:shd w:val="clear" w:color="auto" w:fill="auto"/>
            <w:noWrap/>
            <w:hideMark/>
          </w:tcPr>
          <w:p w14:paraId="46AB877A" w14:textId="77777777" w:rsidR="007C5B19" w:rsidRPr="00806B7F" w:rsidRDefault="007C5B19" w:rsidP="00A369A1">
            <w:pPr>
              <w:jc w:val="right"/>
              <w:rPr>
                <w:rFonts w:ascii="Arial" w:hAnsi="Arial" w:cs="Arial"/>
                <w:sz w:val="20"/>
              </w:rPr>
            </w:pPr>
            <w:r w:rsidRPr="00806B7F">
              <w:rPr>
                <w:rFonts w:ascii="Arial" w:hAnsi="Arial" w:cs="Arial"/>
                <w:sz w:val="20"/>
              </w:rPr>
              <w:t>0.676</w:t>
            </w:r>
          </w:p>
        </w:tc>
        <w:tc>
          <w:tcPr>
            <w:tcW w:w="1214" w:type="dxa"/>
            <w:gridSpan w:val="2"/>
            <w:tcBorders>
              <w:top w:val="nil"/>
              <w:left w:val="nil"/>
              <w:bottom w:val="nil"/>
              <w:right w:val="nil"/>
            </w:tcBorders>
            <w:shd w:val="clear" w:color="auto" w:fill="auto"/>
            <w:noWrap/>
            <w:hideMark/>
          </w:tcPr>
          <w:p w14:paraId="3D791C60" w14:textId="77777777" w:rsidR="007C5B19" w:rsidRPr="00806B7F" w:rsidRDefault="007C5B19" w:rsidP="00A369A1">
            <w:pPr>
              <w:jc w:val="right"/>
              <w:rPr>
                <w:rFonts w:ascii="Arial" w:hAnsi="Arial" w:cs="Arial"/>
                <w:sz w:val="20"/>
              </w:rPr>
            </w:pPr>
            <w:r w:rsidRPr="00806B7F">
              <w:rPr>
                <w:rFonts w:ascii="Arial" w:hAnsi="Arial" w:cs="Arial"/>
                <w:sz w:val="20"/>
              </w:rPr>
              <w:t>0.907</w:t>
            </w:r>
          </w:p>
        </w:tc>
        <w:tc>
          <w:tcPr>
            <w:tcW w:w="1214" w:type="dxa"/>
            <w:gridSpan w:val="2"/>
            <w:tcBorders>
              <w:top w:val="nil"/>
              <w:left w:val="nil"/>
              <w:bottom w:val="nil"/>
              <w:right w:val="nil"/>
            </w:tcBorders>
            <w:shd w:val="clear" w:color="auto" w:fill="auto"/>
            <w:noWrap/>
            <w:hideMark/>
          </w:tcPr>
          <w:p w14:paraId="6A426C88" w14:textId="77777777" w:rsidR="007C5B19" w:rsidRPr="00806B7F" w:rsidRDefault="007C5B19" w:rsidP="00A369A1">
            <w:pPr>
              <w:jc w:val="right"/>
              <w:rPr>
                <w:rFonts w:ascii="Arial" w:hAnsi="Arial" w:cs="Arial"/>
                <w:sz w:val="20"/>
              </w:rPr>
            </w:pPr>
            <w:r w:rsidRPr="00806B7F">
              <w:rPr>
                <w:rFonts w:ascii="Arial" w:hAnsi="Arial" w:cs="Arial"/>
                <w:sz w:val="20"/>
              </w:rPr>
              <w:t>0.856</w:t>
            </w:r>
          </w:p>
        </w:tc>
        <w:tc>
          <w:tcPr>
            <w:tcW w:w="1214" w:type="dxa"/>
            <w:gridSpan w:val="2"/>
            <w:tcBorders>
              <w:top w:val="nil"/>
              <w:left w:val="nil"/>
              <w:bottom w:val="nil"/>
              <w:right w:val="nil"/>
            </w:tcBorders>
            <w:shd w:val="clear" w:color="auto" w:fill="auto"/>
            <w:noWrap/>
            <w:hideMark/>
          </w:tcPr>
          <w:p w14:paraId="114A9F8F" w14:textId="77777777" w:rsidR="007C5B19" w:rsidRPr="00806B7F" w:rsidRDefault="007C5B19" w:rsidP="00A369A1">
            <w:pPr>
              <w:jc w:val="right"/>
              <w:rPr>
                <w:rFonts w:ascii="Arial" w:hAnsi="Arial" w:cs="Arial"/>
                <w:sz w:val="20"/>
              </w:rPr>
            </w:pPr>
            <w:r w:rsidRPr="00806B7F">
              <w:rPr>
                <w:rFonts w:ascii="Arial" w:hAnsi="Arial" w:cs="Arial"/>
                <w:sz w:val="20"/>
              </w:rPr>
              <w:t>1.080</w:t>
            </w:r>
          </w:p>
        </w:tc>
      </w:tr>
      <w:tr w:rsidR="007C5B19" w:rsidRPr="00806B7F" w14:paraId="34051D2F"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56513984" w14:textId="77777777" w:rsidR="007C5B19" w:rsidRPr="00806B7F" w:rsidRDefault="007C5B19" w:rsidP="00A369A1">
            <w:pPr>
              <w:rPr>
                <w:rFonts w:ascii="Arial" w:hAnsi="Arial" w:cs="Arial"/>
                <w:sz w:val="20"/>
              </w:rPr>
            </w:pPr>
            <w:r w:rsidRPr="00806B7F">
              <w:rPr>
                <w:rFonts w:ascii="Arial" w:hAnsi="Arial" w:cs="Arial"/>
                <w:sz w:val="20"/>
              </w:rPr>
              <w:t>Property</w:t>
            </w:r>
          </w:p>
        </w:tc>
        <w:tc>
          <w:tcPr>
            <w:tcW w:w="1213" w:type="dxa"/>
            <w:gridSpan w:val="2"/>
            <w:tcBorders>
              <w:top w:val="nil"/>
              <w:left w:val="nil"/>
              <w:bottom w:val="nil"/>
              <w:right w:val="nil"/>
            </w:tcBorders>
            <w:shd w:val="clear" w:color="auto" w:fill="auto"/>
            <w:noWrap/>
            <w:hideMark/>
          </w:tcPr>
          <w:p w14:paraId="051854FF" w14:textId="77777777" w:rsidR="007C5B19" w:rsidRPr="00806B7F" w:rsidRDefault="007C5B19" w:rsidP="00A369A1">
            <w:pPr>
              <w:jc w:val="right"/>
              <w:rPr>
                <w:rFonts w:ascii="Arial" w:hAnsi="Arial" w:cs="Arial"/>
                <w:sz w:val="20"/>
              </w:rPr>
            </w:pPr>
            <w:r w:rsidRPr="00806B7F">
              <w:rPr>
                <w:rFonts w:ascii="Arial" w:hAnsi="Arial" w:cs="Arial"/>
                <w:sz w:val="20"/>
              </w:rPr>
              <w:t>4.012</w:t>
            </w:r>
          </w:p>
        </w:tc>
        <w:tc>
          <w:tcPr>
            <w:tcW w:w="1214" w:type="dxa"/>
            <w:gridSpan w:val="2"/>
            <w:tcBorders>
              <w:top w:val="nil"/>
              <w:left w:val="nil"/>
              <w:bottom w:val="nil"/>
              <w:right w:val="nil"/>
            </w:tcBorders>
            <w:shd w:val="clear" w:color="auto" w:fill="auto"/>
            <w:noWrap/>
            <w:hideMark/>
          </w:tcPr>
          <w:p w14:paraId="11817E86" w14:textId="77777777" w:rsidR="007C5B19" w:rsidRPr="00806B7F" w:rsidRDefault="007C5B19" w:rsidP="00A369A1">
            <w:pPr>
              <w:jc w:val="right"/>
              <w:rPr>
                <w:rFonts w:ascii="Arial" w:hAnsi="Arial" w:cs="Arial"/>
                <w:sz w:val="20"/>
              </w:rPr>
            </w:pPr>
            <w:r w:rsidRPr="00806B7F">
              <w:rPr>
                <w:rFonts w:ascii="Arial" w:hAnsi="Arial" w:cs="Arial"/>
                <w:sz w:val="20"/>
              </w:rPr>
              <w:t>4.120</w:t>
            </w:r>
          </w:p>
        </w:tc>
        <w:tc>
          <w:tcPr>
            <w:tcW w:w="1214" w:type="dxa"/>
            <w:gridSpan w:val="2"/>
            <w:tcBorders>
              <w:top w:val="nil"/>
              <w:left w:val="nil"/>
              <w:bottom w:val="nil"/>
              <w:right w:val="nil"/>
            </w:tcBorders>
            <w:shd w:val="clear" w:color="auto" w:fill="auto"/>
            <w:noWrap/>
            <w:hideMark/>
          </w:tcPr>
          <w:p w14:paraId="2FDFA3E3" w14:textId="77777777" w:rsidR="007C5B19" w:rsidRPr="00806B7F" w:rsidRDefault="007C5B19" w:rsidP="00A369A1">
            <w:pPr>
              <w:jc w:val="right"/>
              <w:rPr>
                <w:rFonts w:ascii="Arial" w:hAnsi="Arial" w:cs="Arial"/>
                <w:sz w:val="20"/>
              </w:rPr>
            </w:pPr>
            <w:r w:rsidRPr="00806B7F">
              <w:rPr>
                <w:rFonts w:ascii="Arial" w:hAnsi="Arial" w:cs="Arial"/>
                <w:sz w:val="20"/>
              </w:rPr>
              <w:t>4.232</w:t>
            </w:r>
          </w:p>
        </w:tc>
        <w:tc>
          <w:tcPr>
            <w:tcW w:w="1214" w:type="dxa"/>
            <w:gridSpan w:val="2"/>
            <w:tcBorders>
              <w:top w:val="nil"/>
              <w:left w:val="nil"/>
              <w:bottom w:val="nil"/>
              <w:right w:val="nil"/>
            </w:tcBorders>
            <w:shd w:val="clear" w:color="auto" w:fill="auto"/>
            <w:noWrap/>
            <w:hideMark/>
          </w:tcPr>
          <w:p w14:paraId="319F00B3" w14:textId="77777777" w:rsidR="007C5B19" w:rsidRPr="00806B7F" w:rsidRDefault="007C5B19" w:rsidP="00A369A1">
            <w:pPr>
              <w:jc w:val="right"/>
              <w:rPr>
                <w:rFonts w:ascii="Arial" w:hAnsi="Arial" w:cs="Arial"/>
                <w:sz w:val="20"/>
              </w:rPr>
            </w:pPr>
            <w:r w:rsidRPr="00806B7F">
              <w:rPr>
                <w:rFonts w:ascii="Arial" w:hAnsi="Arial" w:cs="Arial"/>
                <w:sz w:val="20"/>
              </w:rPr>
              <w:t>4.338</w:t>
            </w:r>
          </w:p>
        </w:tc>
        <w:tc>
          <w:tcPr>
            <w:tcW w:w="1214" w:type="dxa"/>
            <w:gridSpan w:val="2"/>
            <w:tcBorders>
              <w:top w:val="nil"/>
              <w:left w:val="nil"/>
              <w:bottom w:val="nil"/>
              <w:right w:val="nil"/>
            </w:tcBorders>
            <w:shd w:val="clear" w:color="auto" w:fill="auto"/>
            <w:noWrap/>
            <w:hideMark/>
          </w:tcPr>
          <w:p w14:paraId="3BEAA693" w14:textId="77777777" w:rsidR="007C5B19" w:rsidRPr="00806B7F" w:rsidRDefault="007C5B19" w:rsidP="00A369A1">
            <w:pPr>
              <w:jc w:val="right"/>
              <w:rPr>
                <w:rFonts w:ascii="Arial" w:hAnsi="Arial" w:cs="Arial"/>
                <w:sz w:val="20"/>
              </w:rPr>
            </w:pPr>
            <w:r w:rsidRPr="00806B7F">
              <w:rPr>
                <w:rFonts w:ascii="Arial" w:hAnsi="Arial" w:cs="Arial"/>
                <w:sz w:val="20"/>
              </w:rPr>
              <w:t>4.448</w:t>
            </w:r>
          </w:p>
        </w:tc>
      </w:tr>
      <w:tr w:rsidR="007C5B19" w:rsidRPr="00806B7F" w14:paraId="1B2F6507"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433D6E5D" w14:textId="77777777" w:rsidR="007C5B19" w:rsidRPr="00806B7F" w:rsidRDefault="007C5B19" w:rsidP="00A369A1">
            <w:pPr>
              <w:rPr>
                <w:rFonts w:ascii="Arial" w:hAnsi="Arial" w:cs="Arial"/>
                <w:sz w:val="20"/>
              </w:rPr>
            </w:pPr>
            <w:r w:rsidRPr="00806B7F">
              <w:rPr>
                <w:rFonts w:ascii="Arial" w:hAnsi="Arial" w:cs="Arial"/>
                <w:sz w:val="20"/>
              </w:rPr>
              <w:t>Pensions Expenditure</w:t>
            </w:r>
          </w:p>
        </w:tc>
        <w:tc>
          <w:tcPr>
            <w:tcW w:w="1213" w:type="dxa"/>
            <w:gridSpan w:val="2"/>
            <w:tcBorders>
              <w:top w:val="nil"/>
              <w:left w:val="nil"/>
              <w:bottom w:val="nil"/>
              <w:right w:val="nil"/>
            </w:tcBorders>
            <w:shd w:val="clear" w:color="auto" w:fill="auto"/>
            <w:noWrap/>
            <w:hideMark/>
          </w:tcPr>
          <w:p w14:paraId="26BFBAE8" w14:textId="77777777" w:rsidR="007C5B19" w:rsidRPr="00806B7F" w:rsidRDefault="007C5B19" w:rsidP="00A369A1">
            <w:pPr>
              <w:jc w:val="right"/>
              <w:rPr>
                <w:rFonts w:ascii="Arial" w:hAnsi="Arial" w:cs="Arial"/>
                <w:sz w:val="20"/>
              </w:rPr>
            </w:pPr>
            <w:r w:rsidRPr="00806B7F">
              <w:rPr>
                <w:rFonts w:ascii="Arial" w:hAnsi="Arial" w:cs="Arial"/>
                <w:sz w:val="20"/>
              </w:rPr>
              <w:t>1.399</w:t>
            </w:r>
          </w:p>
        </w:tc>
        <w:tc>
          <w:tcPr>
            <w:tcW w:w="1214" w:type="dxa"/>
            <w:gridSpan w:val="2"/>
            <w:tcBorders>
              <w:top w:val="nil"/>
              <w:left w:val="nil"/>
              <w:bottom w:val="nil"/>
              <w:right w:val="nil"/>
            </w:tcBorders>
            <w:shd w:val="clear" w:color="auto" w:fill="auto"/>
            <w:noWrap/>
            <w:hideMark/>
          </w:tcPr>
          <w:p w14:paraId="247216F2" w14:textId="77777777" w:rsidR="007C5B19" w:rsidRPr="00806B7F" w:rsidRDefault="007C5B19" w:rsidP="00A369A1">
            <w:pPr>
              <w:jc w:val="right"/>
              <w:rPr>
                <w:rFonts w:ascii="Arial" w:hAnsi="Arial" w:cs="Arial"/>
                <w:sz w:val="20"/>
              </w:rPr>
            </w:pPr>
            <w:r w:rsidRPr="00806B7F">
              <w:rPr>
                <w:rFonts w:ascii="Arial" w:hAnsi="Arial" w:cs="Arial"/>
                <w:sz w:val="20"/>
              </w:rPr>
              <w:t>1.475</w:t>
            </w:r>
          </w:p>
        </w:tc>
        <w:tc>
          <w:tcPr>
            <w:tcW w:w="1214" w:type="dxa"/>
            <w:gridSpan w:val="2"/>
            <w:tcBorders>
              <w:top w:val="nil"/>
              <w:left w:val="nil"/>
              <w:bottom w:val="nil"/>
              <w:right w:val="nil"/>
            </w:tcBorders>
            <w:shd w:val="clear" w:color="auto" w:fill="auto"/>
            <w:noWrap/>
            <w:hideMark/>
          </w:tcPr>
          <w:p w14:paraId="47E71263" w14:textId="77777777" w:rsidR="007C5B19" w:rsidRPr="00806B7F" w:rsidRDefault="007C5B19" w:rsidP="00A369A1">
            <w:pPr>
              <w:jc w:val="right"/>
              <w:rPr>
                <w:rFonts w:ascii="Arial" w:hAnsi="Arial" w:cs="Arial"/>
                <w:sz w:val="20"/>
              </w:rPr>
            </w:pPr>
            <w:r w:rsidRPr="00806B7F">
              <w:rPr>
                <w:rFonts w:ascii="Arial" w:hAnsi="Arial" w:cs="Arial"/>
                <w:sz w:val="20"/>
              </w:rPr>
              <w:t>1.480</w:t>
            </w:r>
          </w:p>
        </w:tc>
        <w:tc>
          <w:tcPr>
            <w:tcW w:w="1214" w:type="dxa"/>
            <w:gridSpan w:val="2"/>
            <w:tcBorders>
              <w:top w:val="nil"/>
              <w:left w:val="nil"/>
              <w:bottom w:val="nil"/>
              <w:right w:val="nil"/>
            </w:tcBorders>
            <w:shd w:val="clear" w:color="auto" w:fill="auto"/>
            <w:noWrap/>
            <w:hideMark/>
          </w:tcPr>
          <w:p w14:paraId="06B93CF4" w14:textId="77777777" w:rsidR="007C5B19" w:rsidRPr="00806B7F" w:rsidRDefault="007C5B19" w:rsidP="00A369A1">
            <w:pPr>
              <w:jc w:val="right"/>
              <w:rPr>
                <w:rFonts w:ascii="Arial" w:hAnsi="Arial" w:cs="Arial"/>
                <w:sz w:val="20"/>
              </w:rPr>
            </w:pPr>
            <w:r w:rsidRPr="00806B7F">
              <w:rPr>
                <w:rFonts w:ascii="Arial" w:hAnsi="Arial" w:cs="Arial"/>
                <w:sz w:val="20"/>
              </w:rPr>
              <w:t>1.547</w:t>
            </w:r>
          </w:p>
        </w:tc>
        <w:tc>
          <w:tcPr>
            <w:tcW w:w="1214" w:type="dxa"/>
            <w:gridSpan w:val="2"/>
            <w:tcBorders>
              <w:top w:val="nil"/>
              <w:left w:val="nil"/>
              <w:bottom w:val="nil"/>
              <w:right w:val="nil"/>
            </w:tcBorders>
            <w:shd w:val="clear" w:color="auto" w:fill="auto"/>
            <w:noWrap/>
            <w:hideMark/>
          </w:tcPr>
          <w:p w14:paraId="0B642014" w14:textId="77777777" w:rsidR="007C5B19" w:rsidRPr="00806B7F" w:rsidRDefault="007C5B19" w:rsidP="00A369A1">
            <w:pPr>
              <w:jc w:val="right"/>
              <w:rPr>
                <w:rFonts w:ascii="Arial" w:hAnsi="Arial" w:cs="Arial"/>
                <w:sz w:val="20"/>
              </w:rPr>
            </w:pPr>
            <w:r w:rsidRPr="00806B7F">
              <w:rPr>
                <w:rFonts w:ascii="Arial" w:hAnsi="Arial" w:cs="Arial"/>
                <w:sz w:val="20"/>
              </w:rPr>
              <w:t>1.619</w:t>
            </w:r>
          </w:p>
        </w:tc>
      </w:tr>
      <w:tr w:rsidR="007C5B19" w:rsidRPr="00806B7F" w14:paraId="074B6A3C"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04437525" w14:textId="77777777" w:rsidR="007C5B19" w:rsidRPr="00806B7F" w:rsidRDefault="007C5B19" w:rsidP="00A369A1">
            <w:pPr>
              <w:rPr>
                <w:rFonts w:ascii="Arial" w:hAnsi="Arial" w:cs="Arial"/>
                <w:sz w:val="20"/>
              </w:rPr>
            </w:pPr>
            <w:r w:rsidRPr="00806B7F">
              <w:rPr>
                <w:rFonts w:ascii="Arial" w:hAnsi="Arial" w:cs="Arial"/>
                <w:sz w:val="20"/>
              </w:rPr>
              <w:t>Other Non-DFM Expenditure</w:t>
            </w:r>
          </w:p>
        </w:tc>
        <w:tc>
          <w:tcPr>
            <w:tcW w:w="1213" w:type="dxa"/>
            <w:gridSpan w:val="2"/>
            <w:tcBorders>
              <w:top w:val="nil"/>
              <w:left w:val="nil"/>
              <w:bottom w:val="nil"/>
              <w:right w:val="nil"/>
            </w:tcBorders>
            <w:shd w:val="clear" w:color="auto" w:fill="auto"/>
            <w:noWrap/>
            <w:hideMark/>
          </w:tcPr>
          <w:p w14:paraId="2AF1B760" w14:textId="77777777" w:rsidR="007C5B19" w:rsidRPr="00806B7F" w:rsidRDefault="007C5B19" w:rsidP="00A369A1">
            <w:pPr>
              <w:jc w:val="right"/>
              <w:rPr>
                <w:rFonts w:ascii="Arial" w:hAnsi="Arial" w:cs="Arial"/>
                <w:sz w:val="20"/>
              </w:rPr>
            </w:pPr>
            <w:r w:rsidRPr="00806B7F">
              <w:rPr>
                <w:rFonts w:ascii="Arial" w:hAnsi="Arial" w:cs="Arial"/>
                <w:sz w:val="20"/>
              </w:rPr>
              <w:t>0.219</w:t>
            </w:r>
          </w:p>
        </w:tc>
        <w:tc>
          <w:tcPr>
            <w:tcW w:w="1214" w:type="dxa"/>
            <w:gridSpan w:val="2"/>
            <w:tcBorders>
              <w:top w:val="nil"/>
              <w:left w:val="nil"/>
              <w:bottom w:val="nil"/>
              <w:right w:val="nil"/>
            </w:tcBorders>
            <w:shd w:val="clear" w:color="auto" w:fill="auto"/>
            <w:noWrap/>
            <w:hideMark/>
          </w:tcPr>
          <w:p w14:paraId="1614BACA" w14:textId="77777777" w:rsidR="007C5B19" w:rsidRPr="00806B7F" w:rsidRDefault="007C5B19" w:rsidP="00A369A1">
            <w:pPr>
              <w:jc w:val="right"/>
              <w:rPr>
                <w:rFonts w:ascii="Arial" w:hAnsi="Arial" w:cs="Arial"/>
                <w:sz w:val="20"/>
              </w:rPr>
            </w:pPr>
            <w:r w:rsidRPr="00806B7F">
              <w:rPr>
                <w:rFonts w:ascii="Arial" w:hAnsi="Arial" w:cs="Arial"/>
                <w:sz w:val="20"/>
              </w:rPr>
              <w:t>0.791</w:t>
            </w:r>
          </w:p>
        </w:tc>
        <w:tc>
          <w:tcPr>
            <w:tcW w:w="1214" w:type="dxa"/>
            <w:gridSpan w:val="2"/>
            <w:tcBorders>
              <w:top w:val="nil"/>
              <w:left w:val="nil"/>
              <w:bottom w:val="nil"/>
              <w:right w:val="nil"/>
            </w:tcBorders>
            <w:shd w:val="clear" w:color="auto" w:fill="auto"/>
            <w:noWrap/>
            <w:hideMark/>
          </w:tcPr>
          <w:p w14:paraId="344E93DA" w14:textId="77777777" w:rsidR="007C5B19" w:rsidRPr="00806B7F" w:rsidRDefault="007C5B19" w:rsidP="00A369A1">
            <w:pPr>
              <w:jc w:val="right"/>
              <w:rPr>
                <w:rFonts w:ascii="Arial" w:hAnsi="Arial" w:cs="Arial"/>
                <w:sz w:val="20"/>
              </w:rPr>
            </w:pPr>
            <w:r w:rsidRPr="00806B7F">
              <w:rPr>
                <w:rFonts w:ascii="Arial" w:hAnsi="Arial" w:cs="Arial"/>
                <w:sz w:val="20"/>
              </w:rPr>
              <w:t>1.073</w:t>
            </w:r>
          </w:p>
        </w:tc>
        <w:tc>
          <w:tcPr>
            <w:tcW w:w="1214" w:type="dxa"/>
            <w:gridSpan w:val="2"/>
            <w:tcBorders>
              <w:top w:val="nil"/>
              <w:left w:val="nil"/>
              <w:bottom w:val="nil"/>
              <w:right w:val="nil"/>
            </w:tcBorders>
            <w:shd w:val="clear" w:color="auto" w:fill="auto"/>
            <w:noWrap/>
            <w:hideMark/>
          </w:tcPr>
          <w:p w14:paraId="458ADC13" w14:textId="77777777" w:rsidR="007C5B19" w:rsidRPr="00806B7F" w:rsidRDefault="007C5B19" w:rsidP="00A369A1">
            <w:pPr>
              <w:jc w:val="right"/>
              <w:rPr>
                <w:rFonts w:ascii="Arial" w:hAnsi="Arial" w:cs="Arial"/>
                <w:sz w:val="20"/>
              </w:rPr>
            </w:pPr>
            <w:r w:rsidRPr="00806B7F">
              <w:rPr>
                <w:rFonts w:ascii="Arial" w:hAnsi="Arial" w:cs="Arial"/>
                <w:sz w:val="20"/>
              </w:rPr>
              <w:t>1.331</w:t>
            </w:r>
          </w:p>
        </w:tc>
        <w:tc>
          <w:tcPr>
            <w:tcW w:w="1214" w:type="dxa"/>
            <w:gridSpan w:val="2"/>
            <w:tcBorders>
              <w:top w:val="nil"/>
              <w:left w:val="nil"/>
              <w:bottom w:val="nil"/>
              <w:right w:val="nil"/>
            </w:tcBorders>
            <w:shd w:val="clear" w:color="auto" w:fill="auto"/>
            <w:noWrap/>
            <w:hideMark/>
          </w:tcPr>
          <w:p w14:paraId="7B29A27C" w14:textId="77777777" w:rsidR="007C5B19" w:rsidRPr="00806B7F" w:rsidRDefault="007C5B19" w:rsidP="00A369A1">
            <w:pPr>
              <w:jc w:val="right"/>
              <w:rPr>
                <w:rFonts w:ascii="Arial" w:hAnsi="Arial" w:cs="Arial"/>
                <w:sz w:val="20"/>
              </w:rPr>
            </w:pPr>
            <w:r w:rsidRPr="00806B7F">
              <w:rPr>
                <w:rFonts w:ascii="Arial" w:hAnsi="Arial" w:cs="Arial"/>
                <w:sz w:val="20"/>
              </w:rPr>
              <w:t>1.754</w:t>
            </w:r>
          </w:p>
        </w:tc>
      </w:tr>
      <w:tr w:rsidR="007C5B19" w:rsidRPr="00806B7F" w14:paraId="029C7A8D"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73372495" w14:textId="77777777" w:rsidR="007C5B19" w:rsidRPr="00806B7F" w:rsidRDefault="007C5B19" w:rsidP="00A369A1">
            <w:pPr>
              <w:rPr>
                <w:rFonts w:ascii="Arial" w:hAnsi="Arial" w:cs="Arial"/>
                <w:b/>
                <w:bCs/>
                <w:sz w:val="20"/>
              </w:rPr>
            </w:pPr>
            <w:r w:rsidRPr="00806B7F">
              <w:rPr>
                <w:rFonts w:ascii="Arial" w:hAnsi="Arial" w:cs="Arial"/>
                <w:b/>
                <w:bCs/>
                <w:sz w:val="20"/>
              </w:rPr>
              <w:t>Gross Budget Requirement</w:t>
            </w:r>
          </w:p>
        </w:tc>
        <w:tc>
          <w:tcPr>
            <w:tcW w:w="1213" w:type="dxa"/>
            <w:gridSpan w:val="2"/>
            <w:tcBorders>
              <w:top w:val="single" w:sz="4" w:space="0" w:color="auto"/>
              <w:left w:val="nil"/>
              <w:bottom w:val="single" w:sz="4" w:space="0" w:color="auto"/>
              <w:right w:val="nil"/>
            </w:tcBorders>
            <w:shd w:val="clear" w:color="auto" w:fill="auto"/>
            <w:noWrap/>
            <w:hideMark/>
          </w:tcPr>
          <w:p w14:paraId="25836F74" w14:textId="77777777" w:rsidR="007C5B19" w:rsidRPr="00806B7F" w:rsidRDefault="007C5B19" w:rsidP="00A369A1">
            <w:pPr>
              <w:jc w:val="right"/>
              <w:rPr>
                <w:rFonts w:ascii="Arial" w:hAnsi="Arial" w:cs="Arial"/>
                <w:b/>
                <w:bCs/>
                <w:sz w:val="20"/>
              </w:rPr>
            </w:pPr>
            <w:r w:rsidRPr="00806B7F">
              <w:rPr>
                <w:rFonts w:ascii="Arial" w:hAnsi="Arial" w:cs="Arial"/>
                <w:b/>
                <w:bCs/>
                <w:sz w:val="20"/>
              </w:rPr>
              <w:t>68.493</w:t>
            </w:r>
          </w:p>
        </w:tc>
        <w:tc>
          <w:tcPr>
            <w:tcW w:w="1214" w:type="dxa"/>
            <w:gridSpan w:val="2"/>
            <w:tcBorders>
              <w:top w:val="single" w:sz="4" w:space="0" w:color="auto"/>
              <w:left w:val="nil"/>
              <w:bottom w:val="single" w:sz="4" w:space="0" w:color="auto"/>
              <w:right w:val="nil"/>
            </w:tcBorders>
            <w:shd w:val="clear" w:color="auto" w:fill="auto"/>
            <w:noWrap/>
            <w:hideMark/>
          </w:tcPr>
          <w:p w14:paraId="3E576A6A" w14:textId="77777777" w:rsidR="007C5B19" w:rsidRPr="00806B7F" w:rsidRDefault="007C5B19" w:rsidP="00A369A1">
            <w:pPr>
              <w:jc w:val="right"/>
              <w:rPr>
                <w:rFonts w:ascii="Arial" w:hAnsi="Arial" w:cs="Arial"/>
                <w:b/>
                <w:bCs/>
                <w:sz w:val="20"/>
              </w:rPr>
            </w:pPr>
            <w:r w:rsidRPr="00806B7F">
              <w:rPr>
                <w:rFonts w:ascii="Arial" w:hAnsi="Arial" w:cs="Arial"/>
                <w:b/>
                <w:bCs/>
                <w:sz w:val="20"/>
              </w:rPr>
              <w:t>71.757</w:t>
            </w:r>
          </w:p>
        </w:tc>
        <w:tc>
          <w:tcPr>
            <w:tcW w:w="1214" w:type="dxa"/>
            <w:gridSpan w:val="2"/>
            <w:tcBorders>
              <w:top w:val="single" w:sz="4" w:space="0" w:color="auto"/>
              <w:left w:val="nil"/>
              <w:bottom w:val="single" w:sz="4" w:space="0" w:color="auto"/>
              <w:right w:val="nil"/>
            </w:tcBorders>
            <w:shd w:val="clear" w:color="auto" w:fill="auto"/>
            <w:noWrap/>
            <w:hideMark/>
          </w:tcPr>
          <w:p w14:paraId="3A9A43F8" w14:textId="77777777" w:rsidR="007C5B19" w:rsidRPr="00806B7F" w:rsidRDefault="007C5B19" w:rsidP="00A369A1">
            <w:pPr>
              <w:jc w:val="right"/>
              <w:rPr>
                <w:rFonts w:ascii="Arial" w:hAnsi="Arial" w:cs="Arial"/>
                <w:b/>
                <w:bCs/>
                <w:sz w:val="20"/>
              </w:rPr>
            </w:pPr>
            <w:r w:rsidRPr="00806B7F">
              <w:rPr>
                <w:rFonts w:ascii="Arial" w:hAnsi="Arial" w:cs="Arial"/>
                <w:b/>
                <w:bCs/>
                <w:sz w:val="20"/>
              </w:rPr>
              <w:t>74.548</w:t>
            </w:r>
          </w:p>
        </w:tc>
        <w:tc>
          <w:tcPr>
            <w:tcW w:w="1214" w:type="dxa"/>
            <w:gridSpan w:val="2"/>
            <w:tcBorders>
              <w:top w:val="single" w:sz="4" w:space="0" w:color="auto"/>
              <w:left w:val="nil"/>
              <w:bottom w:val="single" w:sz="4" w:space="0" w:color="auto"/>
              <w:right w:val="nil"/>
            </w:tcBorders>
            <w:shd w:val="clear" w:color="auto" w:fill="auto"/>
            <w:noWrap/>
            <w:hideMark/>
          </w:tcPr>
          <w:p w14:paraId="4B2E444E" w14:textId="77777777" w:rsidR="007C5B19" w:rsidRPr="00806B7F" w:rsidRDefault="007C5B19" w:rsidP="00A369A1">
            <w:pPr>
              <w:jc w:val="right"/>
              <w:rPr>
                <w:rFonts w:ascii="Arial" w:hAnsi="Arial" w:cs="Arial"/>
                <w:b/>
                <w:bCs/>
                <w:sz w:val="20"/>
              </w:rPr>
            </w:pPr>
            <w:r w:rsidRPr="00806B7F">
              <w:rPr>
                <w:rFonts w:ascii="Arial" w:hAnsi="Arial" w:cs="Arial"/>
                <w:b/>
                <w:bCs/>
                <w:sz w:val="20"/>
              </w:rPr>
              <w:t>76.642</w:t>
            </w:r>
          </w:p>
        </w:tc>
        <w:tc>
          <w:tcPr>
            <w:tcW w:w="1214" w:type="dxa"/>
            <w:gridSpan w:val="2"/>
            <w:tcBorders>
              <w:top w:val="single" w:sz="4" w:space="0" w:color="auto"/>
              <w:left w:val="nil"/>
              <w:bottom w:val="single" w:sz="4" w:space="0" w:color="auto"/>
              <w:right w:val="nil"/>
            </w:tcBorders>
            <w:shd w:val="clear" w:color="auto" w:fill="auto"/>
            <w:noWrap/>
            <w:hideMark/>
          </w:tcPr>
          <w:p w14:paraId="48FF3B8D" w14:textId="77777777" w:rsidR="007C5B19" w:rsidRPr="00806B7F" w:rsidRDefault="007C5B19" w:rsidP="00A369A1">
            <w:pPr>
              <w:jc w:val="right"/>
              <w:rPr>
                <w:rFonts w:ascii="Arial" w:hAnsi="Arial" w:cs="Arial"/>
                <w:b/>
                <w:bCs/>
                <w:sz w:val="20"/>
              </w:rPr>
            </w:pPr>
            <w:r w:rsidRPr="00806B7F">
              <w:rPr>
                <w:rFonts w:ascii="Arial" w:hAnsi="Arial" w:cs="Arial"/>
                <w:b/>
                <w:bCs/>
                <w:sz w:val="20"/>
              </w:rPr>
              <w:t>78.876</w:t>
            </w:r>
          </w:p>
        </w:tc>
      </w:tr>
      <w:tr w:rsidR="007C5B19" w:rsidRPr="00806B7F" w14:paraId="61DAB215" w14:textId="77777777" w:rsidTr="007C5B19">
        <w:trPr>
          <w:gridAfter w:val="1"/>
          <w:wAfter w:w="735" w:type="dxa"/>
          <w:trHeight w:val="288"/>
        </w:trPr>
        <w:tc>
          <w:tcPr>
            <w:tcW w:w="3261" w:type="dxa"/>
            <w:tcBorders>
              <w:top w:val="nil"/>
              <w:left w:val="nil"/>
              <w:bottom w:val="nil"/>
              <w:right w:val="nil"/>
            </w:tcBorders>
            <w:shd w:val="clear" w:color="auto" w:fill="auto"/>
            <w:hideMark/>
          </w:tcPr>
          <w:p w14:paraId="48161D08" w14:textId="77777777" w:rsidR="007C5B19" w:rsidRPr="00806B7F" w:rsidRDefault="007C5B19" w:rsidP="00A369A1">
            <w:pPr>
              <w:rPr>
                <w:rFonts w:ascii="Arial" w:hAnsi="Arial" w:cs="Arial"/>
                <w:sz w:val="20"/>
              </w:rPr>
            </w:pPr>
            <w:r w:rsidRPr="00806B7F">
              <w:rPr>
                <w:rFonts w:ascii="Arial" w:hAnsi="Arial" w:cs="Arial"/>
                <w:sz w:val="20"/>
              </w:rPr>
              <w:t>Unidentified Savings/Use of Reserves</w:t>
            </w:r>
          </w:p>
        </w:tc>
        <w:tc>
          <w:tcPr>
            <w:tcW w:w="1213" w:type="dxa"/>
            <w:gridSpan w:val="2"/>
            <w:tcBorders>
              <w:top w:val="nil"/>
              <w:left w:val="nil"/>
              <w:bottom w:val="nil"/>
              <w:right w:val="nil"/>
            </w:tcBorders>
            <w:shd w:val="clear" w:color="auto" w:fill="auto"/>
            <w:hideMark/>
          </w:tcPr>
          <w:p w14:paraId="1364A363" w14:textId="77777777" w:rsidR="007C5B19" w:rsidRPr="00806B7F" w:rsidRDefault="007C5B19" w:rsidP="00A369A1">
            <w:pPr>
              <w:jc w:val="right"/>
              <w:rPr>
                <w:rFonts w:ascii="Arial" w:hAnsi="Arial" w:cs="Arial"/>
                <w:sz w:val="20"/>
              </w:rPr>
            </w:pPr>
            <w:r w:rsidRPr="00806B7F">
              <w:rPr>
                <w:rFonts w:ascii="Arial" w:hAnsi="Arial" w:cs="Arial"/>
                <w:sz w:val="20"/>
              </w:rPr>
              <w:t>(0.310)</w:t>
            </w:r>
          </w:p>
        </w:tc>
        <w:tc>
          <w:tcPr>
            <w:tcW w:w="1214" w:type="dxa"/>
            <w:gridSpan w:val="2"/>
            <w:tcBorders>
              <w:top w:val="nil"/>
              <w:left w:val="nil"/>
              <w:bottom w:val="nil"/>
              <w:right w:val="nil"/>
            </w:tcBorders>
            <w:shd w:val="clear" w:color="auto" w:fill="auto"/>
            <w:hideMark/>
          </w:tcPr>
          <w:p w14:paraId="16DCD187" w14:textId="77777777" w:rsidR="007C5B19" w:rsidRPr="00806B7F" w:rsidRDefault="007C5B19" w:rsidP="00A369A1">
            <w:pPr>
              <w:jc w:val="right"/>
              <w:rPr>
                <w:rFonts w:ascii="Arial" w:hAnsi="Arial" w:cs="Arial"/>
                <w:sz w:val="20"/>
              </w:rPr>
            </w:pPr>
          </w:p>
        </w:tc>
        <w:tc>
          <w:tcPr>
            <w:tcW w:w="1214" w:type="dxa"/>
            <w:gridSpan w:val="2"/>
            <w:tcBorders>
              <w:top w:val="nil"/>
              <w:left w:val="nil"/>
              <w:bottom w:val="nil"/>
              <w:right w:val="nil"/>
            </w:tcBorders>
            <w:shd w:val="clear" w:color="auto" w:fill="auto"/>
            <w:hideMark/>
          </w:tcPr>
          <w:p w14:paraId="305EE33D" w14:textId="77777777" w:rsidR="007C5B19" w:rsidRPr="00806B7F" w:rsidRDefault="007C5B19" w:rsidP="00A369A1">
            <w:pPr>
              <w:rPr>
                <w:rFonts w:ascii="Arial" w:hAnsi="Arial" w:cs="Arial"/>
                <w:sz w:val="20"/>
              </w:rPr>
            </w:pPr>
          </w:p>
        </w:tc>
        <w:tc>
          <w:tcPr>
            <w:tcW w:w="1214" w:type="dxa"/>
            <w:gridSpan w:val="2"/>
            <w:tcBorders>
              <w:top w:val="nil"/>
              <w:left w:val="nil"/>
              <w:bottom w:val="nil"/>
              <w:right w:val="nil"/>
            </w:tcBorders>
            <w:shd w:val="clear" w:color="auto" w:fill="auto"/>
            <w:hideMark/>
          </w:tcPr>
          <w:p w14:paraId="434061AB" w14:textId="77777777" w:rsidR="007C5B19" w:rsidRPr="00806B7F" w:rsidRDefault="007C5B19" w:rsidP="00A369A1">
            <w:pPr>
              <w:rPr>
                <w:rFonts w:ascii="Arial" w:hAnsi="Arial" w:cs="Arial"/>
                <w:sz w:val="20"/>
              </w:rPr>
            </w:pPr>
          </w:p>
        </w:tc>
        <w:tc>
          <w:tcPr>
            <w:tcW w:w="1214" w:type="dxa"/>
            <w:gridSpan w:val="2"/>
            <w:tcBorders>
              <w:top w:val="nil"/>
              <w:left w:val="nil"/>
              <w:bottom w:val="nil"/>
              <w:right w:val="nil"/>
            </w:tcBorders>
            <w:shd w:val="clear" w:color="auto" w:fill="auto"/>
            <w:hideMark/>
          </w:tcPr>
          <w:p w14:paraId="17EFB40A" w14:textId="77777777" w:rsidR="007C5B19" w:rsidRPr="00806B7F" w:rsidRDefault="007C5B19" w:rsidP="00A369A1">
            <w:pPr>
              <w:rPr>
                <w:rFonts w:ascii="Arial" w:hAnsi="Arial" w:cs="Arial"/>
                <w:sz w:val="20"/>
              </w:rPr>
            </w:pPr>
          </w:p>
        </w:tc>
      </w:tr>
      <w:tr w:rsidR="007C5B19" w:rsidRPr="00806B7F" w14:paraId="6D8B6304" w14:textId="77777777" w:rsidTr="007C5B19">
        <w:trPr>
          <w:gridAfter w:val="1"/>
          <w:wAfter w:w="735" w:type="dxa"/>
          <w:trHeight w:val="255"/>
        </w:trPr>
        <w:tc>
          <w:tcPr>
            <w:tcW w:w="3261" w:type="dxa"/>
            <w:tcBorders>
              <w:top w:val="nil"/>
              <w:left w:val="nil"/>
              <w:bottom w:val="nil"/>
              <w:right w:val="nil"/>
            </w:tcBorders>
            <w:shd w:val="clear" w:color="auto" w:fill="auto"/>
            <w:noWrap/>
            <w:hideMark/>
          </w:tcPr>
          <w:p w14:paraId="1DEEB04A" w14:textId="77777777" w:rsidR="007C5B19" w:rsidRPr="00806B7F" w:rsidRDefault="007C5B19" w:rsidP="00A369A1">
            <w:pPr>
              <w:rPr>
                <w:rFonts w:ascii="Arial" w:hAnsi="Arial" w:cs="Arial"/>
                <w:b/>
                <w:bCs/>
                <w:sz w:val="20"/>
              </w:rPr>
            </w:pPr>
            <w:r w:rsidRPr="00806B7F">
              <w:rPr>
                <w:rFonts w:ascii="Arial" w:hAnsi="Arial" w:cs="Arial"/>
                <w:b/>
                <w:bCs/>
                <w:sz w:val="20"/>
              </w:rPr>
              <w:t>Net Budget Requirement</w:t>
            </w:r>
          </w:p>
        </w:tc>
        <w:tc>
          <w:tcPr>
            <w:tcW w:w="1213" w:type="dxa"/>
            <w:gridSpan w:val="2"/>
            <w:tcBorders>
              <w:top w:val="single" w:sz="4" w:space="0" w:color="auto"/>
              <w:left w:val="nil"/>
              <w:bottom w:val="single" w:sz="4" w:space="0" w:color="auto"/>
              <w:right w:val="nil"/>
            </w:tcBorders>
            <w:shd w:val="clear" w:color="auto" w:fill="auto"/>
            <w:noWrap/>
            <w:hideMark/>
          </w:tcPr>
          <w:p w14:paraId="68EDC67F" w14:textId="77777777" w:rsidR="007C5B19" w:rsidRPr="00806B7F" w:rsidRDefault="007C5B19" w:rsidP="00A369A1">
            <w:pPr>
              <w:jc w:val="right"/>
              <w:rPr>
                <w:rFonts w:ascii="Arial" w:hAnsi="Arial" w:cs="Arial"/>
                <w:b/>
                <w:bCs/>
                <w:sz w:val="20"/>
              </w:rPr>
            </w:pPr>
            <w:r w:rsidRPr="00806B7F">
              <w:rPr>
                <w:rFonts w:ascii="Arial" w:hAnsi="Arial" w:cs="Arial"/>
                <w:b/>
                <w:bCs/>
                <w:sz w:val="20"/>
              </w:rPr>
              <w:t>68.183</w:t>
            </w:r>
          </w:p>
        </w:tc>
        <w:tc>
          <w:tcPr>
            <w:tcW w:w="1214" w:type="dxa"/>
            <w:gridSpan w:val="2"/>
            <w:tcBorders>
              <w:top w:val="single" w:sz="4" w:space="0" w:color="auto"/>
              <w:left w:val="nil"/>
              <w:bottom w:val="single" w:sz="4" w:space="0" w:color="auto"/>
              <w:right w:val="nil"/>
            </w:tcBorders>
            <w:shd w:val="clear" w:color="auto" w:fill="auto"/>
            <w:noWrap/>
            <w:hideMark/>
          </w:tcPr>
          <w:p w14:paraId="04E4D826" w14:textId="77777777" w:rsidR="007C5B19" w:rsidRPr="00806B7F" w:rsidRDefault="007C5B19" w:rsidP="00A369A1">
            <w:pPr>
              <w:jc w:val="right"/>
              <w:rPr>
                <w:rFonts w:ascii="Arial" w:hAnsi="Arial" w:cs="Arial"/>
                <w:b/>
                <w:bCs/>
                <w:sz w:val="20"/>
              </w:rPr>
            </w:pPr>
            <w:r w:rsidRPr="00806B7F">
              <w:rPr>
                <w:rFonts w:ascii="Arial" w:hAnsi="Arial" w:cs="Arial"/>
                <w:b/>
                <w:bCs/>
                <w:sz w:val="20"/>
              </w:rPr>
              <w:t>71.757</w:t>
            </w:r>
          </w:p>
        </w:tc>
        <w:tc>
          <w:tcPr>
            <w:tcW w:w="1214" w:type="dxa"/>
            <w:gridSpan w:val="2"/>
            <w:tcBorders>
              <w:top w:val="single" w:sz="4" w:space="0" w:color="auto"/>
              <w:left w:val="nil"/>
              <w:bottom w:val="single" w:sz="4" w:space="0" w:color="auto"/>
              <w:right w:val="nil"/>
            </w:tcBorders>
            <w:shd w:val="clear" w:color="auto" w:fill="auto"/>
            <w:noWrap/>
            <w:hideMark/>
          </w:tcPr>
          <w:p w14:paraId="5A44CD65" w14:textId="77777777" w:rsidR="007C5B19" w:rsidRPr="00806B7F" w:rsidRDefault="007C5B19" w:rsidP="00A369A1">
            <w:pPr>
              <w:jc w:val="right"/>
              <w:rPr>
                <w:rFonts w:ascii="Arial" w:hAnsi="Arial" w:cs="Arial"/>
                <w:b/>
                <w:bCs/>
                <w:sz w:val="20"/>
              </w:rPr>
            </w:pPr>
            <w:r w:rsidRPr="00806B7F">
              <w:rPr>
                <w:rFonts w:ascii="Arial" w:hAnsi="Arial" w:cs="Arial"/>
                <w:b/>
                <w:bCs/>
                <w:sz w:val="20"/>
              </w:rPr>
              <w:t>74.548</w:t>
            </w:r>
          </w:p>
        </w:tc>
        <w:tc>
          <w:tcPr>
            <w:tcW w:w="1214" w:type="dxa"/>
            <w:gridSpan w:val="2"/>
            <w:tcBorders>
              <w:top w:val="single" w:sz="4" w:space="0" w:color="auto"/>
              <w:left w:val="nil"/>
              <w:bottom w:val="single" w:sz="4" w:space="0" w:color="auto"/>
              <w:right w:val="nil"/>
            </w:tcBorders>
            <w:shd w:val="clear" w:color="auto" w:fill="auto"/>
            <w:noWrap/>
            <w:hideMark/>
          </w:tcPr>
          <w:p w14:paraId="1C88803F" w14:textId="77777777" w:rsidR="007C5B19" w:rsidRPr="00806B7F" w:rsidRDefault="007C5B19" w:rsidP="00A369A1">
            <w:pPr>
              <w:jc w:val="right"/>
              <w:rPr>
                <w:rFonts w:ascii="Arial" w:hAnsi="Arial" w:cs="Arial"/>
                <w:b/>
                <w:bCs/>
                <w:sz w:val="20"/>
              </w:rPr>
            </w:pPr>
            <w:r w:rsidRPr="00806B7F">
              <w:rPr>
                <w:rFonts w:ascii="Arial" w:hAnsi="Arial" w:cs="Arial"/>
                <w:b/>
                <w:bCs/>
                <w:sz w:val="20"/>
              </w:rPr>
              <w:t>76.642</w:t>
            </w:r>
          </w:p>
        </w:tc>
        <w:tc>
          <w:tcPr>
            <w:tcW w:w="1214" w:type="dxa"/>
            <w:gridSpan w:val="2"/>
            <w:tcBorders>
              <w:top w:val="single" w:sz="4" w:space="0" w:color="auto"/>
              <w:left w:val="nil"/>
              <w:bottom w:val="single" w:sz="4" w:space="0" w:color="auto"/>
              <w:right w:val="nil"/>
            </w:tcBorders>
            <w:shd w:val="clear" w:color="auto" w:fill="auto"/>
            <w:noWrap/>
            <w:hideMark/>
          </w:tcPr>
          <w:p w14:paraId="3BACC196" w14:textId="77777777" w:rsidR="007C5B19" w:rsidRPr="00806B7F" w:rsidRDefault="007C5B19" w:rsidP="00A369A1">
            <w:pPr>
              <w:jc w:val="right"/>
              <w:rPr>
                <w:rFonts w:ascii="Arial" w:hAnsi="Arial" w:cs="Arial"/>
                <w:b/>
                <w:bCs/>
                <w:sz w:val="20"/>
              </w:rPr>
            </w:pPr>
            <w:r w:rsidRPr="00806B7F">
              <w:rPr>
                <w:rFonts w:ascii="Arial" w:hAnsi="Arial" w:cs="Arial"/>
                <w:b/>
                <w:bCs/>
                <w:sz w:val="20"/>
              </w:rPr>
              <w:t>78.876</w:t>
            </w:r>
          </w:p>
        </w:tc>
      </w:tr>
      <w:tr w:rsidR="00875EF8" w:rsidRPr="00806B7F" w14:paraId="10DB5505" w14:textId="77777777" w:rsidTr="007C5B19">
        <w:trPr>
          <w:trHeight w:val="1020"/>
        </w:trPr>
        <w:tc>
          <w:tcPr>
            <w:tcW w:w="4253" w:type="dxa"/>
            <w:gridSpan w:val="2"/>
            <w:tcBorders>
              <w:top w:val="nil"/>
              <w:left w:val="nil"/>
              <w:bottom w:val="nil"/>
              <w:right w:val="nil"/>
            </w:tcBorders>
            <w:shd w:val="clear" w:color="auto" w:fill="auto"/>
            <w:noWrap/>
          </w:tcPr>
          <w:p w14:paraId="03061DE8" w14:textId="77777777" w:rsidR="00875EF8" w:rsidRPr="00806B7F" w:rsidRDefault="00875EF8" w:rsidP="00DB42BE">
            <w:pPr>
              <w:rPr>
                <w:rFonts w:ascii="Arial" w:hAnsi="Arial" w:cs="Arial"/>
                <w:sz w:val="20"/>
              </w:rPr>
            </w:pPr>
          </w:p>
        </w:tc>
        <w:tc>
          <w:tcPr>
            <w:tcW w:w="1162" w:type="dxa"/>
            <w:gridSpan w:val="2"/>
            <w:tcBorders>
              <w:top w:val="nil"/>
              <w:left w:val="nil"/>
              <w:bottom w:val="nil"/>
              <w:right w:val="nil"/>
            </w:tcBorders>
            <w:shd w:val="clear" w:color="auto" w:fill="auto"/>
          </w:tcPr>
          <w:p w14:paraId="1CB5F705" w14:textId="224905BA" w:rsidR="00875EF8" w:rsidRPr="00806B7F" w:rsidRDefault="00875EF8" w:rsidP="00DB42BE">
            <w:pPr>
              <w:jc w:val="center"/>
              <w:rPr>
                <w:rFonts w:ascii="Arial" w:hAnsi="Arial" w:cs="Arial"/>
                <w:sz w:val="20"/>
                <w:highlight w:val="yellow"/>
              </w:rPr>
            </w:pPr>
          </w:p>
        </w:tc>
        <w:tc>
          <w:tcPr>
            <w:tcW w:w="1162" w:type="dxa"/>
            <w:gridSpan w:val="2"/>
            <w:tcBorders>
              <w:top w:val="nil"/>
              <w:left w:val="nil"/>
              <w:bottom w:val="nil"/>
              <w:right w:val="nil"/>
            </w:tcBorders>
            <w:shd w:val="clear" w:color="auto" w:fill="auto"/>
          </w:tcPr>
          <w:p w14:paraId="0BD234F7" w14:textId="534BE97B" w:rsidR="00875EF8" w:rsidRPr="00806B7F" w:rsidRDefault="00875EF8" w:rsidP="00DB42BE">
            <w:pPr>
              <w:jc w:val="center"/>
              <w:rPr>
                <w:rFonts w:ascii="Arial" w:hAnsi="Arial" w:cs="Arial"/>
                <w:sz w:val="20"/>
                <w:highlight w:val="yellow"/>
              </w:rPr>
            </w:pPr>
          </w:p>
        </w:tc>
        <w:tc>
          <w:tcPr>
            <w:tcW w:w="1163" w:type="dxa"/>
            <w:gridSpan w:val="2"/>
            <w:tcBorders>
              <w:top w:val="nil"/>
              <w:left w:val="nil"/>
              <w:bottom w:val="nil"/>
              <w:right w:val="nil"/>
            </w:tcBorders>
            <w:shd w:val="clear" w:color="auto" w:fill="auto"/>
          </w:tcPr>
          <w:p w14:paraId="1A46B06A" w14:textId="06C51F3C" w:rsidR="00875EF8" w:rsidRPr="00806B7F" w:rsidRDefault="00875EF8" w:rsidP="00DB42BE">
            <w:pPr>
              <w:jc w:val="center"/>
              <w:rPr>
                <w:rFonts w:ascii="Arial" w:hAnsi="Arial" w:cs="Arial"/>
                <w:sz w:val="20"/>
                <w:highlight w:val="yellow"/>
              </w:rPr>
            </w:pPr>
          </w:p>
        </w:tc>
        <w:tc>
          <w:tcPr>
            <w:tcW w:w="1162" w:type="dxa"/>
            <w:gridSpan w:val="2"/>
            <w:tcBorders>
              <w:top w:val="nil"/>
              <w:left w:val="nil"/>
              <w:bottom w:val="nil"/>
              <w:right w:val="nil"/>
            </w:tcBorders>
            <w:shd w:val="clear" w:color="auto" w:fill="auto"/>
          </w:tcPr>
          <w:p w14:paraId="24EA8D54" w14:textId="7F15EA29" w:rsidR="00875EF8" w:rsidRPr="00806B7F" w:rsidRDefault="00875EF8" w:rsidP="00DB42BE">
            <w:pPr>
              <w:jc w:val="center"/>
              <w:rPr>
                <w:rFonts w:ascii="Arial" w:hAnsi="Arial" w:cs="Arial"/>
                <w:sz w:val="20"/>
                <w:highlight w:val="yellow"/>
              </w:rPr>
            </w:pPr>
          </w:p>
        </w:tc>
        <w:tc>
          <w:tcPr>
            <w:tcW w:w="1163" w:type="dxa"/>
            <w:gridSpan w:val="2"/>
            <w:tcBorders>
              <w:top w:val="nil"/>
              <w:left w:val="nil"/>
              <w:bottom w:val="nil"/>
              <w:right w:val="nil"/>
            </w:tcBorders>
            <w:shd w:val="clear" w:color="auto" w:fill="auto"/>
          </w:tcPr>
          <w:p w14:paraId="553C998B" w14:textId="5E5F0A2B" w:rsidR="00875EF8" w:rsidRPr="00806B7F" w:rsidRDefault="00875EF8" w:rsidP="00DB42BE">
            <w:pPr>
              <w:jc w:val="center"/>
              <w:rPr>
                <w:rFonts w:ascii="Arial" w:hAnsi="Arial" w:cs="Arial"/>
                <w:sz w:val="20"/>
                <w:highlight w:val="yellow"/>
              </w:rPr>
            </w:pPr>
          </w:p>
        </w:tc>
      </w:tr>
      <w:tr w:rsidR="00875EF8" w:rsidRPr="00806B7F" w14:paraId="0927A751" w14:textId="77777777" w:rsidTr="007C5B19">
        <w:trPr>
          <w:trHeight w:val="255"/>
        </w:trPr>
        <w:tc>
          <w:tcPr>
            <w:tcW w:w="4253" w:type="dxa"/>
            <w:gridSpan w:val="2"/>
            <w:tcBorders>
              <w:top w:val="nil"/>
              <w:left w:val="nil"/>
              <w:bottom w:val="nil"/>
              <w:right w:val="nil"/>
            </w:tcBorders>
            <w:shd w:val="clear" w:color="auto" w:fill="auto"/>
          </w:tcPr>
          <w:p w14:paraId="49596D65" w14:textId="77777777" w:rsidR="00875EF8" w:rsidRPr="00806B7F" w:rsidRDefault="00875EF8" w:rsidP="00DB42BE">
            <w:pPr>
              <w:jc w:val="center"/>
              <w:rPr>
                <w:rFonts w:ascii="Arial" w:hAnsi="Arial" w:cs="Arial"/>
                <w:sz w:val="20"/>
                <w:highlight w:val="yellow"/>
              </w:rPr>
            </w:pPr>
          </w:p>
        </w:tc>
        <w:tc>
          <w:tcPr>
            <w:tcW w:w="1162" w:type="dxa"/>
            <w:gridSpan w:val="2"/>
            <w:tcBorders>
              <w:top w:val="nil"/>
              <w:left w:val="nil"/>
              <w:bottom w:val="nil"/>
              <w:right w:val="nil"/>
            </w:tcBorders>
            <w:shd w:val="clear" w:color="auto" w:fill="auto"/>
          </w:tcPr>
          <w:p w14:paraId="06C68799" w14:textId="7968ACD6" w:rsidR="00875EF8" w:rsidRPr="00806B7F" w:rsidRDefault="00875EF8" w:rsidP="00DB42BE">
            <w:pPr>
              <w:jc w:val="center"/>
              <w:rPr>
                <w:rFonts w:ascii="Arial" w:hAnsi="Arial" w:cs="Arial"/>
                <w:sz w:val="20"/>
                <w:highlight w:val="yellow"/>
              </w:rPr>
            </w:pPr>
          </w:p>
        </w:tc>
        <w:tc>
          <w:tcPr>
            <w:tcW w:w="1162" w:type="dxa"/>
            <w:gridSpan w:val="2"/>
            <w:tcBorders>
              <w:top w:val="nil"/>
              <w:left w:val="nil"/>
              <w:bottom w:val="nil"/>
              <w:right w:val="nil"/>
            </w:tcBorders>
            <w:shd w:val="clear" w:color="auto" w:fill="auto"/>
          </w:tcPr>
          <w:p w14:paraId="094CAC23" w14:textId="561EDF48" w:rsidR="00875EF8" w:rsidRPr="00806B7F" w:rsidRDefault="00875EF8" w:rsidP="00DB42BE">
            <w:pPr>
              <w:jc w:val="center"/>
              <w:rPr>
                <w:rFonts w:ascii="Arial" w:hAnsi="Arial" w:cs="Arial"/>
                <w:sz w:val="20"/>
                <w:highlight w:val="yellow"/>
              </w:rPr>
            </w:pPr>
          </w:p>
        </w:tc>
        <w:tc>
          <w:tcPr>
            <w:tcW w:w="1163" w:type="dxa"/>
            <w:gridSpan w:val="2"/>
            <w:tcBorders>
              <w:top w:val="nil"/>
              <w:left w:val="nil"/>
              <w:bottom w:val="nil"/>
              <w:right w:val="nil"/>
            </w:tcBorders>
            <w:shd w:val="clear" w:color="auto" w:fill="auto"/>
          </w:tcPr>
          <w:p w14:paraId="5D746CFE" w14:textId="31E5C0B6" w:rsidR="00875EF8" w:rsidRPr="00806B7F" w:rsidRDefault="00875EF8" w:rsidP="00DB42BE">
            <w:pPr>
              <w:jc w:val="center"/>
              <w:rPr>
                <w:rFonts w:ascii="Arial" w:hAnsi="Arial" w:cs="Arial"/>
                <w:sz w:val="20"/>
                <w:highlight w:val="yellow"/>
              </w:rPr>
            </w:pPr>
          </w:p>
        </w:tc>
        <w:tc>
          <w:tcPr>
            <w:tcW w:w="1162" w:type="dxa"/>
            <w:gridSpan w:val="2"/>
            <w:tcBorders>
              <w:top w:val="nil"/>
              <w:left w:val="nil"/>
              <w:bottom w:val="nil"/>
              <w:right w:val="nil"/>
            </w:tcBorders>
            <w:shd w:val="clear" w:color="auto" w:fill="auto"/>
          </w:tcPr>
          <w:p w14:paraId="5686218A" w14:textId="104493C6" w:rsidR="00875EF8" w:rsidRPr="00806B7F" w:rsidRDefault="00875EF8" w:rsidP="00DB42BE">
            <w:pPr>
              <w:jc w:val="center"/>
              <w:rPr>
                <w:rFonts w:ascii="Arial" w:hAnsi="Arial" w:cs="Arial"/>
                <w:sz w:val="20"/>
                <w:highlight w:val="yellow"/>
              </w:rPr>
            </w:pPr>
          </w:p>
        </w:tc>
        <w:tc>
          <w:tcPr>
            <w:tcW w:w="1163" w:type="dxa"/>
            <w:gridSpan w:val="2"/>
            <w:tcBorders>
              <w:top w:val="nil"/>
              <w:left w:val="nil"/>
              <w:bottom w:val="nil"/>
              <w:right w:val="nil"/>
            </w:tcBorders>
            <w:shd w:val="clear" w:color="auto" w:fill="auto"/>
          </w:tcPr>
          <w:p w14:paraId="72C1A018" w14:textId="666D7594" w:rsidR="00875EF8" w:rsidRPr="00806B7F" w:rsidRDefault="00875EF8" w:rsidP="00DB42BE">
            <w:pPr>
              <w:jc w:val="center"/>
              <w:rPr>
                <w:rFonts w:ascii="Arial" w:hAnsi="Arial" w:cs="Arial"/>
                <w:sz w:val="20"/>
                <w:highlight w:val="yellow"/>
              </w:rPr>
            </w:pPr>
          </w:p>
        </w:tc>
      </w:tr>
      <w:tr w:rsidR="00875EF8" w:rsidRPr="00806B7F" w14:paraId="36DF6FD6" w14:textId="77777777" w:rsidTr="007C5B19">
        <w:trPr>
          <w:trHeight w:val="255"/>
        </w:trPr>
        <w:tc>
          <w:tcPr>
            <w:tcW w:w="4253" w:type="dxa"/>
            <w:gridSpan w:val="2"/>
            <w:tcBorders>
              <w:top w:val="nil"/>
              <w:left w:val="nil"/>
              <w:bottom w:val="nil"/>
              <w:right w:val="nil"/>
            </w:tcBorders>
            <w:shd w:val="clear" w:color="auto" w:fill="auto"/>
            <w:noWrap/>
          </w:tcPr>
          <w:p w14:paraId="514A85CC" w14:textId="05881333"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32FBC5DE" w14:textId="6D5C35C7"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FE2988E" w14:textId="2656DCAA"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330387A8" w14:textId="111D2666"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29780C7A" w14:textId="18FF3190"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D8372FE" w14:textId="3FBB8C39" w:rsidR="00875EF8" w:rsidRPr="00806B7F" w:rsidRDefault="00875EF8" w:rsidP="00DB42BE">
            <w:pPr>
              <w:jc w:val="right"/>
              <w:rPr>
                <w:rFonts w:ascii="Arial" w:hAnsi="Arial" w:cs="Arial"/>
                <w:sz w:val="20"/>
                <w:highlight w:val="yellow"/>
              </w:rPr>
            </w:pPr>
          </w:p>
        </w:tc>
      </w:tr>
      <w:tr w:rsidR="00875EF8" w:rsidRPr="00806B7F" w14:paraId="5888FDC2" w14:textId="77777777" w:rsidTr="007C5B19">
        <w:trPr>
          <w:trHeight w:val="255"/>
        </w:trPr>
        <w:tc>
          <w:tcPr>
            <w:tcW w:w="4253" w:type="dxa"/>
            <w:gridSpan w:val="2"/>
            <w:tcBorders>
              <w:top w:val="nil"/>
              <w:left w:val="nil"/>
              <w:bottom w:val="nil"/>
              <w:right w:val="nil"/>
            </w:tcBorders>
            <w:shd w:val="clear" w:color="auto" w:fill="auto"/>
            <w:noWrap/>
          </w:tcPr>
          <w:p w14:paraId="34D23E6F" w14:textId="6548CBD3"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0B1EC10" w14:textId="4F03F131"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44B9DD15" w14:textId="646D452E"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29633C1C" w14:textId="27D2FE29"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F05B611" w14:textId="71BAD6E5"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9269758" w14:textId="50554166" w:rsidR="00875EF8" w:rsidRPr="00806B7F" w:rsidRDefault="00875EF8" w:rsidP="00DB42BE">
            <w:pPr>
              <w:jc w:val="right"/>
              <w:rPr>
                <w:rFonts w:ascii="Arial" w:hAnsi="Arial" w:cs="Arial"/>
                <w:sz w:val="20"/>
                <w:highlight w:val="yellow"/>
              </w:rPr>
            </w:pPr>
          </w:p>
        </w:tc>
      </w:tr>
      <w:tr w:rsidR="00875EF8" w:rsidRPr="00806B7F" w14:paraId="0DAAC2C8" w14:textId="77777777" w:rsidTr="007C5B19">
        <w:trPr>
          <w:trHeight w:val="255"/>
        </w:trPr>
        <w:tc>
          <w:tcPr>
            <w:tcW w:w="4253" w:type="dxa"/>
            <w:gridSpan w:val="2"/>
            <w:tcBorders>
              <w:top w:val="nil"/>
              <w:left w:val="nil"/>
              <w:bottom w:val="nil"/>
              <w:right w:val="nil"/>
            </w:tcBorders>
            <w:shd w:val="clear" w:color="auto" w:fill="auto"/>
            <w:noWrap/>
          </w:tcPr>
          <w:p w14:paraId="1A7BDFCF" w14:textId="044B0173"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D45C3FF" w14:textId="0B7AE25F"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87CBF2B" w14:textId="2A7FFF89"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04BE8A93" w14:textId="3B2C387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CD6D47D" w14:textId="51761C65"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8A283E4" w14:textId="34C0547D" w:rsidR="00875EF8" w:rsidRPr="00806B7F" w:rsidRDefault="00875EF8" w:rsidP="00DB42BE">
            <w:pPr>
              <w:jc w:val="right"/>
              <w:rPr>
                <w:rFonts w:ascii="Arial" w:hAnsi="Arial" w:cs="Arial"/>
                <w:sz w:val="20"/>
                <w:highlight w:val="yellow"/>
              </w:rPr>
            </w:pPr>
          </w:p>
        </w:tc>
      </w:tr>
      <w:tr w:rsidR="00875EF8" w:rsidRPr="00806B7F" w14:paraId="60841172" w14:textId="77777777" w:rsidTr="007C5B19">
        <w:trPr>
          <w:trHeight w:val="255"/>
        </w:trPr>
        <w:tc>
          <w:tcPr>
            <w:tcW w:w="4253" w:type="dxa"/>
            <w:gridSpan w:val="2"/>
            <w:tcBorders>
              <w:top w:val="nil"/>
              <w:left w:val="nil"/>
              <w:bottom w:val="nil"/>
              <w:right w:val="nil"/>
            </w:tcBorders>
            <w:shd w:val="clear" w:color="auto" w:fill="auto"/>
            <w:noWrap/>
          </w:tcPr>
          <w:p w14:paraId="6AFF3D5C" w14:textId="0C780059"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CE1CFEE" w14:textId="3B9634E5"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DF2D1AC" w14:textId="551C592F"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4762A91F" w14:textId="2AFD5E6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2EFEEAD8" w14:textId="648705FB"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04843F7B" w14:textId="4C834F53" w:rsidR="00875EF8" w:rsidRPr="00806B7F" w:rsidRDefault="00875EF8" w:rsidP="00DB42BE">
            <w:pPr>
              <w:jc w:val="right"/>
              <w:rPr>
                <w:rFonts w:ascii="Arial" w:hAnsi="Arial" w:cs="Arial"/>
                <w:sz w:val="20"/>
                <w:highlight w:val="yellow"/>
              </w:rPr>
            </w:pPr>
          </w:p>
        </w:tc>
      </w:tr>
      <w:tr w:rsidR="00875EF8" w:rsidRPr="00806B7F" w14:paraId="3DE7083C" w14:textId="77777777" w:rsidTr="007C5B19">
        <w:trPr>
          <w:trHeight w:val="255"/>
        </w:trPr>
        <w:tc>
          <w:tcPr>
            <w:tcW w:w="4253" w:type="dxa"/>
            <w:gridSpan w:val="2"/>
            <w:tcBorders>
              <w:top w:val="nil"/>
              <w:left w:val="nil"/>
              <w:bottom w:val="nil"/>
              <w:right w:val="nil"/>
            </w:tcBorders>
            <w:shd w:val="clear" w:color="auto" w:fill="auto"/>
            <w:noWrap/>
          </w:tcPr>
          <w:p w14:paraId="459E325B" w14:textId="665431F4"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0FEB522" w14:textId="52F6EFA3"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2677BEA8" w14:textId="2E42C7C7"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5AD9FCAF" w14:textId="1D6E5F17"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7BFB49D" w14:textId="34402F96"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1080F295" w14:textId="72B210EC" w:rsidR="00875EF8" w:rsidRPr="00806B7F" w:rsidRDefault="00875EF8" w:rsidP="00DB42BE">
            <w:pPr>
              <w:jc w:val="right"/>
              <w:rPr>
                <w:rFonts w:ascii="Arial" w:hAnsi="Arial" w:cs="Arial"/>
                <w:sz w:val="20"/>
                <w:highlight w:val="yellow"/>
              </w:rPr>
            </w:pPr>
          </w:p>
        </w:tc>
      </w:tr>
      <w:tr w:rsidR="00875EF8" w:rsidRPr="00806B7F" w14:paraId="5F6ED2E5" w14:textId="77777777" w:rsidTr="007C5B19">
        <w:trPr>
          <w:trHeight w:val="255"/>
        </w:trPr>
        <w:tc>
          <w:tcPr>
            <w:tcW w:w="4253" w:type="dxa"/>
            <w:gridSpan w:val="2"/>
            <w:tcBorders>
              <w:top w:val="nil"/>
              <w:left w:val="nil"/>
              <w:bottom w:val="nil"/>
              <w:right w:val="nil"/>
            </w:tcBorders>
            <w:shd w:val="clear" w:color="auto" w:fill="auto"/>
            <w:noWrap/>
          </w:tcPr>
          <w:p w14:paraId="6333B1EC" w14:textId="0F5664E3"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13D998D" w14:textId="574BBB1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4338A8DD" w14:textId="5CA594D6"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6FB2FCAD" w14:textId="47CE9E8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4094633F" w14:textId="65494AFC"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17B03F08" w14:textId="470D5381" w:rsidR="00875EF8" w:rsidRPr="00806B7F" w:rsidRDefault="00875EF8" w:rsidP="00DB42BE">
            <w:pPr>
              <w:jc w:val="right"/>
              <w:rPr>
                <w:rFonts w:ascii="Arial" w:hAnsi="Arial" w:cs="Arial"/>
                <w:sz w:val="20"/>
                <w:highlight w:val="yellow"/>
              </w:rPr>
            </w:pPr>
          </w:p>
        </w:tc>
      </w:tr>
      <w:tr w:rsidR="00875EF8" w:rsidRPr="00806B7F" w14:paraId="6F8853A4" w14:textId="77777777" w:rsidTr="007C5B19">
        <w:trPr>
          <w:trHeight w:val="255"/>
        </w:trPr>
        <w:tc>
          <w:tcPr>
            <w:tcW w:w="4253" w:type="dxa"/>
            <w:gridSpan w:val="2"/>
            <w:tcBorders>
              <w:top w:val="nil"/>
              <w:left w:val="nil"/>
              <w:bottom w:val="nil"/>
              <w:right w:val="nil"/>
            </w:tcBorders>
            <w:shd w:val="clear" w:color="auto" w:fill="auto"/>
            <w:noWrap/>
          </w:tcPr>
          <w:p w14:paraId="399D95DA" w14:textId="621200DE"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D8A8CEE" w14:textId="31ECBCC1"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74D8443" w14:textId="7D293BEC"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3D7FDA4" w14:textId="0AA5292C"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402A6DCC" w14:textId="5B8B50BC"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36C2F045" w14:textId="00691D07" w:rsidR="00875EF8" w:rsidRPr="00806B7F" w:rsidRDefault="00875EF8" w:rsidP="00DB42BE">
            <w:pPr>
              <w:jc w:val="right"/>
              <w:rPr>
                <w:rFonts w:ascii="Arial" w:hAnsi="Arial" w:cs="Arial"/>
                <w:sz w:val="20"/>
                <w:highlight w:val="yellow"/>
              </w:rPr>
            </w:pPr>
          </w:p>
        </w:tc>
      </w:tr>
      <w:tr w:rsidR="00875EF8" w:rsidRPr="00806B7F" w14:paraId="14976BF5" w14:textId="77777777" w:rsidTr="007C5B19">
        <w:trPr>
          <w:trHeight w:val="255"/>
        </w:trPr>
        <w:tc>
          <w:tcPr>
            <w:tcW w:w="4253" w:type="dxa"/>
            <w:gridSpan w:val="2"/>
            <w:tcBorders>
              <w:top w:val="nil"/>
              <w:left w:val="nil"/>
              <w:bottom w:val="nil"/>
              <w:right w:val="nil"/>
            </w:tcBorders>
            <w:shd w:val="clear" w:color="auto" w:fill="auto"/>
            <w:noWrap/>
          </w:tcPr>
          <w:p w14:paraId="5BFDACD8" w14:textId="1375E5DC"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2DDCB476" w14:textId="1A0A2D3B"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703CC1E" w14:textId="278E52C6"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37BA45AF" w14:textId="2AB2C723"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010198E" w14:textId="1F9B7A62"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04B0FAF0" w14:textId="67B82CCC" w:rsidR="00875EF8" w:rsidRPr="00806B7F" w:rsidRDefault="00875EF8" w:rsidP="00DB42BE">
            <w:pPr>
              <w:jc w:val="right"/>
              <w:rPr>
                <w:rFonts w:ascii="Arial" w:hAnsi="Arial" w:cs="Arial"/>
                <w:sz w:val="20"/>
                <w:highlight w:val="yellow"/>
              </w:rPr>
            </w:pPr>
          </w:p>
        </w:tc>
      </w:tr>
      <w:tr w:rsidR="00875EF8" w:rsidRPr="00806B7F" w14:paraId="632A3D6F" w14:textId="77777777" w:rsidTr="007C5B19">
        <w:trPr>
          <w:trHeight w:val="255"/>
        </w:trPr>
        <w:tc>
          <w:tcPr>
            <w:tcW w:w="4253" w:type="dxa"/>
            <w:gridSpan w:val="2"/>
            <w:tcBorders>
              <w:top w:val="nil"/>
              <w:left w:val="nil"/>
              <w:bottom w:val="nil"/>
              <w:right w:val="nil"/>
            </w:tcBorders>
            <w:shd w:val="clear" w:color="auto" w:fill="auto"/>
            <w:noWrap/>
          </w:tcPr>
          <w:p w14:paraId="101561EE" w14:textId="4C3BD1AB"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F5A932A" w14:textId="60A59B18"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0CC8046" w14:textId="683BFEA9"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061F922" w14:textId="6C53DC6C"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99F895B" w14:textId="71A544F8"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8655992" w14:textId="2CFFEFF5" w:rsidR="00875EF8" w:rsidRPr="00806B7F" w:rsidRDefault="00875EF8" w:rsidP="00DB42BE">
            <w:pPr>
              <w:jc w:val="right"/>
              <w:rPr>
                <w:rFonts w:ascii="Arial" w:hAnsi="Arial" w:cs="Arial"/>
                <w:sz w:val="20"/>
                <w:highlight w:val="yellow"/>
              </w:rPr>
            </w:pPr>
          </w:p>
        </w:tc>
      </w:tr>
      <w:tr w:rsidR="00875EF8" w:rsidRPr="00806B7F" w14:paraId="31195B6A" w14:textId="77777777" w:rsidTr="007C5B19">
        <w:trPr>
          <w:trHeight w:val="255"/>
        </w:trPr>
        <w:tc>
          <w:tcPr>
            <w:tcW w:w="4253" w:type="dxa"/>
            <w:gridSpan w:val="2"/>
            <w:tcBorders>
              <w:top w:val="nil"/>
              <w:left w:val="nil"/>
              <w:bottom w:val="nil"/>
              <w:right w:val="nil"/>
            </w:tcBorders>
            <w:shd w:val="clear" w:color="auto" w:fill="auto"/>
            <w:noWrap/>
          </w:tcPr>
          <w:p w14:paraId="6683ADDA" w14:textId="0CA5806C"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4B17EED" w14:textId="7EE75B46"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85F382C" w14:textId="5A72BDC7"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47FA9CF1" w14:textId="048416F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463A2CA" w14:textId="207A07A5"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2D690609" w14:textId="2DE760D1" w:rsidR="00875EF8" w:rsidRPr="00806B7F" w:rsidRDefault="00875EF8" w:rsidP="00DB42BE">
            <w:pPr>
              <w:jc w:val="right"/>
              <w:rPr>
                <w:rFonts w:ascii="Arial" w:hAnsi="Arial" w:cs="Arial"/>
                <w:sz w:val="20"/>
                <w:highlight w:val="yellow"/>
              </w:rPr>
            </w:pPr>
          </w:p>
        </w:tc>
      </w:tr>
      <w:tr w:rsidR="00875EF8" w:rsidRPr="00806B7F" w14:paraId="659BDC70" w14:textId="77777777" w:rsidTr="007C5B19">
        <w:trPr>
          <w:trHeight w:val="255"/>
        </w:trPr>
        <w:tc>
          <w:tcPr>
            <w:tcW w:w="4253" w:type="dxa"/>
            <w:gridSpan w:val="2"/>
            <w:tcBorders>
              <w:top w:val="nil"/>
              <w:left w:val="nil"/>
              <w:bottom w:val="nil"/>
              <w:right w:val="nil"/>
            </w:tcBorders>
            <w:shd w:val="clear" w:color="auto" w:fill="auto"/>
            <w:noWrap/>
          </w:tcPr>
          <w:p w14:paraId="34D4CAAC" w14:textId="34350AF7"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270082B" w14:textId="44E5853B"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EF631BC" w14:textId="6BE82BCF"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45DEEA83" w14:textId="533679B6"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3D78F1D" w14:textId="5CAC25E4"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4F9A181C" w14:textId="443C699B" w:rsidR="00875EF8" w:rsidRPr="00806B7F" w:rsidRDefault="00875EF8" w:rsidP="00DB42BE">
            <w:pPr>
              <w:jc w:val="right"/>
              <w:rPr>
                <w:rFonts w:ascii="Arial" w:hAnsi="Arial" w:cs="Arial"/>
                <w:sz w:val="20"/>
                <w:highlight w:val="yellow"/>
              </w:rPr>
            </w:pPr>
          </w:p>
        </w:tc>
      </w:tr>
      <w:tr w:rsidR="00875EF8" w:rsidRPr="00806B7F" w14:paraId="53AA6396" w14:textId="77777777" w:rsidTr="007C5B19">
        <w:trPr>
          <w:trHeight w:val="255"/>
        </w:trPr>
        <w:tc>
          <w:tcPr>
            <w:tcW w:w="4253" w:type="dxa"/>
            <w:gridSpan w:val="2"/>
            <w:tcBorders>
              <w:top w:val="nil"/>
              <w:left w:val="nil"/>
              <w:bottom w:val="nil"/>
              <w:right w:val="nil"/>
            </w:tcBorders>
            <w:shd w:val="clear" w:color="auto" w:fill="auto"/>
            <w:noWrap/>
          </w:tcPr>
          <w:p w14:paraId="27648E9A" w14:textId="0433CCF7"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7BF8296" w14:textId="2E4E12CB"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90189C2" w14:textId="1029CA99"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B0ECC70" w14:textId="6B434E90"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1C5D349" w14:textId="7E42FF26"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1D474EE5" w14:textId="71F27A19" w:rsidR="00875EF8" w:rsidRPr="00806B7F" w:rsidRDefault="00875EF8" w:rsidP="00DB42BE">
            <w:pPr>
              <w:jc w:val="right"/>
              <w:rPr>
                <w:rFonts w:ascii="Arial" w:hAnsi="Arial" w:cs="Arial"/>
                <w:sz w:val="20"/>
                <w:highlight w:val="yellow"/>
              </w:rPr>
            </w:pPr>
          </w:p>
        </w:tc>
      </w:tr>
      <w:tr w:rsidR="00875EF8" w:rsidRPr="00806B7F" w14:paraId="7F9033B2" w14:textId="77777777" w:rsidTr="007C5B19">
        <w:trPr>
          <w:trHeight w:val="255"/>
        </w:trPr>
        <w:tc>
          <w:tcPr>
            <w:tcW w:w="4253" w:type="dxa"/>
            <w:gridSpan w:val="2"/>
            <w:tcBorders>
              <w:top w:val="nil"/>
              <w:left w:val="nil"/>
              <w:bottom w:val="nil"/>
              <w:right w:val="nil"/>
            </w:tcBorders>
            <w:shd w:val="clear" w:color="auto" w:fill="auto"/>
            <w:noWrap/>
          </w:tcPr>
          <w:p w14:paraId="4ABB4B68" w14:textId="3AA3E87D"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E48AD6D" w14:textId="15BE2526"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531DD81" w14:textId="4CE8B03E"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350B6C77" w14:textId="12908270"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24CD977" w14:textId="1E0DCD7A"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293F619B" w14:textId="524AE3B1" w:rsidR="00875EF8" w:rsidRPr="00806B7F" w:rsidRDefault="00875EF8" w:rsidP="00DB42BE">
            <w:pPr>
              <w:jc w:val="right"/>
              <w:rPr>
                <w:rFonts w:ascii="Arial" w:hAnsi="Arial" w:cs="Arial"/>
                <w:sz w:val="20"/>
                <w:highlight w:val="yellow"/>
              </w:rPr>
            </w:pPr>
          </w:p>
        </w:tc>
      </w:tr>
      <w:tr w:rsidR="00875EF8" w:rsidRPr="00806B7F" w14:paraId="10275BA7" w14:textId="77777777" w:rsidTr="007C5B19">
        <w:trPr>
          <w:trHeight w:val="255"/>
        </w:trPr>
        <w:tc>
          <w:tcPr>
            <w:tcW w:w="4253" w:type="dxa"/>
            <w:gridSpan w:val="2"/>
            <w:tcBorders>
              <w:top w:val="nil"/>
              <w:left w:val="nil"/>
              <w:bottom w:val="nil"/>
              <w:right w:val="nil"/>
            </w:tcBorders>
            <w:shd w:val="clear" w:color="auto" w:fill="auto"/>
            <w:noWrap/>
          </w:tcPr>
          <w:p w14:paraId="5A1C434D" w14:textId="0C07DAD0"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094EC2C2" w14:textId="1E67B7EE"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2D924187" w14:textId="62F9A625"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5EE8A298" w14:textId="1990CC48"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1DB29729" w14:textId="4A3976D6"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675DAF9F" w14:textId="3D1ADA67" w:rsidR="00875EF8" w:rsidRPr="00806B7F" w:rsidRDefault="00875EF8" w:rsidP="00DB42BE">
            <w:pPr>
              <w:jc w:val="right"/>
              <w:rPr>
                <w:rFonts w:ascii="Arial" w:hAnsi="Arial" w:cs="Arial"/>
                <w:sz w:val="20"/>
                <w:highlight w:val="yellow"/>
              </w:rPr>
            </w:pPr>
          </w:p>
        </w:tc>
      </w:tr>
      <w:tr w:rsidR="00875EF8" w:rsidRPr="00806B7F" w14:paraId="1A32D948" w14:textId="77777777" w:rsidTr="007C5B19">
        <w:trPr>
          <w:trHeight w:val="255"/>
        </w:trPr>
        <w:tc>
          <w:tcPr>
            <w:tcW w:w="4253" w:type="dxa"/>
            <w:gridSpan w:val="2"/>
            <w:tcBorders>
              <w:top w:val="nil"/>
              <w:left w:val="nil"/>
              <w:bottom w:val="nil"/>
              <w:right w:val="nil"/>
            </w:tcBorders>
            <w:shd w:val="clear" w:color="auto" w:fill="auto"/>
            <w:noWrap/>
          </w:tcPr>
          <w:p w14:paraId="50F3D6EE" w14:textId="3290FB8C"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35894A51" w14:textId="390C93DB"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EF4E7CE" w14:textId="56BA02DC"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446DB6A2" w14:textId="1413CD5C"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400434CD" w14:textId="63176893"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7C6A6F0A" w14:textId="24621DA1" w:rsidR="00875EF8" w:rsidRPr="00806B7F" w:rsidRDefault="00875EF8" w:rsidP="00DB42BE">
            <w:pPr>
              <w:jc w:val="right"/>
              <w:rPr>
                <w:rFonts w:ascii="Arial" w:hAnsi="Arial" w:cs="Arial"/>
                <w:sz w:val="20"/>
                <w:highlight w:val="yellow"/>
              </w:rPr>
            </w:pPr>
          </w:p>
        </w:tc>
      </w:tr>
      <w:tr w:rsidR="00875EF8" w:rsidRPr="00806B7F" w14:paraId="15D0AAC8" w14:textId="77777777" w:rsidTr="007C5B19">
        <w:trPr>
          <w:trHeight w:val="255"/>
        </w:trPr>
        <w:tc>
          <w:tcPr>
            <w:tcW w:w="4253" w:type="dxa"/>
            <w:gridSpan w:val="2"/>
            <w:tcBorders>
              <w:top w:val="nil"/>
              <w:left w:val="nil"/>
              <w:bottom w:val="nil"/>
              <w:right w:val="nil"/>
            </w:tcBorders>
            <w:shd w:val="clear" w:color="auto" w:fill="auto"/>
            <w:noWrap/>
          </w:tcPr>
          <w:p w14:paraId="2BC6625E" w14:textId="1C7C2F24"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74B8875D" w14:textId="5CAE0ED7"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62DE51B" w14:textId="714AC680"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09BB336C" w14:textId="2D88B9C0"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6DB07E50" w14:textId="7A87244E"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26EAB93A" w14:textId="7F0EEC2B" w:rsidR="00875EF8" w:rsidRPr="00806B7F" w:rsidRDefault="00875EF8" w:rsidP="00DB42BE">
            <w:pPr>
              <w:jc w:val="right"/>
              <w:rPr>
                <w:rFonts w:ascii="Arial" w:hAnsi="Arial" w:cs="Arial"/>
                <w:sz w:val="20"/>
                <w:highlight w:val="yellow"/>
              </w:rPr>
            </w:pPr>
          </w:p>
        </w:tc>
      </w:tr>
      <w:tr w:rsidR="00875EF8" w:rsidRPr="00806B7F" w14:paraId="1E20453B" w14:textId="77777777" w:rsidTr="007C5B19">
        <w:trPr>
          <w:trHeight w:val="255"/>
        </w:trPr>
        <w:tc>
          <w:tcPr>
            <w:tcW w:w="4253" w:type="dxa"/>
            <w:gridSpan w:val="2"/>
            <w:tcBorders>
              <w:top w:val="nil"/>
              <w:left w:val="nil"/>
              <w:bottom w:val="nil"/>
              <w:right w:val="nil"/>
            </w:tcBorders>
            <w:shd w:val="clear" w:color="auto" w:fill="auto"/>
            <w:noWrap/>
          </w:tcPr>
          <w:p w14:paraId="013483CA" w14:textId="14E99DDC" w:rsidR="00875EF8" w:rsidRPr="00806B7F" w:rsidRDefault="00875EF8" w:rsidP="00DB42BE">
            <w:pPr>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6B09AA6" w14:textId="2877BF10"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5029A9F9" w14:textId="79540CB0"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696A8853" w14:textId="64E326CA" w:rsidR="00875EF8" w:rsidRPr="00806B7F" w:rsidRDefault="00875EF8" w:rsidP="00DB42BE">
            <w:pPr>
              <w:jc w:val="right"/>
              <w:rPr>
                <w:rFonts w:ascii="Arial" w:hAnsi="Arial" w:cs="Arial"/>
                <w:sz w:val="20"/>
                <w:highlight w:val="yellow"/>
              </w:rPr>
            </w:pPr>
          </w:p>
        </w:tc>
        <w:tc>
          <w:tcPr>
            <w:tcW w:w="1162" w:type="dxa"/>
            <w:gridSpan w:val="2"/>
            <w:tcBorders>
              <w:top w:val="nil"/>
              <w:left w:val="nil"/>
              <w:bottom w:val="nil"/>
              <w:right w:val="nil"/>
            </w:tcBorders>
            <w:shd w:val="clear" w:color="auto" w:fill="auto"/>
            <w:noWrap/>
          </w:tcPr>
          <w:p w14:paraId="36FCD44F" w14:textId="3EC34963" w:rsidR="00875EF8" w:rsidRPr="00806B7F" w:rsidRDefault="00875EF8" w:rsidP="00DB42BE">
            <w:pPr>
              <w:jc w:val="right"/>
              <w:rPr>
                <w:rFonts w:ascii="Arial" w:hAnsi="Arial" w:cs="Arial"/>
                <w:sz w:val="20"/>
                <w:highlight w:val="yellow"/>
              </w:rPr>
            </w:pPr>
          </w:p>
        </w:tc>
        <w:tc>
          <w:tcPr>
            <w:tcW w:w="1163" w:type="dxa"/>
            <w:gridSpan w:val="2"/>
            <w:tcBorders>
              <w:top w:val="nil"/>
              <w:left w:val="nil"/>
              <w:bottom w:val="nil"/>
              <w:right w:val="nil"/>
            </w:tcBorders>
            <w:shd w:val="clear" w:color="auto" w:fill="auto"/>
            <w:noWrap/>
          </w:tcPr>
          <w:p w14:paraId="1C69B3B7" w14:textId="6329342B" w:rsidR="00875EF8" w:rsidRPr="00806B7F" w:rsidRDefault="00875EF8" w:rsidP="00DB42BE">
            <w:pPr>
              <w:jc w:val="right"/>
              <w:rPr>
                <w:rFonts w:ascii="Arial" w:hAnsi="Arial" w:cs="Arial"/>
                <w:sz w:val="20"/>
                <w:highlight w:val="yellow"/>
              </w:rPr>
            </w:pPr>
          </w:p>
        </w:tc>
      </w:tr>
    </w:tbl>
    <w:p w14:paraId="617D97F5" w14:textId="77777777" w:rsidR="00DB42BE" w:rsidRPr="00806B7F" w:rsidRDefault="00DB42BE" w:rsidP="00DB42BE">
      <w:pPr>
        <w:suppressAutoHyphens/>
        <w:jc w:val="both"/>
        <w:rPr>
          <w:rFonts w:ascii="Arial" w:hAnsi="Arial" w:cs="Arial"/>
          <w:b/>
          <w:sz w:val="20"/>
        </w:rPr>
      </w:pPr>
      <w:r w:rsidRPr="00806B7F">
        <w:rPr>
          <w:rFonts w:ascii="Arial" w:hAnsi="Arial" w:cs="Arial"/>
          <w:b/>
          <w:sz w:val="20"/>
          <w:u w:val="single"/>
        </w:rPr>
        <w:t>Analysis of Budget by Type of Expenditure</w:t>
      </w:r>
      <w:r w:rsidRPr="00806B7F">
        <w:rPr>
          <w:rFonts w:ascii="Arial" w:hAnsi="Arial" w:cs="Arial"/>
          <w:b/>
          <w:sz w:val="20"/>
        </w:rPr>
        <w:t xml:space="preserve"> </w:t>
      </w:r>
    </w:p>
    <w:tbl>
      <w:tblPr>
        <w:tblW w:w="8960" w:type="dxa"/>
        <w:tblLook w:val="04A0" w:firstRow="1" w:lastRow="0" w:firstColumn="1" w:lastColumn="0" w:noHBand="0" w:noVBand="1"/>
      </w:tblPr>
      <w:tblGrid>
        <w:gridCol w:w="3196"/>
        <w:gridCol w:w="1117"/>
        <w:gridCol w:w="1296"/>
        <w:gridCol w:w="1117"/>
        <w:gridCol w:w="1117"/>
        <w:gridCol w:w="1117"/>
      </w:tblGrid>
      <w:tr w:rsidR="007C5B19" w:rsidRPr="00806B7F" w14:paraId="3514658B" w14:textId="77777777" w:rsidTr="00A369A1">
        <w:trPr>
          <w:trHeight w:val="510"/>
        </w:trPr>
        <w:tc>
          <w:tcPr>
            <w:tcW w:w="3196" w:type="dxa"/>
            <w:tcBorders>
              <w:top w:val="nil"/>
              <w:left w:val="nil"/>
              <w:bottom w:val="nil"/>
              <w:right w:val="nil"/>
            </w:tcBorders>
            <w:shd w:val="clear" w:color="auto" w:fill="auto"/>
            <w:noWrap/>
            <w:vAlign w:val="bottom"/>
            <w:hideMark/>
          </w:tcPr>
          <w:p w14:paraId="23D8DBCA" w14:textId="77777777" w:rsidR="007C5B19" w:rsidRPr="00806B7F" w:rsidRDefault="007C5B19" w:rsidP="00A369A1">
            <w:pPr>
              <w:rPr>
                <w:rFonts w:ascii="Arial" w:hAnsi="Arial" w:cs="Arial"/>
                <w:sz w:val="20"/>
              </w:rPr>
            </w:pPr>
          </w:p>
        </w:tc>
        <w:tc>
          <w:tcPr>
            <w:tcW w:w="1117" w:type="dxa"/>
            <w:tcBorders>
              <w:top w:val="nil"/>
              <w:left w:val="nil"/>
              <w:bottom w:val="nil"/>
              <w:right w:val="nil"/>
            </w:tcBorders>
            <w:shd w:val="clear" w:color="auto" w:fill="auto"/>
            <w:vAlign w:val="bottom"/>
            <w:hideMark/>
          </w:tcPr>
          <w:p w14:paraId="517490C6" w14:textId="77777777" w:rsidR="007C5B19" w:rsidRPr="00806B7F" w:rsidRDefault="007C5B19" w:rsidP="00A369A1">
            <w:pPr>
              <w:jc w:val="center"/>
              <w:rPr>
                <w:rFonts w:ascii="Arial" w:hAnsi="Arial" w:cs="Arial"/>
                <w:sz w:val="20"/>
              </w:rPr>
            </w:pPr>
            <w:r w:rsidRPr="00806B7F">
              <w:rPr>
                <w:rFonts w:ascii="Arial" w:hAnsi="Arial" w:cs="Arial"/>
                <w:sz w:val="20"/>
              </w:rPr>
              <w:t>2023/24 Budget</w:t>
            </w:r>
          </w:p>
        </w:tc>
        <w:tc>
          <w:tcPr>
            <w:tcW w:w="1296" w:type="dxa"/>
            <w:tcBorders>
              <w:top w:val="nil"/>
              <w:left w:val="nil"/>
              <w:bottom w:val="nil"/>
              <w:right w:val="nil"/>
            </w:tcBorders>
            <w:shd w:val="clear" w:color="auto" w:fill="auto"/>
            <w:vAlign w:val="bottom"/>
            <w:hideMark/>
          </w:tcPr>
          <w:p w14:paraId="7FE2E533" w14:textId="77777777" w:rsidR="007C5B19" w:rsidRPr="00806B7F" w:rsidRDefault="007C5B19" w:rsidP="00A369A1">
            <w:pPr>
              <w:jc w:val="center"/>
              <w:rPr>
                <w:rFonts w:ascii="Arial" w:hAnsi="Arial" w:cs="Arial"/>
                <w:sz w:val="20"/>
              </w:rPr>
            </w:pPr>
            <w:r w:rsidRPr="00806B7F">
              <w:rPr>
                <w:rFonts w:ascii="Arial" w:hAnsi="Arial" w:cs="Arial"/>
                <w:sz w:val="20"/>
              </w:rPr>
              <w:t>2024/25 Budget</w:t>
            </w:r>
          </w:p>
        </w:tc>
        <w:tc>
          <w:tcPr>
            <w:tcW w:w="1117" w:type="dxa"/>
            <w:tcBorders>
              <w:top w:val="nil"/>
              <w:left w:val="nil"/>
              <w:bottom w:val="nil"/>
              <w:right w:val="nil"/>
            </w:tcBorders>
            <w:shd w:val="clear" w:color="auto" w:fill="auto"/>
            <w:vAlign w:val="bottom"/>
            <w:hideMark/>
          </w:tcPr>
          <w:p w14:paraId="3E7FDD99" w14:textId="77777777" w:rsidR="007C5B19" w:rsidRPr="00806B7F" w:rsidRDefault="007C5B19" w:rsidP="00A369A1">
            <w:pPr>
              <w:jc w:val="center"/>
              <w:rPr>
                <w:rFonts w:ascii="Arial" w:hAnsi="Arial" w:cs="Arial"/>
                <w:sz w:val="20"/>
              </w:rPr>
            </w:pPr>
            <w:r w:rsidRPr="00806B7F">
              <w:rPr>
                <w:rFonts w:ascii="Arial" w:hAnsi="Arial" w:cs="Arial"/>
                <w:sz w:val="20"/>
              </w:rPr>
              <w:t>2025/26 Budget</w:t>
            </w:r>
          </w:p>
        </w:tc>
        <w:tc>
          <w:tcPr>
            <w:tcW w:w="1117" w:type="dxa"/>
            <w:tcBorders>
              <w:top w:val="nil"/>
              <w:left w:val="nil"/>
              <w:bottom w:val="nil"/>
              <w:right w:val="nil"/>
            </w:tcBorders>
            <w:shd w:val="clear" w:color="auto" w:fill="auto"/>
            <w:vAlign w:val="bottom"/>
            <w:hideMark/>
          </w:tcPr>
          <w:p w14:paraId="4A650B07" w14:textId="77777777" w:rsidR="007C5B19" w:rsidRPr="00806B7F" w:rsidRDefault="007C5B19" w:rsidP="00A369A1">
            <w:pPr>
              <w:jc w:val="center"/>
              <w:rPr>
                <w:rFonts w:ascii="Arial" w:hAnsi="Arial" w:cs="Arial"/>
                <w:sz w:val="20"/>
              </w:rPr>
            </w:pPr>
            <w:r w:rsidRPr="00806B7F">
              <w:rPr>
                <w:rFonts w:ascii="Arial" w:hAnsi="Arial" w:cs="Arial"/>
                <w:sz w:val="20"/>
              </w:rPr>
              <w:t>2026/27 Budget</w:t>
            </w:r>
          </w:p>
        </w:tc>
        <w:tc>
          <w:tcPr>
            <w:tcW w:w="1117" w:type="dxa"/>
            <w:tcBorders>
              <w:top w:val="nil"/>
              <w:left w:val="nil"/>
              <w:bottom w:val="nil"/>
              <w:right w:val="nil"/>
            </w:tcBorders>
            <w:shd w:val="clear" w:color="auto" w:fill="auto"/>
            <w:vAlign w:val="bottom"/>
            <w:hideMark/>
          </w:tcPr>
          <w:p w14:paraId="2164DA38" w14:textId="77777777" w:rsidR="007C5B19" w:rsidRPr="00806B7F" w:rsidRDefault="007C5B19" w:rsidP="00A369A1">
            <w:pPr>
              <w:jc w:val="center"/>
              <w:rPr>
                <w:rFonts w:ascii="Arial" w:hAnsi="Arial" w:cs="Arial"/>
                <w:sz w:val="20"/>
              </w:rPr>
            </w:pPr>
            <w:r w:rsidRPr="00806B7F">
              <w:rPr>
                <w:rFonts w:ascii="Arial" w:hAnsi="Arial" w:cs="Arial"/>
                <w:sz w:val="20"/>
              </w:rPr>
              <w:t>2027/28 Budget</w:t>
            </w:r>
          </w:p>
        </w:tc>
      </w:tr>
      <w:tr w:rsidR="007C5B19" w:rsidRPr="00806B7F" w14:paraId="7F09F72D" w14:textId="77777777" w:rsidTr="00A369A1">
        <w:trPr>
          <w:trHeight w:val="208"/>
        </w:trPr>
        <w:tc>
          <w:tcPr>
            <w:tcW w:w="3196" w:type="dxa"/>
            <w:tcBorders>
              <w:top w:val="nil"/>
              <w:left w:val="nil"/>
              <w:bottom w:val="nil"/>
              <w:right w:val="nil"/>
            </w:tcBorders>
            <w:shd w:val="clear" w:color="auto" w:fill="auto"/>
            <w:vAlign w:val="bottom"/>
            <w:hideMark/>
          </w:tcPr>
          <w:p w14:paraId="6A885F1C"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hideMark/>
          </w:tcPr>
          <w:p w14:paraId="0CB5984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296" w:type="dxa"/>
            <w:tcBorders>
              <w:top w:val="nil"/>
              <w:left w:val="nil"/>
              <w:bottom w:val="nil"/>
              <w:right w:val="nil"/>
            </w:tcBorders>
            <w:shd w:val="clear" w:color="auto" w:fill="auto"/>
            <w:hideMark/>
          </w:tcPr>
          <w:p w14:paraId="2DA0A7B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17" w:type="dxa"/>
            <w:tcBorders>
              <w:top w:val="nil"/>
              <w:left w:val="nil"/>
              <w:bottom w:val="nil"/>
              <w:right w:val="nil"/>
            </w:tcBorders>
            <w:shd w:val="clear" w:color="auto" w:fill="auto"/>
            <w:hideMark/>
          </w:tcPr>
          <w:p w14:paraId="074F57AD"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17" w:type="dxa"/>
            <w:tcBorders>
              <w:top w:val="nil"/>
              <w:left w:val="nil"/>
              <w:bottom w:val="nil"/>
              <w:right w:val="nil"/>
            </w:tcBorders>
            <w:shd w:val="clear" w:color="auto" w:fill="auto"/>
            <w:hideMark/>
          </w:tcPr>
          <w:p w14:paraId="09E337C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17" w:type="dxa"/>
            <w:tcBorders>
              <w:top w:val="nil"/>
              <w:left w:val="nil"/>
              <w:bottom w:val="nil"/>
              <w:right w:val="nil"/>
            </w:tcBorders>
            <w:shd w:val="clear" w:color="auto" w:fill="auto"/>
            <w:hideMark/>
          </w:tcPr>
          <w:p w14:paraId="6CE096E6"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1C51CD14" w14:textId="77777777" w:rsidTr="00A369A1">
        <w:trPr>
          <w:trHeight w:val="255"/>
        </w:trPr>
        <w:tc>
          <w:tcPr>
            <w:tcW w:w="3196" w:type="dxa"/>
            <w:tcBorders>
              <w:top w:val="nil"/>
              <w:left w:val="nil"/>
              <w:bottom w:val="nil"/>
              <w:right w:val="nil"/>
            </w:tcBorders>
            <w:shd w:val="clear" w:color="auto" w:fill="auto"/>
            <w:noWrap/>
            <w:hideMark/>
          </w:tcPr>
          <w:p w14:paraId="3C5C82D7" w14:textId="77777777" w:rsidR="007C5B19" w:rsidRPr="00806B7F" w:rsidRDefault="007C5B19" w:rsidP="00A369A1">
            <w:pPr>
              <w:rPr>
                <w:rFonts w:ascii="Arial" w:hAnsi="Arial" w:cs="Arial"/>
                <w:b/>
                <w:bCs/>
                <w:sz w:val="20"/>
              </w:rPr>
            </w:pPr>
            <w:r w:rsidRPr="00806B7F">
              <w:rPr>
                <w:rFonts w:ascii="Arial" w:hAnsi="Arial" w:cs="Arial"/>
                <w:sz w:val="20"/>
              </w:rPr>
              <w:t xml:space="preserve"> Employee </w:t>
            </w:r>
          </w:p>
        </w:tc>
        <w:tc>
          <w:tcPr>
            <w:tcW w:w="1117" w:type="dxa"/>
            <w:tcBorders>
              <w:top w:val="nil"/>
              <w:left w:val="nil"/>
              <w:bottom w:val="nil"/>
              <w:right w:val="nil"/>
            </w:tcBorders>
            <w:shd w:val="clear" w:color="auto" w:fill="auto"/>
            <w:noWrap/>
            <w:hideMark/>
          </w:tcPr>
          <w:p w14:paraId="441457EF" w14:textId="77777777" w:rsidR="007C5B19" w:rsidRPr="00806B7F" w:rsidRDefault="007C5B19" w:rsidP="00A369A1">
            <w:pPr>
              <w:jc w:val="center"/>
              <w:rPr>
                <w:rFonts w:ascii="Arial" w:hAnsi="Arial" w:cs="Arial"/>
                <w:b/>
                <w:bCs/>
                <w:sz w:val="20"/>
              </w:rPr>
            </w:pPr>
          </w:p>
        </w:tc>
        <w:tc>
          <w:tcPr>
            <w:tcW w:w="1296" w:type="dxa"/>
            <w:tcBorders>
              <w:top w:val="nil"/>
              <w:left w:val="nil"/>
              <w:bottom w:val="nil"/>
              <w:right w:val="nil"/>
            </w:tcBorders>
            <w:shd w:val="clear" w:color="auto" w:fill="auto"/>
            <w:noWrap/>
            <w:hideMark/>
          </w:tcPr>
          <w:p w14:paraId="5B7E3FE4"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15660664"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060FE7C6"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2B3B484F" w14:textId="77777777" w:rsidR="007C5B19" w:rsidRPr="00806B7F" w:rsidRDefault="007C5B19" w:rsidP="00A369A1">
            <w:pPr>
              <w:jc w:val="center"/>
              <w:rPr>
                <w:rFonts w:ascii="Arial" w:hAnsi="Arial" w:cs="Arial"/>
                <w:sz w:val="20"/>
              </w:rPr>
            </w:pPr>
          </w:p>
        </w:tc>
      </w:tr>
      <w:tr w:rsidR="007C5B19" w:rsidRPr="00806B7F" w14:paraId="711E0D5C" w14:textId="77777777" w:rsidTr="00A369A1">
        <w:trPr>
          <w:trHeight w:val="255"/>
        </w:trPr>
        <w:tc>
          <w:tcPr>
            <w:tcW w:w="3196" w:type="dxa"/>
            <w:tcBorders>
              <w:top w:val="nil"/>
              <w:left w:val="nil"/>
              <w:bottom w:val="nil"/>
              <w:right w:val="nil"/>
            </w:tcBorders>
            <w:shd w:val="clear" w:color="auto" w:fill="auto"/>
            <w:noWrap/>
            <w:hideMark/>
          </w:tcPr>
          <w:p w14:paraId="09352B98" w14:textId="77777777" w:rsidR="007C5B19" w:rsidRPr="00806B7F" w:rsidRDefault="007C5B19" w:rsidP="00A369A1">
            <w:pPr>
              <w:rPr>
                <w:rFonts w:ascii="Arial" w:hAnsi="Arial" w:cs="Arial"/>
                <w:sz w:val="20"/>
              </w:rPr>
            </w:pPr>
            <w:r w:rsidRPr="00806B7F">
              <w:rPr>
                <w:rFonts w:ascii="Arial" w:hAnsi="Arial" w:cs="Arial"/>
                <w:sz w:val="20"/>
              </w:rPr>
              <w:t xml:space="preserve"> Uniformed </w:t>
            </w:r>
          </w:p>
        </w:tc>
        <w:tc>
          <w:tcPr>
            <w:tcW w:w="1117" w:type="dxa"/>
            <w:tcBorders>
              <w:top w:val="nil"/>
              <w:left w:val="nil"/>
              <w:bottom w:val="nil"/>
              <w:right w:val="nil"/>
            </w:tcBorders>
            <w:shd w:val="clear" w:color="auto" w:fill="auto"/>
            <w:noWrap/>
            <w:hideMark/>
          </w:tcPr>
          <w:p w14:paraId="57D629F4" w14:textId="77777777" w:rsidR="007C5B19" w:rsidRPr="00806B7F" w:rsidRDefault="007C5B19" w:rsidP="00A369A1">
            <w:pPr>
              <w:jc w:val="center"/>
              <w:rPr>
                <w:rFonts w:ascii="Arial" w:hAnsi="Arial" w:cs="Arial"/>
                <w:sz w:val="20"/>
              </w:rPr>
            </w:pPr>
            <w:r w:rsidRPr="00806B7F">
              <w:rPr>
                <w:rFonts w:ascii="Arial" w:hAnsi="Arial" w:cs="Arial"/>
                <w:sz w:val="20"/>
              </w:rPr>
              <w:t>43.871</w:t>
            </w:r>
          </w:p>
        </w:tc>
        <w:tc>
          <w:tcPr>
            <w:tcW w:w="1296" w:type="dxa"/>
            <w:tcBorders>
              <w:top w:val="nil"/>
              <w:left w:val="nil"/>
              <w:bottom w:val="nil"/>
              <w:right w:val="nil"/>
            </w:tcBorders>
            <w:shd w:val="clear" w:color="auto" w:fill="auto"/>
            <w:noWrap/>
            <w:hideMark/>
          </w:tcPr>
          <w:p w14:paraId="4E145746" w14:textId="77777777" w:rsidR="007C5B19" w:rsidRPr="00806B7F" w:rsidRDefault="007C5B19" w:rsidP="00A369A1">
            <w:pPr>
              <w:jc w:val="center"/>
              <w:rPr>
                <w:rFonts w:ascii="Arial" w:hAnsi="Arial" w:cs="Arial"/>
                <w:sz w:val="20"/>
              </w:rPr>
            </w:pPr>
            <w:r w:rsidRPr="00806B7F">
              <w:rPr>
                <w:rFonts w:ascii="Arial" w:hAnsi="Arial" w:cs="Arial"/>
                <w:sz w:val="20"/>
              </w:rPr>
              <w:t>45.877</w:t>
            </w:r>
          </w:p>
        </w:tc>
        <w:tc>
          <w:tcPr>
            <w:tcW w:w="1117" w:type="dxa"/>
            <w:tcBorders>
              <w:top w:val="nil"/>
              <w:left w:val="nil"/>
              <w:bottom w:val="nil"/>
              <w:right w:val="nil"/>
            </w:tcBorders>
            <w:shd w:val="clear" w:color="auto" w:fill="auto"/>
            <w:noWrap/>
            <w:hideMark/>
          </w:tcPr>
          <w:p w14:paraId="7D64E5E7" w14:textId="77777777" w:rsidR="007C5B19" w:rsidRPr="00806B7F" w:rsidRDefault="007C5B19" w:rsidP="00A369A1">
            <w:pPr>
              <w:jc w:val="center"/>
              <w:rPr>
                <w:rFonts w:ascii="Arial" w:hAnsi="Arial" w:cs="Arial"/>
                <w:sz w:val="20"/>
              </w:rPr>
            </w:pPr>
            <w:r w:rsidRPr="00806B7F">
              <w:rPr>
                <w:rFonts w:ascii="Arial" w:hAnsi="Arial" w:cs="Arial"/>
                <w:sz w:val="20"/>
              </w:rPr>
              <w:t>47.228</w:t>
            </w:r>
          </w:p>
        </w:tc>
        <w:tc>
          <w:tcPr>
            <w:tcW w:w="1117" w:type="dxa"/>
            <w:tcBorders>
              <w:top w:val="nil"/>
              <w:left w:val="nil"/>
              <w:bottom w:val="nil"/>
              <w:right w:val="nil"/>
            </w:tcBorders>
            <w:shd w:val="clear" w:color="auto" w:fill="auto"/>
            <w:noWrap/>
            <w:hideMark/>
          </w:tcPr>
          <w:p w14:paraId="22D4C814" w14:textId="77777777" w:rsidR="007C5B19" w:rsidRPr="00806B7F" w:rsidRDefault="007C5B19" w:rsidP="00A369A1">
            <w:pPr>
              <w:jc w:val="center"/>
              <w:rPr>
                <w:rFonts w:ascii="Arial" w:hAnsi="Arial" w:cs="Arial"/>
                <w:sz w:val="20"/>
              </w:rPr>
            </w:pPr>
            <w:r w:rsidRPr="00806B7F">
              <w:rPr>
                <w:rFonts w:ascii="Arial" w:hAnsi="Arial" w:cs="Arial"/>
                <w:sz w:val="20"/>
              </w:rPr>
              <w:t>48.158</w:t>
            </w:r>
          </w:p>
        </w:tc>
        <w:tc>
          <w:tcPr>
            <w:tcW w:w="1117" w:type="dxa"/>
            <w:tcBorders>
              <w:top w:val="nil"/>
              <w:left w:val="nil"/>
              <w:bottom w:val="nil"/>
              <w:right w:val="nil"/>
            </w:tcBorders>
            <w:shd w:val="clear" w:color="auto" w:fill="auto"/>
            <w:noWrap/>
            <w:hideMark/>
          </w:tcPr>
          <w:p w14:paraId="580C762A" w14:textId="77777777" w:rsidR="007C5B19" w:rsidRPr="00806B7F" w:rsidRDefault="007C5B19" w:rsidP="00A369A1">
            <w:pPr>
              <w:jc w:val="center"/>
              <w:rPr>
                <w:rFonts w:ascii="Arial" w:hAnsi="Arial" w:cs="Arial"/>
                <w:sz w:val="20"/>
              </w:rPr>
            </w:pPr>
            <w:r w:rsidRPr="00806B7F">
              <w:rPr>
                <w:rFonts w:ascii="Arial" w:hAnsi="Arial" w:cs="Arial"/>
                <w:sz w:val="20"/>
              </w:rPr>
              <w:t>49.234</w:t>
            </w:r>
          </w:p>
        </w:tc>
      </w:tr>
      <w:tr w:rsidR="007C5B19" w:rsidRPr="00806B7F" w14:paraId="53EB5CB8" w14:textId="77777777" w:rsidTr="00A369A1">
        <w:trPr>
          <w:trHeight w:val="255"/>
        </w:trPr>
        <w:tc>
          <w:tcPr>
            <w:tcW w:w="3196" w:type="dxa"/>
            <w:tcBorders>
              <w:top w:val="nil"/>
              <w:left w:val="nil"/>
              <w:bottom w:val="nil"/>
              <w:right w:val="nil"/>
            </w:tcBorders>
            <w:shd w:val="clear" w:color="auto" w:fill="auto"/>
            <w:noWrap/>
            <w:hideMark/>
          </w:tcPr>
          <w:p w14:paraId="28F3760A" w14:textId="77777777" w:rsidR="007C5B19" w:rsidRPr="00806B7F" w:rsidRDefault="007C5B19" w:rsidP="00A369A1">
            <w:pPr>
              <w:rPr>
                <w:rFonts w:ascii="Arial" w:hAnsi="Arial" w:cs="Arial"/>
                <w:sz w:val="20"/>
              </w:rPr>
            </w:pPr>
            <w:r w:rsidRPr="00806B7F">
              <w:rPr>
                <w:rFonts w:ascii="Arial" w:hAnsi="Arial" w:cs="Arial"/>
                <w:sz w:val="20"/>
              </w:rPr>
              <w:t xml:space="preserve"> Support staff </w:t>
            </w:r>
          </w:p>
        </w:tc>
        <w:tc>
          <w:tcPr>
            <w:tcW w:w="1117" w:type="dxa"/>
            <w:tcBorders>
              <w:top w:val="nil"/>
              <w:left w:val="nil"/>
              <w:bottom w:val="nil"/>
              <w:right w:val="nil"/>
            </w:tcBorders>
            <w:shd w:val="clear" w:color="auto" w:fill="auto"/>
            <w:noWrap/>
            <w:hideMark/>
          </w:tcPr>
          <w:p w14:paraId="1F041B9A" w14:textId="77777777" w:rsidR="007C5B19" w:rsidRPr="00806B7F" w:rsidRDefault="007C5B19" w:rsidP="00A369A1">
            <w:pPr>
              <w:jc w:val="center"/>
              <w:rPr>
                <w:rFonts w:ascii="Arial" w:hAnsi="Arial" w:cs="Arial"/>
                <w:sz w:val="20"/>
              </w:rPr>
            </w:pPr>
            <w:r w:rsidRPr="00806B7F">
              <w:rPr>
                <w:rFonts w:ascii="Arial" w:hAnsi="Arial" w:cs="Arial"/>
                <w:sz w:val="20"/>
              </w:rPr>
              <w:t>8.976</w:t>
            </w:r>
          </w:p>
        </w:tc>
        <w:tc>
          <w:tcPr>
            <w:tcW w:w="1296" w:type="dxa"/>
            <w:tcBorders>
              <w:top w:val="nil"/>
              <w:left w:val="nil"/>
              <w:bottom w:val="nil"/>
              <w:right w:val="nil"/>
            </w:tcBorders>
            <w:shd w:val="clear" w:color="auto" w:fill="auto"/>
            <w:noWrap/>
            <w:hideMark/>
          </w:tcPr>
          <w:p w14:paraId="7BA39EBC" w14:textId="77777777" w:rsidR="007C5B19" w:rsidRPr="00806B7F" w:rsidRDefault="007C5B19" w:rsidP="00A369A1">
            <w:pPr>
              <w:jc w:val="center"/>
              <w:rPr>
                <w:rFonts w:ascii="Arial" w:hAnsi="Arial" w:cs="Arial"/>
                <w:sz w:val="20"/>
              </w:rPr>
            </w:pPr>
            <w:r w:rsidRPr="00806B7F">
              <w:rPr>
                <w:rFonts w:ascii="Arial" w:hAnsi="Arial" w:cs="Arial"/>
                <w:sz w:val="20"/>
              </w:rPr>
              <w:t>9.161</w:t>
            </w:r>
          </w:p>
        </w:tc>
        <w:tc>
          <w:tcPr>
            <w:tcW w:w="1117" w:type="dxa"/>
            <w:tcBorders>
              <w:top w:val="nil"/>
              <w:left w:val="nil"/>
              <w:bottom w:val="nil"/>
              <w:right w:val="nil"/>
            </w:tcBorders>
            <w:shd w:val="clear" w:color="auto" w:fill="auto"/>
            <w:noWrap/>
            <w:hideMark/>
          </w:tcPr>
          <w:p w14:paraId="4F0D908D" w14:textId="77777777" w:rsidR="007C5B19" w:rsidRPr="00806B7F" w:rsidRDefault="007C5B19" w:rsidP="00A369A1">
            <w:pPr>
              <w:jc w:val="center"/>
              <w:rPr>
                <w:rFonts w:ascii="Arial" w:hAnsi="Arial" w:cs="Arial"/>
                <w:sz w:val="20"/>
              </w:rPr>
            </w:pPr>
            <w:r w:rsidRPr="00806B7F">
              <w:rPr>
                <w:rFonts w:ascii="Arial" w:hAnsi="Arial" w:cs="Arial"/>
                <w:sz w:val="20"/>
              </w:rPr>
              <w:t>9.493</w:t>
            </w:r>
          </w:p>
        </w:tc>
        <w:tc>
          <w:tcPr>
            <w:tcW w:w="1117" w:type="dxa"/>
            <w:tcBorders>
              <w:top w:val="nil"/>
              <w:left w:val="nil"/>
              <w:bottom w:val="nil"/>
              <w:right w:val="nil"/>
            </w:tcBorders>
            <w:shd w:val="clear" w:color="auto" w:fill="auto"/>
            <w:noWrap/>
            <w:hideMark/>
          </w:tcPr>
          <w:p w14:paraId="566F4D9C" w14:textId="77777777" w:rsidR="007C5B19" w:rsidRPr="00806B7F" w:rsidRDefault="007C5B19" w:rsidP="00A369A1">
            <w:pPr>
              <w:jc w:val="center"/>
              <w:rPr>
                <w:rFonts w:ascii="Arial" w:hAnsi="Arial" w:cs="Arial"/>
                <w:sz w:val="20"/>
              </w:rPr>
            </w:pPr>
            <w:r w:rsidRPr="00806B7F">
              <w:rPr>
                <w:rFonts w:ascii="Arial" w:hAnsi="Arial" w:cs="Arial"/>
                <w:sz w:val="20"/>
              </w:rPr>
              <w:t>9.654</w:t>
            </w:r>
          </w:p>
        </w:tc>
        <w:tc>
          <w:tcPr>
            <w:tcW w:w="1117" w:type="dxa"/>
            <w:tcBorders>
              <w:top w:val="nil"/>
              <w:left w:val="nil"/>
              <w:bottom w:val="nil"/>
              <w:right w:val="nil"/>
            </w:tcBorders>
            <w:shd w:val="clear" w:color="auto" w:fill="auto"/>
            <w:noWrap/>
            <w:hideMark/>
          </w:tcPr>
          <w:p w14:paraId="07013217" w14:textId="77777777" w:rsidR="007C5B19" w:rsidRPr="00806B7F" w:rsidRDefault="007C5B19" w:rsidP="00A369A1">
            <w:pPr>
              <w:jc w:val="center"/>
              <w:rPr>
                <w:rFonts w:ascii="Arial" w:hAnsi="Arial" w:cs="Arial"/>
                <w:sz w:val="20"/>
              </w:rPr>
            </w:pPr>
            <w:r w:rsidRPr="00806B7F">
              <w:rPr>
                <w:rFonts w:ascii="Arial" w:hAnsi="Arial" w:cs="Arial"/>
                <w:sz w:val="20"/>
              </w:rPr>
              <w:t>9.870</w:t>
            </w:r>
          </w:p>
        </w:tc>
      </w:tr>
      <w:tr w:rsidR="007C5B19" w:rsidRPr="00806B7F" w14:paraId="4FE8A3A7" w14:textId="77777777" w:rsidTr="00A369A1">
        <w:trPr>
          <w:trHeight w:val="255"/>
        </w:trPr>
        <w:tc>
          <w:tcPr>
            <w:tcW w:w="3196" w:type="dxa"/>
            <w:tcBorders>
              <w:top w:val="nil"/>
              <w:left w:val="nil"/>
              <w:bottom w:val="nil"/>
              <w:right w:val="nil"/>
            </w:tcBorders>
            <w:shd w:val="clear" w:color="auto" w:fill="auto"/>
            <w:noWrap/>
            <w:hideMark/>
          </w:tcPr>
          <w:p w14:paraId="0750D9CF" w14:textId="77777777" w:rsidR="007C5B19" w:rsidRPr="00806B7F" w:rsidRDefault="007C5B19" w:rsidP="00A369A1">
            <w:pPr>
              <w:rPr>
                <w:rFonts w:ascii="Arial" w:hAnsi="Arial" w:cs="Arial"/>
                <w:sz w:val="20"/>
              </w:rPr>
            </w:pPr>
            <w:r w:rsidRPr="00806B7F">
              <w:rPr>
                <w:rFonts w:ascii="Arial" w:hAnsi="Arial" w:cs="Arial"/>
                <w:sz w:val="20"/>
              </w:rPr>
              <w:t xml:space="preserve"> Pensions </w:t>
            </w:r>
          </w:p>
        </w:tc>
        <w:tc>
          <w:tcPr>
            <w:tcW w:w="1117" w:type="dxa"/>
            <w:tcBorders>
              <w:top w:val="nil"/>
              <w:left w:val="nil"/>
              <w:bottom w:val="nil"/>
              <w:right w:val="nil"/>
            </w:tcBorders>
            <w:shd w:val="clear" w:color="auto" w:fill="auto"/>
            <w:noWrap/>
            <w:hideMark/>
          </w:tcPr>
          <w:p w14:paraId="43C0A14E" w14:textId="77777777" w:rsidR="007C5B19" w:rsidRPr="00806B7F" w:rsidRDefault="007C5B19" w:rsidP="00A369A1">
            <w:pPr>
              <w:jc w:val="center"/>
              <w:rPr>
                <w:rFonts w:ascii="Arial" w:hAnsi="Arial" w:cs="Arial"/>
                <w:sz w:val="20"/>
              </w:rPr>
            </w:pPr>
            <w:r w:rsidRPr="00806B7F">
              <w:rPr>
                <w:rFonts w:ascii="Arial" w:hAnsi="Arial" w:cs="Arial"/>
                <w:sz w:val="20"/>
              </w:rPr>
              <w:t>1.392</w:t>
            </w:r>
          </w:p>
        </w:tc>
        <w:tc>
          <w:tcPr>
            <w:tcW w:w="1296" w:type="dxa"/>
            <w:tcBorders>
              <w:top w:val="nil"/>
              <w:left w:val="nil"/>
              <w:bottom w:val="nil"/>
              <w:right w:val="nil"/>
            </w:tcBorders>
            <w:shd w:val="clear" w:color="auto" w:fill="auto"/>
            <w:noWrap/>
            <w:hideMark/>
          </w:tcPr>
          <w:p w14:paraId="4FF915A3" w14:textId="77777777" w:rsidR="007C5B19" w:rsidRPr="00806B7F" w:rsidRDefault="007C5B19" w:rsidP="00A369A1">
            <w:pPr>
              <w:jc w:val="center"/>
              <w:rPr>
                <w:rFonts w:ascii="Arial" w:hAnsi="Arial" w:cs="Arial"/>
                <w:sz w:val="20"/>
              </w:rPr>
            </w:pPr>
            <w:r w:rsidRPr="00806B7F">
              <w:rPr>
                <w:rFonts w:ascii="Arial" w:hAnsi="Arial" w:cs="Arial"/>
                <w:sz w:val="20"/>
              </w:rPr>
              <w:t>1.468</w:t>
            </w:r>
          </w:p>
        </w:tc>
        <w:tc>
          <w:tcPr>
            <w:tcW w:w="1117" w:type="dxa"/>
            <w:tcBorders>
              <w:top w:val="nil"/>
              <w:left w:val="nil"/>
              <w:bottom w:val="nil"/>
              <w:right w:val="nil"/>
            </w:tcBorders>
            <w:shd w:val="clear" w:color="auto" w:fill="auto"/>
            <w:noWrap/>
            <w:hideMark/>
          </w:tcPr>
          <w:p w14:paraId="21BFE210" w14:textId="77777777" w:rsidR="007C5B19" w:rsidRPr="00806B7F" w:rsidRDefault="007C5B19" w:rsidP="00A369A1">
            <w:pPr>
              <w:jc w:val="center"/>
              <w:rPr>
                <w:rFonts w:ascii="Arial" w:hAnsi="Arial" w:cs="Arial"/>
                <w:sz w:val="20"/>
              </w:rPr>
            </w:pPr>
            <w:r w:rsidRPr="00806B7F">
              <w:rPr>
                <w:rFonts w:ascii="Arial" w:hAnsi="Arial" w:cs="Arial"/>
                <w:sz w:val="20"/>
              </w:rPr>
              <w:t>1.473</w:t>
            </w:r>
          </w:p>
        </w:tc>
        <w:tc>
          <w:tcPr>
            <w:tcW w:w="1117" w:type="dxa"/>
            <w:tcBorders>
              <w:top w:val="nil"/>
              <w:left w:val="nil"/>
              <w:bottom w:val="nil"/>
              <w:right w:val="nil"/>
            </w:tcBorders>
            <w:shd w:val="clear" w:color="auto" w:fill="auto"/>
            <w:noWrap/>
            <w:hideMark/>
          </w:tcPr>
          <w:p w14:paraId="59503D1A" w14:textId="77777777" w:rsidR="007C5B19" w:rsidRPr="00806B7F" w:rsidRDefault="007C5B19" w:rsidP="00A369A1">
            <w:pPr>
              <w:jc w:val="center"/>
              <w:rPr>
                <w:rFonts w:ascii="Arial" w:hAnsi="Arial" w:cs="Arial"/>
                <w:sz w:val="20"/>
              </w:rPr>
            </w:pPr>
            <w:r w:rsidRPr="00806B7F">
              <w:rPr>
                <w:rFonts w:ascii="Arial" w:hAnsi="Arial" w:cs="Arial"/>
                <w:sz w:val="20"/>
              </w:rPr>
              <w:t>1.540</w:t>
            </w:r>
          </w:p>
        </w:tc>
        <w:tc>
          <w:tcPr>
            <w:tcW w:w="1117" w:type="dxa"/>
            <w:tcBorders>
              <w:top w:val="nil"/>
              <w:left w:val="nil"/>
              <w:bottom w:val="nil"/>
              <w:right w:val="nil"/>
            </w:tcBorders>
            <w:shd w:val="clear" w:color="auto" w:fill="auto"/>
            <w:noWrap/>
            <w:hideMark/>
          </w:tcPr>
          <w:p w14:paraId="7644FE9C" w14:textId="77777777" w:rsidR="007C5B19" w:rsidRPr="00806B7F" w:rsidRDefault="007C5B19" w:rsidP="00A369A1">
            <w:pPr>
              <w:jc w:val="center"/>
              <w:rPr>
                <w:rFonts w:ascii="Arial" w:hAnsi="Arial" w:cs="Arial"/>
                <w:sz w:val="20"/>
              </w:rPr>
            </w:pPr>
            <w:r w:rsidRPr="00806B7F">
              <w:rPr>
                <w:rFonts w:ascii="Arial" w:hAnsi="Arial" w:cs="Arial"/>
                <w:sz w:val="20"/>
              </w:rPr>
              <w:t>1.612</w:t>
            </w:r>
          </w:p>
        </w:tc>
      </w:tr>
      <w:tr w:rsidR="007C5B19" w:rsidRPr="00806B7F" w14:paraId="67E2F216" w14:textId="77777777" w:rsidTr="00A369A1">
        <w:trPr>
          <w:trHeight w:val="255"/>
        </w:trPr>
        <w:tc>
          <w:tcPr>
            <w:tcW w:w="3196" w:type="dxa"/>
            <w:tcBorders>
              <w:top w:val="nil"/>
              <w:left w:val="nil"/>
              <w:bottom w:val="nil"/>
              <w:right w:val="nil"/>
            </w:tcBorders>
            <w:shd w:val="clear" w:color="auto" w:fill="auto"/>
            <w:noWrap/>
            <w:hideMark/>
          </w:tcPr>
          <w:p w14:paraId="2ADB169C" w14:textId="77777777" w:rsidR="007C5B19" w:rsidRPr="00806B7F" w:rsidRDefault="007C5B19" w:rsidP="00A369A1">
            <w:pPr>
              <w:rPr>
                <w:rFonts w:ascii="Arial" w:hAnsi="Arial" w:cs="Arial"/>
                <w:sz w:val="20"/>
              </w:rPr>
            </w:pPr>
            <w:r w:rsidRPr="00806B7F">
              <w:rPr>
                <w:rFonts w:ascii="Arial" w:hAnsi="Arial" w:cs="Arial"/>
                <w:sz w:val="20"/>
              </w:rPr>
              <w:t xml:space="preserve"> Other Employee Related Exp </w:t>
            </w:r>
          </w:p>
        </w:tc>
        <w:tc>
          <w:tcPr>
            <w:tcW w:w="1117" w:type="dxa"/>
            <w:tcBorders>
              <w:top w:val="nil"/>
              <w:left w:val="nil"/>
              <w:bottom w:val="nil"/>
              <w:right w:val="nil"/>
            </w:tcBorders>
            <w:shd w:val="clear" w:color="auto" w:fill="auto"/>
            <w:noWrap/>
            <w:hideMark/>
          </w:tcPr>
          <w:p w14:paraId="31FF2974" w14:textId="77777777" w:rsidR="007C5B19" w:rsidRPr="00806B7F" w:rsidRDefault="007C5B19" w:rsidP="00A369A1">
            <w:pPr>
              <w:jc w:val="center"/>
              <w:rPr>
                <w:rFonts w:ascii="Arial" w:hAnsi="Arial" w:cs="Arial"/>
                <w:sz w:val="20"/>
              </w:rPr>
            </w:pPr>
            <w:r w:rsidRPr="00806B7F">
              <w:rPr>
                <w:rFonts w:ascii="Arial" w:hAnsi="Arial" w:cs="Arial"/>
                <w:sz w:val="20"/>
              </w:rPr>
              <w:t>0.064</w:t>
            </w:r>
          </w:p>
        </w:tc>
        <w:tc>
          <w:tcPr>
            <w:tcW w:w="1296" w:type="dxa"/>
            <w:tcBorders>
              <w:top w:val="nil"/>
              <w:left w:val="nil"/>
              <w:bottom w:val="nil"/>
              <w:right w:val="nil"/>
            </w:tcBorders>
            <w:shd w:val="clear" w:color="auto" w:fill="auto"/>
            <w:noWrap/>
            <w:hideMark/>
          </w:tcPr>
          <w:p w14:paraId="24E60542" w14:textId="77777777" w:rsidR="007C5B19" w:rsidRPr="00806B7F" w:rsidRDefault="007C5B19" w:rsidP="00A369A1">
            <w:pPr>
              <w:jc w:val="center"/>
              <w:rPr>
                <w:rFonts w:ascii="Arial" w:hAnsi="Arial" w:cs="Arial"/>
                <w:sz w:val="20"/>
              </w:rPr>
            </w:pPr>
            <w:r w:rsidRPr="00806B7F">
              <w:rPr>
                <w:rFonts w:ascii="Arial" w:hAnsi="Arial" w:cs="Arial"/>
                <w:sz w:val="20"/>
              </w:rPr>
              <w:t>0.065</w:t>
            </w:r>
          </w:p>
        </w:tc>
        <w:tc>
          <w:tcPr>
            <w:tcW w:w="1117" w:type="dxa"/>
            <w:tcBorders>
              <w:top w:val="nil"/>
              <w:left w:val="nil"/>
              <w:bottom w:val="nil"/>
              <w:right w:val="nil"/>
            </w:tcBorders>
            <w:shd w:val="clear" w:color="auto" w:fill="auto"/>
            <w:noWrap/>
            <w:hideMark/>
          </w:tcPr>
          <w:p w14:paraId="27647EB5" w14:textId="77777777" w:rsidR="007C5B19" w:rsidRPr="00806B7F" w:rsidRDefault="007C5B19" w:rsidP="00A369A1">
            <w:pPr>
              <w:jc w:val="center"/>
              <w:rPr>
                <w:rFonts w:ascii="Arial" w:hAnsi="Arial" w:cs="Arial"/>
                <w:sz w:val="20"/>
              </w:rPr>
            </w:pPr>
            <w:r w:rsidRPr="00806B7F">
              <w:rPr>
                <w:rFonts w:ascii="Arial" w:hAnsi="Arial" w:cs="Arial"/>
                <w:sz w:val="20"/>
              </w:rPr>
              <w:t>0.067</w:t>
            </w:r>
          </w:p>
        </w:tc>
        <w:tc>
          <w:tcPr>
            <w:tcW w:w="1117" w:type="dxa"/>
            <w:tcBorders>
              <w:top w:val="nil"/>
              <w:left w:val="nil"/>
              <w:bottom w:val="nil"/>
              <w:right w:val="nil"/>
            </w:tcBorders>
            <w:shd w:val="clear" w:color="auto" w:fill="auto"/>
            <w:noWrap/>
            <w:hideMark/>
          </w:tcPr>
          <w:p w14:paraId="555DB567" w14:textId="77777777" w:rsidR="007C5B19" w:rsidRPr="00806B7F" w:rsidRDefault="007C5B19" w:rsidP="00A369A1">
            <w:pPr>
              <w:jc w:val="center"/>
              <w:rPr>
                <w:rFonts w:ascii="Arial" w:hAnsi="Arial" w:cs="Arial"/>
                <w:sz w:val="20"/>
              </w:rPr>
            </w:pPr>
            <w:r w:rsidRPr="00806B7F">
              <w:rPr>
                <w:rFonts w:ascii="Arial" w:hAnsi="Arial" w:cs="Arial"/>
                <w:sz w:val="20"/>
              </w:rPr>
              <w:t>0.069</w:t>
            </w:r>
          </w:p>
        </w:tc>
        <w:tc>
          <w:tcPr>
            <w:tcW w:w="1117" w:type="dxa"/>
            <w:tcBorders>
              <w:top w:val="nil"/>
              <w:left w:val="nil"/>
              <w:bottom w:val="nil"/>
              <w:right w:val="nil"/>
            </w:tcBorders>
            <w:shd w:val="clear" w:color="auto" w:fill="auto"/>
            <w:noWrap/>
            <w:hideMark/>
          </w:tcPr>
          <w:p w14:paraId="07050D7C" w14:textId="77777777" w:rsidR="007C5B19" w:rsidRPr="00806B7F" w:rsidRDefault="007C5B19" w:rsidP="00A369A1">
            <w:pPr>
              <w:jc w:val="center"/>
              <w:rPr>
                <w:rFonts w:ascii="Arial" w:hAnsi="Arial" w:cs="Arial"/>
                <w:sz w:val="20"/>
              </w:rPr>
            </w:pPr>
            <w:r w:rsidRPr="00806B7F">
              <w:rPr>
                <w:rFonts w:ascii="Arial" w:hAnsi="Arial" w:cs="Arial"/>
                <w:sz w:val="20"/>
              </w:rPr>
              <w:t>0.070</w:t>
            </w:r>
          </w:p>
        </w:tc>
      </w:tr>
      <w:tr w:rsidR="007C5B19" w:rsidRPr="00806B7F" w14:paraId="3F6A813D" w14:textId="77777777" w:rsidTr="00A369A1">
        <w:trPr>
          <w:trHeight w:val="255"/>
        </w:trPr>
        <w:tc>
          <w:tcPr>
            <w:tcW w:w="3196" w:type="dxa"/>
            <w:tcBorders>
              <w:top w:val="nil"/>
              <w:left w:val="nil"/>
              <w:bottom w:val="nil"/>
              <w:right w:val="nil"/>
            </w:tcBorders>
            <w:shd w:val="clear" w:color="auto" w:fill="auto"/>
            <w:noWrap/>
            <w:hideMark/>
          </w:tcPr>
          <w:p w14:paraId="086E1DFF" w14:textId="77777777" w:rsidR="007C5B19" w:rsidRPr="00806B7F" w:rsidRDefault="007C5B19" w:rsidP="00A369A1">
            <w:pPr>
              <w:jc w:val="right"/>
              <w:rPr>
                <w:rFonts w:ascii="Arial" w:hAnsi="Arial" w:cs="Arial"/>
                <w:sz w:val="20"/>
              </w:rPr>
            </w:pPr>
          </w:p>
        </w:tc>
        <w:tc>
          <w:tcPr>
            <w:tcW w:w="1117" w:type="dxa"/>
            <w:tcBorders>
              <w:top w:val="single" w:sz="4" w:space="0" w:color="auto"/>
              <w:left w:val="nil"/>
              <w:bottom w:val="single" w:sz="4" w:space="0" w:color="auto"/>
              <w:right w:val="nil"/>
            </w:tcBorders>
            <w:shd w:val="clear" w:color="auto" w:fill="auto"/>
            <w:noWrap/>
            <w:hideMark/>
          </w:tcPr>
          <w:p w14:paraId="0381779D" w14:textId="77777777" w:rsidR="007C5B19" w:rsidRPr="00806B7F" w:rsidRDefault="007C5B19" w:rsidP="00A369A1">
            <w:pPr>
              <w:jc w:val="center"/>
              <w:rPr>
                <w:rFonts w:ascii="Arial" w:hAnsi="Arial" w:cs="Arial"/>
                <w:sz w:val="20"/>
              </w:rPr>
            </w:pPr>
            <w:r w:rsidRPr="00806B7F">
              <w:rPr>
                <w:rFonts w:ascii="Arial" w:hAnsi="Arial" w:cs="Arial"/>
                <w:sz w:val="20"/>
              </w:rPr>
              <w:t>54.303</w:t>
            </w:r>
          </w:p>
        </w:tc>
        <w:tc>
          <w:tcPr>
            <w:tcW w:w="1296" w:type="dxa"/>
            <w:tcBorders>
              <w:top w:val="single" w:sz="4" w:space="0" w:color="auto"/>
              <w:left w:val="nil"/>
              <w:bottom w:val="single" w:sz="4" w:space="0" w:color="auto"/>
              <w:right w:val="nil"/>
            </w:tcBorders>
            <w:shd w:val="clear" w:color="auto" w:fill="auto"/>
            <w:noWrap/>
            <w:hideMark/>
          </w:tcPr>
          <w:p w14:paraId="18D66973" w14:textId="77777777" w:rsidR="007C5B19" w:rsidRPr="00806B7F" w:rsidRDefault="007C5B19" w:rsidP="00A369A1">
            <w:pPr>
              <w:jc w:val="center"/>
              <w:rPr>
                <w:rFonts w:ascii="Arial" w:hAnsi="Arial" w:cs="Arial"/>
                <w:sz w:val="20"/>
              </w:rPr>
            </w:pPr>
            <w:r w:rsidRPr="00806B7F">
              <w:rPr>
                <w:rFonts w:ascii="Arial" w:hAnsi="Arial" w:cs="Arial"/>
                <w:sz w:val="20"/>
              </w:rPr>
              <w:t>56.571</w:t>
            </w:r>
          </w:p>
        </w:tc>
        <w:tc>
          <w:tcPr>
            <w:tcW w:w="1117" w:type="dxa"/>
            <w:tcBorders>
              <w:top w:val="single" w:sz="4" w:space="0" w:color="auto"/>
              <w:left w:val="nil"/>
              <w:bottom w:val="single" w:sz="4" w:space="0" w:color="auto"/>
              <w:right w:val="nil"/>
            </w:tcBorders>
            <w:shd w:val="clear" w:color="auto" w:fill="auto"/>
            <w:noWrap/>
            <w:hideMark/>
          </w:tcPr>
          <w:p w14:paraId="74982915" w14:textId="77777777" w:rsidR="007C5B19" w:rsidRPr="00806B7F" w:rsidRDefault="007C5B19" w:rsidP="00A369A1">
            <w:pPr>
              <w:jc w:val="center"/>
              <w:rPr>
                <w:rFonts w:ascii="Arial" w:hAnsi="Arial" w:cs="Arial"/>
                <w:sz w:val="20"/>
              </w:rPr>
            </w:pPr>
            <w:r w:rsidRPr="00806B7F">
              <w:rPr>
                <w:rFonts w:ascii="Arial" w:hAnsi="Arial" w:cs="Arial"/>
                <w:sz w:val="20"/>
              </w:rPr>
              <w:t>58.261</w:t>
            </w:r>
          </w:p>
        </w:tc>
        <w:tc>
          <w:tcPr>
            <w:tcW w:w="1117" w:type="dxa"/>
            <w:tcBorders>
              <w:top w:val="single" w:sz="4" w:space="0" w:color="auto"/>
              <w:left w:val="nil"/>
              <w:bottom w:val="single" w:sz="4" w:space="0" w:color="auto"/>
              <w:right w:val="nil"/>
            </w:tcBorders>
            <w:shd w:val="clear" w:color="auto" w:fill="auto"/>
            <w:noWrap/>
            <w:hideMark/>
          </w:tcPr>
          <w:p w14:paraId="0C6CEF56" w14:textId="77777777" w:rsidR="007C5B19" w:rsidRPr="00806B7F" w:rsidRDefault="007C5B19" w:rsidP="00A369A1">
            <w:pPr>
              <w:jc w:val="center"/>
              <w:rPr>
                <w:rFonts w:ascii="Arial" w:hAnsi="Arial" w:cs="Arial"/>
                <w:sz w:val="20"/>
              </w:rPr>
            </w:pPr>
            <w:r w:rsidRPr="00806B7F">
              <w:rPr>
                <w:rFonts w:ascii="Arial" w:hAnsi="Arial" w:cs="Arial"/>
                <w:sz w:val="20"/>
              </w:rPr>
              <w:t>59.421</w:t>
            </w:r>
          </w:p>
        </w:tc>
        <w:tc>
          <w:tcPr>
            <w:tcW w:w="1117" w:type="dxa"/>
            <w:tcBorders>
              <w:top w:val="single" w:sz="4" w:space="0" w:color="auto"/>
              <w:left w:val="nil"/>
              <w:bottom w:val="single" w:sz="4" w:space="0" w:color="auto"/>
              <w:right w:val="nil"/>
            </w:tcBorders>
            <w:shd w:val="clear" w:color="auto" w:fill="auto"/>
            <w:noWrap/>
            <w:hideMark/>
          </w:tcPr>
          <w:p w14:paraId="4A266E83" w14:textId="77777777" w:rsidR="007C5B19" w:rsidRPr="00806B7F" w:rsidRDefault="007C5B19" w:rsidP="00A369A1">
            <w:pPr>
              <w:jc w:val="center"/>
              <w:rPr>
                <w:rFonts w:ascii="Arial" w:hAnsi="Arial" w:cs="Arial"/>
                <w:sz w:val="20"/>
              </w:rPr>
            </w:pPr>
            <w:r w:rsidRPr="00806B7F">
              <w:rPr>
                <w:rFonts w:ascii="Arial" w:hAnsi="Arial" w:cs="Arial"/>
                <w:sz w:val="20"/>
              </w:rPr>
              <w:t>60.786</w:t>
            </w:r>
          </w:p>
        </w:tc>
      </w:tr>
      <w:tr w:rsidR="007C5B19" w:rsidRPr="00806B7F" w14:paraId="1997F435" w14:textId="77777777" w:rsidTr="00A369A1">
        <w:trPr>
          <w:trHeight w:val="255"/>
        </w:trPr>
        <w:tc>
          <w:tcPr>
            <w:tcW w:w="3196" w:type="dxa"/>
            <w:tcBorders>
              <w:top w:val="nil"/>
              <w:left w:val="nil"/>
              <w:bottom w:val="nil"/>
              <w:right w:val="nil"/>
            </w:tcBorders>
            <w:shd w:val="clear" w:color="auto" w:fill="auto"/>
            <w:noWrap/>
            <w:hideMark/>
          </w:tcPr>
          <w:p w14:paraId="73ECDF58" w14:textId="77777777" w:rsidR="007C5B19" w:rsidRPr="00806B7F" w:rsidRDefault="007C5B19" w:rsidP="00A369A1">
            <w:pPr>
              <w:rPr>
                <w:rFonts w:ascii="Arial" w:hAnsi="Arial" w:cs="Arial"/>
                <w:b/>
                <w:bCs/>
                <w:sz w:val="20"/>
              </w:rPr>
            </w:pPr>
            <w:r w:rsidRPr="00806B7F">
              <w:rPr>
                <w:rFonts w:ascii="Arial" w:hAnsi="Arial" w:cs="Arial"/>
                <w:sz w:val="20"/>
              </w:rPr>
              <w:t xml:space="preserve"> Premises </w:t>
            </w:r>
          </w:p>
        </w:tc>
        <w:tc>
          <w:tcPr>
            <w:tcW w:w="1117" w:type="dxa"/>
            <w:tcBorders>
              <w:top w:val="nil"/>
              <w:left w:val="nil"/>
              <w:bottom w:val="nil"/>
              <w:right w:val="nil"/>
            </w:tcBorders>
            <w:shd w:val="clear" w:color="auto" w:fill="auto"/>
            <w:noWrap/>
            <w:hideMark/>
          </w:tcPr>
          <w:p w14:paraId="6141192B" w14:textId="77777777" w:rsidR="007C5B19" w:rsidRPr="00806B7F" w:rsidRDefault="007C5B19" w:rsidP="00A369A1">
            <w:pPr>
              <w:jc w:val="center"/>
              <w:rPr>
                <w:rFonts w:ascii="Arial" w:hAnsi="Arial" w:cs="Arial"/>
                <w:b/>
                <w:bCs/>
                <w:sz w:val="20"/>
              </w:rPr>
            </w:pPr>
          </w:p>
        </w:tc>
        <w:tc>
          <w:tcPr>
            <w:tcW w:w="1296" w:type="dxa"/>
            <w:tcBorders>
              <w:top w:val="nil"/>
              <w:left w:val="nil"/>
              <w:bottom w:val="nil"/>
              <w:right w:val="nil"/>
            </w:tcBorders>
            <w:shd w:val="clear" w:color="auto" w:fill="auto"/>
            <w:noWrap/>
            <w:hideMark/>
          </w:tcPr>
          <w:p w14:paraId="196F7D89"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652FAE5C"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7140E519"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61A1DC94" w14:textId="77777777" w:rsidR="007C5B19" w:rsidRPr="00806B7F" w:rsidRDefault="007C5B19" w:rsidP="00A369A1">
            <w:pPr>
              <w:jc w:val="center"/>
              <w:rPr>
                <w:rFonts w:ascii="Arial" w:hAnsi="Arial" w:cs="Arial"/>
                <w:sz w:val="20"/>
              </w:rPr>
            </w:pPr>
          </w:p>
        </w:tc>
      </w:tr>
      <w:tr w:rsidR="007C5B19" w:rsidRPr="00806B7F" w14:paraId="57323CE0" w14:textId="77777777" w:rsidTr="00A369A1">
        <w:trPr>
          <w:trHeight w:val="255"/>
        </w:trPr>
        <w:tc>
          <w:tcPr>
            <w:tcW w:w="3196" w:type="dxa"/>
            <w:tcBorders>
              <w:top w:val="nil"/>
              <w:left w:val="nil"/>
              <w:bottom w:val="nil"/>
              <w:right w:val="nil"/>
            </w:tcBorders>
            <w:shd w:val="clear" w:color="auto" w:fill="auto"/>
            <w:noWrap/>
            <w:hideMark/>
          </w:tcPr>
          <w:p w14:paraId="758051F1" w14:textId="77777777" w:rsidR="007C5B19" w:rsidRPr="00806B7F" w:rsidRDefault="007C5B19" w:rsidP="00A369A1">
            <w:pPr>
              <w:rPr>
                <w:rFonts w:ascii="Arial" w:hAnsi="Arial" w:cs="Arial"/>
                <w:sz w:val="20"/>
              </w:rPr>
            </w:pPr>
            <w:r w:rsidRPr="00806B7F">
              <w:rPr>
                <w:rFonts w:ascii="Arial" w:hAnsi="Arial" w:cs="Arial"/>
                <w:sz w:val="20"/>
              </w:rPr>
              <w:t xml:space="preserve"> R&amp;M </w:t>
            </w:r>
          </w:p>
        </w:tc>
        <w:tc>
          <w:tcPr>
            <w:tcW w:w="1117" w:type="dxa"/>
            <w:tcBorders>
              <w:top w:val="nil"/>
              <w:left w:val="nil"/>
              <w:bottom w:val="nil"/>
              <w:right w:val="nil"/>
            </w:tcBorders>
            <w:shd w:val="clear" w:color="auto" w:fill="auto"/>
            <w:noWrap/>
            <w:hideMark/>
          </w:tcPr>
          <w:p w14:paraId="56D48FB3" w14:textId="77777777" w:rsidR="007C5B19" w:rsidRPr="00806B7F" w:rsidRDefault="007C5B19" w:rsidP="00A369A1">
            <w:pPr>
              <w:jc w:val="center"/>
              <w:rPr>
                <w:rFonts w:ascii="Arial" w:hAnsi="Arial" w:cs="Arial"/>
                <w:sz w:val="20"/>
              </w:rPr>
            </w:pPr>
            <w:r w:rsidRPr="00806B7F">
              <w:rPr>
                <w:rFonts w:ascii="Arial" w:hAnsi="Arial" w:cs="Arial"/>
                <w:sz w:val="20"/>
              </w:rPr>
              <w:t>1.235</w:t>
            </w:r>
          </w:p>
        </w:tc>
        <w:tc>
          <w:tcPr>
            <w:tcW w:w="1296" w:type="dxa"/>
            <w:tcBorders>
              <w:top w:val="nil"/>
              <w:left w:val="nil"/>
              <w:bottom w:val="nil"/>
              <w:right w:val="nil"/>
            </w:tcBorders>
            <w:shd w:val="clear" w:color="auto" w:fill="auto"/>
            <w:noWrap/>
            <w:hideMark/>
          </w:tcPr>
          <w:p w14:paraId="33999753" w14:textId="77777777" w:rsidR="007C5B19" w:rsidRPr="00806B7F" w:rsidRDefault="007C5B19" w:rsidP="00A369A1">
            <w:pPr>
              <w:jc w:val="center"/>
              <w:rPr>
                <w:rFonts w:ascii="Arial" w:hAnsi="Arial" w:cs="Arial"/>
                <w:sz w:val="20"/>
              </w:rPr>
            </w:pPr>
            <w:r w:rsidRPr="00806B7F">
              <w:rPr>
                <w:rFonts w:ascii="Arial" w:hAnsi="Arial" w:cs="Arial"/>
                <w:sz w:val="20"/>
              </w:rPr>
              <w:t>1.265</w:t>
            </w:r>
          </w:p>
        </w:tc>
        <w:tc>
          <w:tcPr>
            <w:tcW w:w="1117" w:type="dxa"/>
            <w:tcBorders>
              <w:top w:val="nil"/>
              <w:left w:val="nil"/>
              <w:bottom w:val="nil"/>
              <w:right w:val="nil"/>
            </w:tcBorders>
            <w:shd w:val="clear" w:color="auto" w:fill="auto"/>
            <w:noWrap/>
            <w:hideMark/>
          </w:tcPr>
          <w:p w14:paraId="264F2811" w14:textId="77777777" w:rsidR="007C5B19" w:rsidRPr="00806B7F" w:rsidRDefault="007C5B19" w:rsidP="00A369A1">
            <w:pPr>
              <w:jc w:val="center"/>
              <w:rPr>
                <w:rFonts w:ascii="Arial" w:hAnsi="Arial" w:cs="Arial"/>
                <w:sz w:val="20"/>
              </w:rPr>
            </w:pPr>
            <w:r w:rsidRPr="00806B7F">
              <w:rPr>
                <w:rFonts w:ascii="Arial" w:hAnsi="Arial" w:cs="Arial"/>
                <w:sz w:val="20"/>
              </w:rPr>
              <w:t>1.297</w:t>
            </w:r>
          </w:p>
        </w:tc>
        <w:tc>
          <w:tcPr>
            <w:tcW w:w="1117" w:type="dxa"/>
            <w:tcBorders>
              <w:top w:val="nil"/>
              <w:left w:val="nil"/>
              <w:bottom w:val="nil"/>
              <w:right w:val="nil"/>
            </w:tcBorders>
            <w:shd w:val="clear" w:color="auto" w:fill="auto"/>
            <w:noWrap/>
            <w:hideMark/>
          </w:tcPr>
          <w:p w14:paraId="45C0D0A5" w14:textId="77777777" w:rsidR="007C5B19" w:rsidRPr="00806B7F" w:rsidRDefault="007C5B19" w:rsidP="00A369A1">
            <w:pPr>
              <w:jc w:val="center"/>
              <w:rPr>
                <w:rFonts w:ascii="Arial" w:hAnsi="Arial" w:cs="Arial"/>
                <w:sz w:val="20"/>
              </w:rPr>
            </w:pPr>
            <w:r w:rsidRPr="00806B7F">
              <w:rPr>
                <w:rFonts w:ascii="Arial" w:hAnsi="Arial" w:cs="Arial"/>
                <w:sz w:val="20"/>
              </w:rPr>
              <w:t>1.329</w:t>
            </w:r>
          </w:p>
        </w:tc>
        <w:tc>
          <w:tcPr>
            <w:tcW w:w="1117" w:type="dxa"/>
            <w:tcBorders>
              <w:top w:val="nil"/>
              <w:left w:val="nil"/>
              <w:bottom w:val="nil"/>
              <w:right w:val="nil"/>
            </w:tcBorders>
            <w:shd w:val="clear" w:color="auto" w:fill="auto"/>
            <w:noWrap/>
            <w:hideMark/>
          </w:tcPr>
          <w:p w14:paraId="111113D3" w14:textId="77777777" w:rsidR="007C5B19" w:rsidRPr="00806B7F" w:rsidRDefault="007C5B19" w:rsidP="00A369A1">
            <w:pPr>
              <w:jc w:val="center"/>
              <w:rPr>
                <w:rFonts w:ascii="Arial" w:hAnsi="Arial" w:cs="Arial"/>
                <w:sz w:val="20"/>
              </w:rPr>
            </w:pPr>
            <w:r w:rsidRPr="00806B7F">
              <w:rPr>
                <w:rFonts w:ascii="Arial" w:hAnsi="Arial" w:cs="Arial"/>
                <w:sz w:val="20"/>
              </w:rPr>
              <w:t>1.362</w:t>
            </w:r>
          </w:p>
        </w:tc>
      </w:tr>
      <w:tr w:rsidR="007C5B19" w:rsidRPr="00806B7F" w14:paraId="033FD246" w14:textId="77777777" w:rsidTr="00A369A1">
        <w:trPr>
          <w:trHeight w:val="255"/>
        </w:trPr>
        <w:tc>
          <w:tcPr>
            <w:tcW w:w="3196" w:type="dxa"/>
            <w:tcBorders>
              <w:top w:val="nil"/>
              <w:left w:val="nil"/>
              <w:bottom w:val="nil"/>
              <w:right w:val="nil"/>
            </w:tcBorders>
            <w:shd w:val="clear" w:color="auto" w:fill="auto"/>
            <w:noWrap/>
            <w:hideMark/>
          </w:tcPr>
          <w:p w14:paraId="3D563232" w14:textId="77777777" w:rsidR="007C5B19" w:rsidRPr="00806B7F" w:rsidRDefault="007C5B19" w:rsidP="00A369A1">
            <w:pPr>
              <w:rPr>
                <w:rFonts w:ascii="Arial" w:hAnsi="Arial" w:cs="Arial"/>
                <w:sz w:val="20"/>
              </w:rPr>
            </w:pPr>
            <w:r w:rsidRPr="00806B7F">
              <w:rPr>
                <w:rFonts w:ascii="Arial" w:hAnsi="Arial" w:cs="Arial"/>
                <w:sz w:val="20"/>
              </w:rPr>
              <w:t xml:space="preserve"> Utilities </w:t>
            </w:r>
          </w:p>
        </w:tc>
        <w:tc>
          <w:tcPr>
            <w:tcW w:w="1117" w:type="dxa"/>
            <w:tcBorders>
              <w:top w:val="nil"/>
              <w:left w:val="nil"/>
              <w:bottom w:val="nil"/>
              <w:right w:val="nil"/>
            </w:tcBorders>
            <w:shd w:val="clear" w:color="auto" w:fill="auto"/>
            <w:noWrap/>
            <w:hideMark/>
          </w:tcPr>
          <w:p w14:paraId="2ED07352" w14:textId="77777777" w:rsidR="007C5B19" w:rsidRPr="00806B7F" w:rsidRDefault="007C5B19" w:rsidP="00A369A1">
            <w:pPr>
              <w:jc w:val="center"/>
              <w:rPr>
                <w:rFonts w:ascii="Arial" w:hAnsi="Arial" w:cs="Arial"/>
                <w:sz w:val="20"/>
              </w:rPr>
            </w:pPr>
            <w:r w:rsidRPr="00806B7F">
              <w:rPr>
                <w:rFonts w:ascii="Arial" w:hAnsi="Arial" w:cs="Arial"/>
                <w:sz w:val="20"/>
              </w:rPr>
              <w:t>1.821</w:t>
            </w:r>
          </w:p>
        </w:tc>
        <w:tc>
          <w:tcPr>
            <w:tcW w:w="1296" w:type="dxa"/>
            <w:tcBorders>
              <w:top w:val="nil"/>
              <w:left w:val="nil"/>
              <w:bottom w:val="nil"/>
              <w:right w:val="nil"/>
            </w:tcBorders>
            <w:shd w:val="clear" w:color="auto" w:fill="auto"/>
            <w:noWrap/>
            <w:hideMark/>
          </w:tcPr>
          <w:p w14:paraId="0DE4CB63" w14:textId="77777777" w:rsidR="007C5B19" w:rsidRPr="00806B7F" w:rsidRDefault="007C5B19" w:rsidP="00A369A1">
            <w:pPr>
              <w:jc w:val="center"/>
              <w:rPr>
                <w:rFonts w:ascii="Arial" w:hAnsi="Arial" w:cs="Arial"/>
                <w:sz w:val="20"/>
              </w:rPr>
            </w:pPr>
            <w:r w:rsidRPr="00806B7F">
              <w:rPr>
                <w:rFonts w:ascii="Arial" w:hAnsi="Arial" w:cs="Arial"/>
                <w:sz w:val="20"/>
              </w:rPr>
              <w:t>1.866</w:t>
            </w:r>
          </w:p>
        </w:tc>
        <w:tc>
          <w:tcPr>
            <w:tcW w:w="1117" w:type="dxa"/>
            <w:tcBorders>
              <w:top w:val="nil"/>
              <w:left w:val="nil"/>
              <w:bottom w:val="nil"/>
              <w:right w:val="nil"/>
            </w:tcBorders>
            <w:shd w:val="clear" w:color="auto" w:fill="auto"/>
            <w:noWrap/>
            <w:hideMark/>
          </w:tcPr>
          <w:p w14:paraId="1D5B4A17" w14:textId="77777777" w:rsidR="007C5B19" w:rsidRPr="00806B7F" w:rsidRDefault="007C5B19" w:rsidP="00A369A1">
            <w:pPr>
              <w:jc w:val="center"/>
              <w:rPr>
                <w:rFonts w:ascii="Arial" w:hAnsi="Arial" w:cs="Arial"/>
                <w:sz w:val="20"/>
              </w:rPr>
            </w:pPr>
            <w:r w:rsidRPr="00806B7F">
              <w:rPr>
                <w:rFonts w:ascii="Arial" w:hAnsi="Arial" w:cs="Arial"/>
                <w:sz w:val="20"/>
              </w:rPr>
              <w:t>1.913</w:t>
            </w:r>
          </w:p>
        </w:tc>
        <w:tc>
          <w:tcPr>
            <w:tcW w:w="1117" w:type="dxa"/>
            <w:tcBorders>
              <w:top w:val="nil"/>
              <w:left w:val="nil"/>
              <w:bottom w:val="nil"/>
              <w:right w:val="nil"/>
            </w:tcBorders>
            <w:shd w:val="clear" w:color="auto" w:fill="auto"/>
            <w:noWrap/>
            <w:hideMark/>
          </w:tcPr>
          <w:p w14:paraId="523625E0" w14:textId="77777777" w:rsidR="007C5B19" w:rsidRPr="00806B7F" w:rsidRDefault="007C5B19" w:rsidP="00A369A1">
            <w:pPr>
              <w:jc w:val="center"/>
              <w:rPr>
                <w:rFonts w:ascii="Arial" w:hAnsi="Arial" w:cs="Arial"/>
                <w:sz w:val="20"/>
              </w:rPr>
            </w:pPr>
            <w:r w:rsidRPr="00806B7F">
              <w:rPr>
                <w:rFonts w:ascii="Arial" w:hAnsi="Arial" w:cs="Arial"/>
                <w:sz w:val="20"/>
              </w:rPr>
              <w:t>1.960</w:t>
            </w:r>
          </w:p>
        </w:tc>
        <w:tc>
          <w:tcPr>
            <w:tcW w:w="1117" w:type="dxa"/>
            <w:tcBorders>
              <w:top w:val="nil"/>
              <w:left w:val="nil"/>
              <w:bottom w:val="nil"/>
              <w:right w:val="nil"/>
            </w:tcBorders>
            <w:shd w:val="clear" w:color="auto" w:fill="auto"/>
            <w:noWrap/>
            <w:hideMark/>
          </w:tcPr>
          <w:p w14:paraId="0257F432" w14:textId="77777777" w:rsidR="007C5B19" w:rsidRPr="00806B7F" w:rsidRDefault="007C5B19" w:rsidP="00A369A1">
            <w:pPr>
              <w:jc w:val="center"/>
              <w:rPr>
                <w:rFonts w:ascii="Arial" w:hAnsi="Arial" w:cs="Arial"/>
                <w:sz w:val="20"/>
              </w:rPr>
            </w:pPr>
            <w:r w:rsidRPr="00806B7F">
              <w:rPr>
                <w:rFonts w:ascii="Arial" w:hAnsi="Arial" w:cs="Arial"/>
                <w:sz w:val="20"/>
              </w:rPr>
              <w:t>2.009</w:t>
            </w:r>
          </w:p>
        </w:tc>
      </w:tr>
      <w:tr w:rsidR="007C5B19" w:rsidRPr="00806B7F" w14:paraId="107D03ED" w14:textId="77777777" w:rsidTr="00A369A1">
        <w:trPr>
          <w:trHeight w:val="255"/>
        </w:trPr>
        <w:tc>
          <w:tcPr>
            <w:tcW w:w="3196" w:type="dxa"/>
            <w:tcBorders>
              <w:top w:val="nil"/>
              <w:left w:val="nil"/>
              <w:bottom w:val="nil"/>
              <w:right w:val="nil"/>
            </w:tcBorders>
            <w:shd w:val="clear" w:color="auto" w:fill="auto"/>
            <w:noWrap/>
            <w:hideMark/>
          </w:tcPr>
          <w:p w14:paraId="42726C12" w14:textId="77777777" w:rsidR="007C5B19" w:rsidRPr="00806B7F" w:rsidRDefault="007C5B19" w:rsidP="00A369A1">
            <w:pPr>
              <w:rPr>
                <w:rFonts w:ascii="Arial" w:hAnsi="Arial" w:cs="Arial"/>
                <w:sz w:val="20"/>
              </w:rPr>
            </w:pPr>
            <w:r w:rsidRPr="00806B7F">
              <w:rPr>
                <w:rFonts w:ascii="Arial" w:hAnsi="Arial" w:cs="Arial"/>
                <w:sz w:val="20"/>
              </w:rPr>
              <w:t xml:space="preserve"> Cleaning </w:t>
            </w:r>
          </w:p>
        </w:tc>
        <w:tc>
          <w:tcPr>
            <w:tcW w:w="1117" w:type="dxa"/>
            <w:tcBorders>
              <w:top w:val="nil"/>
              <w:left w:val="nil"/>
              <w:bottom w:val="nil"/>
              <w:right w:val="nil"/>
            </w:tcBorders>
            <w:shd w:val="clear" w:color="auto" w:fill="auto"/>
            <w:noWrap/>
            <w:hideMark/>
          </w:tcPr>
          <w:p w14:paraId="3AA8D88F" w14:textId="77777777" w:rsidR="007C5B19" w:rsidRPr="00806B7F" w:rsidRDefault="007C5B19" w:rsidP="00A369A1">
            <w:pPr>
              <w:jc w:val="center"/>
              <w:rPr>
                <w:rFonts w:ascii="Arial" w:hAnsi="Arial" w:cs="Arial"/>
                <w:sz w:val="20"/>
              </w:rPr>
            </w:pPr>
            <w:r w:rsidRPr="00806B7F">
              <w:rPr>
                <w:rFonts w:ascii="Arial" w:hAnsi="Arial" w:cs="Arial"/>
                <w:sz w:val="20"/>
              </w:rPr>
              <w:t>0.070</w:t>
            </w:r>
          </w:p>
        </w:tc>
        <w:tc>
          <w:tcPr>
            <w:tcW w:w="1296" w:type="dxa"/>
            <w:tcBorders>
              <w:top w:val="nil"/>
              <w:left w:val="nil"/>
              <w:bottom w:val="nil"/>
              <w:right w:val="nil"/>
            </w:tcBorders>
            <w:shd w:val="clear" w:color="auto" w:fill="auto"/>
            <w:noWrap/>
            <w:hideMark/>
          </w:tcPr>
          <w:p w14:paraId="7A88B8F7" w14:textId="77777777" w:rsidR="007C5B19" w:rsidRPr="00806B7F" w:rsidRDefault="007C5B19" w:rsidP="00A369A1">
            <w:pPr>
              <w:jc w:val="center"/>
              <w:rPr>
                <w:rFonts w:ascii="Arial" w:hAnsi="Arial" w:cs="Arial"/>
                <w:sz w:val="20"/>
              </w:rPr>
            </w:pPr>
            <w:r w:rsidRPr="00806B7F">
              <w:rPr>
                <w:rFonts w:ascii="Arial" w:hAnsi="Arial" w:cs="Arial"/>
                <w:sz w:val="20"/>
              </w:rPr>
              <w:t>0.071</w:t>
            </w:r>
          </w:p>
        </w:tc>
        <w:tc>
          <w:tcPr>
            <w:tcW w:w="1117" w:type="dxa"/>
            <w:tcBorders>
              <w:top w:val="nil"/>
              <w:left w:val="nil"/>
              <w:bottom w:val="nil"/>
              <w:right w:val="nil"/>
            </w:tcBorders>
            <w:shd w:val="clear" w:color="auto" w:fill="auto"/>
            <w:noWrap/>
            <w:hideMark/>
          </w:tcPr>
          <w:p w14:paraId="6A2CE5D2" w14:textId="77777777" w:rsidR="007C5B19" w:rsidRPr="00806B7F" w:rsidRDefault="007C5B19" w:rsidP="00A369A1">
            <w:pPr>
              <w:jc w:val="center"/>
              <w:rPr>
                <w:rFonts w:ascii="Arial" w:hAnsi="Arial" w:cs="Arial"/>
                <w:sz w:val="20"/>
              </w:rPr>
            </w:pPr>
            <w:r w:rsidRPr="00806B7F">
              <w:rPr>
                <w:rFonts w:ascii="Arial" w:hAnsi="Arial" w:cs="Arial"/>
                <w:sz w:val="20"/>
              </w:rPr>
              <w:t>0.073</w:t>
            </w:r>
          </w:p>
        </w:tc>
        <w:tc>
          <w:tcPr>
            <w:tcW w:w="1117" w:type="dxa"/>
            <w:tcBorders>
              <w:top w:val="nil"/>
              <w:left w:val="nil"/>
              <w:bottom w:val="nil"/>
              <w:right w:val="nil"/>
            </w:tcBorders>
            <w:shd w:val="clear" w:color="auto" w:fill="auto"/>
            <w:noWrap/>
            <w:hideMark/>
          </w:tcPr>
          <w:p w14:paraId="5779A080" w14:textId="77777777" w:rsidR="007C5B19" w:rsidRPr="00806B7F" w:rsidRDefault="007C5B19" w:rsidP="00A369A1">
            <w:pPr>
              <w:jc w:val="center"/>
              <w:rPr>
                <w:rFonts w:ascii="Arial" w:hAnsi="Arial" w:cs="Arial"/>
                <w:sz w:val="20"/>
              </w:rPr>
            </w:pPr>
            <w:r w:rsidRPr="00806B7F">
              <w:rPr>
                <w:rFonts w:ascii="Arial" w:hAnsi="Arial" w:cs="Arial"/>
                <w:sz w:val="20"/>
              </w:rPr>
              <w:t>0.074</w:t>
            </w:r>
          </w:p>
        </w:tc>
        <w:tc>
          <w:tcPr>
            <w:tcW w:w="1117" w:type="dxa"/>
            <w:tcBorders>
              <w:top w:val="nil"/>
              <w:left w:val="nil"/>
              <w:bottom w:val="nil"/>
              <w:right w:val="nil"/>
            </w:tcBorders>
            <w:shd w:val="clear" w:color="auto" w:fill="auto"/>
            <w:noWrap/>
            <w:hideMark/>
          </w:tcPr>
          <w:p w14:paraId="700F27F6" w14:textId="77777777" w:rsidR="007C5B19" w:rsidRPr="00806B7F" w:rsidRDefault="007C5B19" w:rsidP="00A369A1">
            <w:pPr>
              <w:jc w:val="center"/>
              <w:rPr>
                <w:rFonts w:ascii="Arial" w:hAnsi="Arial" w:cs="Arial"/>
                <w:sz w:val="20"/>
              </w:rPr>
            </w:pPr>
            <w:r w:rsidRPr="00806B7F">
              <w:rPr>
                <w:rFonts w:ascii="Arial" w:hAnsi="Arial" w:cs="Arial"/>
                <w:sz w:val="20"/>
              </w:rPr>
              <w:t>0.076</w:t>
            </w:r>
          </w:p>
        </w:tc>
      </w:tr>
      <w:tr w:rsidR="007C5B19" w:rsidRPr="00806B7F" w14:paraId="421FCE4E" w14:textId="77777777" w:rsidTr="00A369A1">
        <w:trPr>
          <w:trHeight w:val="255"/>
        </w:trPr>
        <w:tc>
          <w:tcPr>
            <w:tcW w:w="3196" w:type="dxa"/>
            <w:tcBorders>
              <w:top w:val="nil"/>
              <w:left w:val="nil"/>
              <w:bottom w:val="nil"/>
              <w:right w:val="nil"/>
            </w:tcBorders>
            <w:shd w:val="clear" w:color="auto" w:fill="auto"/>
            <w:noWrap/>
            <w:hideMark/>
          </w:tcPr>
          <w:p w14:paraId="270C62CE" w14:textId="77777777" w:rsidR="007C5B19" w:rsidRPr="00806B7F" w:rsidRDefault="007C5B19" w:rsidP="00A369A1">
            <w:pPr>
              <w:rPr>
                <w:rFonts w:ascii="Arial" w:hAnsi="Arial" w:cs="Arial"/>
                <w:sz w:val="20"/>
              </w:rPr>
            </w:pPr>
            <w:r w:rsidRPr="00806B7F">
              <w:rPr>
                <w:rFonts w:ascii="Arial" w:hAnsi="Arial" w:cs="Arial"/>
                <w:sz w:val="20"/>
              </w:rPr>
              <w:t xml:space="preserve"> PFI </w:t>
            </w:r>
          </w:p>
        </w:tc>
        <w:tc>
          <w:tcPr>
            <w:tcW w:w="1117" w:type="dxa"/>
            <w:tcBorders>
              <w:top w:val="nil"/>
              <w:left w:val="nil"/>
              <w:bottom w:val="nil"/>
              <w:right w:val="nil"/>
            </w:tcBorders>
            <w:shd w:val="clear" w:color="auto" w:fill="auto"/>
            <w:noWrap/>
            <w:hideMark/>
          </w:tcPr>
          <w:p w14:paraId="21374C29" w14:textId="77777777" w:rsidR="007C5B19" w:rsidRPr="00806B7F" w:rsidRDefault="007C5B19" w:rsidP="00A369A1">
            <w:pPr>
              <w:jc w:val="center"/>
              <w:rPr>
                <w:rFonts w:ascii="Arial" w:hAnsi="Arial" w:cs="Arial"/>
                <w:sz w:val="20"/>
              </w:rPr>
            </w:pPr>
            <w:r w:rsidRPr="00806B7F">
              <w:rPr>
                <w:rFonts w:ascii="Arial" w:hAnsi="Arial" w:cs="Arial"/>
                <w:sz w:val="20"/>
              </w:rPr>
              <w:t>0.743</w:t>
            </w:r>
          </w:p>
        </w:tc>
        <w:tc>
          <w:tcPr>
            <w:tcW w:w="1296" w:type="dxa"/>
            <w:tcBorders>
              <w:top w:val="nil"/>
              <w:left w:val="nil"/>
              <w:bottom w:val="nil"/>
              <w:right w:val="nil"/>
            </w:tcBorders>
            <w:shd w:val="clear" w:color="auto" w:fill="auto"/>
            <w:noWrap/>
            <w:hideMark/>
          </w:tcPr>
          <w:p w14:paraId="617173C5" w14:textId="77777777" w:rsidR="007C5B19" w:rsidRPr="00806B7F" w:rsidRDefault="007C5B19" w:rsidP="00A369A1">
            <w:pPr>
              <w:jc w:val="center"/>
              <w:rPr>
                <w:rFonts w:ascii="Arial" w:hAnsi="Arial" w:cs="Arial"/>
                <w:sz w:val="20"/>
              </w:rPr>
            </w:pPr>
            <w:r w:rsidRPr="00806B7F">
              <w:rPr>
                <w:rFonts w:ascii="Arial" w:hAnsi="Arial" w:cs="Arial"/>
                <w:sz w:val="20"/>
              </w:rPr>
              <w:t>0.761</w:t>
            </w:r>
          </w:p>
        </w:tc>
        <w:tc>
          <w:tcPr>
            <w:tcW w:w="1117" w:type="dxa"/>
            <w:tcBorders>
              <w:top w:val="nil"/>
              <w:left w:val="nil"/>
              <w:bottom w:val="nil"/>
              <w:right w:val="nil"/>
            </w:tcBorders>
            <w:shd w:val="clear" w:color="auto" w:fill="auto"/>
            <w:noWrap/>
            <w:hideMark/>
          </w:tcPr>
          <w:p w14:paraId="58733338" w14:textId="77777777" w:rsidR="007C5B19" w:rsidRPr="00806B7F" w:rsidRDefault="007C5B19" w:rsidP="00A369A1">
            <w:pPr>
              <w:jc w:val="center"/>
              <w:rPr>
                <w:rFonts w:ascii="Arial" w:hAnsi="Arial" w:cs="Arial"/>
                <w:sz w:val="20"/>
              </w:rPr>
            </w:pPr>
            <w:r w:rsidRPr="00806B7F">
              <w:rPr>
                <w:rFonts w:ascii="Arial" w:hAnsi="Arial" w:cs="Arial"/>
                <w:sz w:val="20"/>
              </w:rPr>
              <w:t>0.780</w:t>
            </w:r>
          </w:p>
        </w:tc>
        <w:tc>
          <w:tcPr>
            <w:tcW w:w="1117" w:type="dxa"/>
            <w:tcBorders>
              <w:top w:val="nil"/>
              <w:left w:val="nil"/>
              <w:bottom w:val="nil"/>
              <w:right w:val="nil"/>
            </w:tcBorders>
            <w:shd w:val="clear" w:color="auto" w:fill="auto"/>
            <w:noWrap/>
            <w:hideMark/>
          </w:tcPr>
          <w:p w14:paraId="5680BF56" w14:textId="77777777" w:rsidR="007C5B19" w:rsidRPr="00806B7F" w:rsidRDefault="007C5B19" w:rsidP="00A369A1">
            <w:pPr>
              <w:jc w:val="center"/>
              <w:rPr>
                <w:rFonts w:ascii="Arial" w:hAnsi="Arial" w:cs="Arial"/>
                <w:sz w:val="20"/>
              </w:rPr>
            </w:pPr>
            <w:r w:rsidRPr="00806B7F">
              <w:rPr>
                <w:rFonts w:ascii="Arial" w:hAnsi="Arial" w:cs="Arial"/>
                <w:sz w:val="20"/>
              </w:rPr>
              <w:t>0.800</w:t>
            </w:r>
          </w:p>
        </w:tc>
        <w:tc>
          <w:tcPr>
            <w:tcW w:w="1117" w:type="dxa"/>
            <w:tcBorders>
              <w:top w:val="nil"/>
              <w:left w:val="nil"/>
              <w:bottom w:val="nil"/>
              <w:right w:val="nil"/>
            </w:tcBorders>
            <w:shd w:val="clear" w:color="auto" w:fill="auto"/>
            <w:noWrap/>
            <w:hideMark/>
          </w:tcPr>
          <w:p w14:paraId="243937D6" w14:textId="77777777" w:rsidR="007C5B19" w:rsidRPr="00806B7F" w:rsidRDefault="007C5B19" w:rsidP="00A369A1">
            <w:pPr>
              <w:jc w:val="center"/>
              <w:rPr>
                <w:rFonts w:ascii="Arial" w:hAnsi="Arial" w:cs="Arial"/>
                <w:sz w:val="20"/>
              </w:rPr>
            </w:pPr>
            <w:r w:rsidRPr="00806B7F">
              <w:rPr>
                <w:rFonts w:ascii="Arial" w:hAnsi="Arial" w:cs="Arial"/>
                <w:sz w:val="20"/>
              </w:rPr>
              <w:t>0.820</w:t>
            </w:r>
          </w:p>
        </w:tc>
      </w:tr>
      <w:tr w:rsidR="007C5B19" w:rsidRPr="00806B7F" w14:paraId="465F379E" w14:textId="77777777" w:rsidTr="00A369A1">
        <w:trPr>
          <w:trHeight w:val="255"/>
        </w:trPr>
        <w:tc>
          <w:tcPr>
            <w:tcW w:w="3196" w:type="dxa"/>
            <w:tcBorders>
              <w:top w:val="nil"/>
              <w:left w:val="nil"/>
              <w:bottom w:val="nil"/>
              <w:right w:val="nil"/>
            </w:tcBorders>
            <w:shd w:val="clear" w:color="auto" w:fill="auto"/>
            <w:noWrap/>
            <w:hideMark/>
          </w:tcPr>
          <w:p w14:paraId="593A5DB3" w14:textId="77777777" w:rsidR="007C5B19" w:rsidRPr="00806B7F" w:rsidRDefault="007C5B19" w:rsidP="00A369A1">
            <w:pPr>
              <w:rPr>
                <w:rFonts w:ascii="Arial" w:hAnsi="Arial" w:cs="Arial"/>
                <w:sz w:val="20"/>
              </w:rPr>
            </w:pPr>
            <w:r w:rsidRPr="00806B7F">
              <w:rPr>
                <w:rFonts w:ascii="Arial" w:hAnsi="Arial" w:cs="Arial"/>
                <w:sz w:val="20"/>
              </w:rPr>
              <w:t xml:space="preserve"> Other </w:t>
            </w:r>
          </w:p>
        </w:tc>
        <w:tc>
          <w:tcPr>
            <w:tcW w:w="1117" w:type="dxa"/>
            <w:tcBorders>
              <w:top w:val="nil"/>
              <w:left w:val="nil"/>
              <w:bottom w:val="nil"/>
              <w:right w:val="nil"/>
            </w:tcBorders>
            <w:shd w:val="clear" w:color="auto" w:fill="auto"/>
            <w:noWrap/>
            <w:hideMark/>
          </w:tcPr>
          <w:p w14:paraId="2F29944A" w14:textId="77777777" w:rsidR="007C5B19" w:rsidRPr="00806B7F" w:rsidRDefault="007C5B19" w:rsidP="00A369A1">
            <w:pPr>
              <w:jc w:val="center"/>
              <w:rPr>
                <w:rFonts w:ascii="Arial" w:hAnsi="Arial" w:cs="Arial"/>
                <w:sz w:val="20"/>
              </w:rPr>
            </w:pPr>
            <w:r w:rsidRPr="00806B7F">
              <w:rPr>
                <w:rFonts w:ascii="Arial" w:hAnsi="Arial" w:cs="Arial"/>
                <w:sz w:val="20"/>
              </w:rPr>
              <w:t>0.062</w:t>
            </w:r>
          </w:p>
        </w:tc>
        <w:tc>
          <w:tcPr>
            <w:tcW w:w="1296" w:type="dxa"/>
            <w:tcBorders>
              <w:top w:val="nil"/>
              <w:left w:val="nil"/>
              <w:bottom w:val="nil"/>
              <w:right w:val="nil"/>
            </w:tcBorders>
            <w:shd w:val="clear" w:color="auto" w:fill="auto"/>
            <w:noWrap/>
            <w:hideMark/>
          </w:tcPr>
          <w:p w14:paraId="692AA2D0" w14:textId="77777777" w:rsidR="007C5B19" w:rsidRPr="00806B7F" w:rsidRDefault="007C5B19" w:rsidP="00A369A1">
            <w:pPr>
              <w:jc w:val="center"/>
              <w:rPr>
                <w:rFonts w:ascii="Arial" w:hAnsi="Arial" w:cs="Arial"/>
                <w:sz w:val="20"/>
              </w:rPr>
            </w:pPr>
            <w:r w:rsidRPr="00806B7F">
              <w:rPr>
                <w:rFonts w:ascii="Arial" w:hAnsi="Arial" w:cs="Arial"/>
                <w:sz w:val="20"/>
              </w:rPr>
              <w:t>0.064</w:t>
            </w:r>
          </w:p>
        </w:tc>
        <w:tc>
          <w:tcPr>
            <w:tcW w:w="1117" w:type="dxa"/>
            <w:tcBorders>
              <w:top w:val="nil"/>
              <w:left w:val="nil"/>
              <w:bottom w:val="nil"/>
              <w:right w:val="nil"/>
            </w:tcBorders>
            <w:shd w:val="clear" w:color="auto" w:fill="auto"/>
            <w:noWrap/>
            <w:hideMark/>
          </w:tcPr>
          <w:p w14:paraId="23B4EDCA" w14:textId="77777777" w:rsidR="007C5B19" w:rsidRPr="00806B7F" w:rsidRDefault="007C5B19" w:rsidP="00A369A1">
            <w:pPr>
              <w:jc w:val="center"/>
              <w:rPr>
                <w:rFonts w:ascii="Arial" w:hAnsi="Arial" w:cs="Arial"/>
                <w:sz w:val="20"/>
              </w:rPr>
            </w:pPr>
            <w:r w:rsidRPr="00806B7F">
              <w:rPr>
                <w:rFonts w:ascii="Arial" w:hAnsi="Arial" w:cs="Arial"/>
                <w:sz w:val="20"/>
              </w:rPr>
              <w:t>0.065</w:t>
            </w:r>
          </w:p>
        </w:tc>
        <w:tc>
          <w:tcPr>
            <w:tcW w:w="1117" w:type="dxa"/>
            <w:tcBorders>
              <w:top w:val="nil"/>
              <w:left w:val="nil"/>
              <w:bottom w:val="nil"/>
              <w:right w:val="nil"/>
            </w:tcBorders>
            <w:shd w:val="clear" w:color="auto" w:fill="auto"/>
            <w:noWrap/>
            <w:hideMark/>
          </w:tcPr>
          <w:p w14:paraId="6F132B42" w14:textId="77777777" w:rsidR="007C5B19" w:rsidRPr="00806B7F" w:rsidRDefault="007C5B19" w:rsidP="00A369A1">
            <w:pPr>
              <w:jc w:val="center"/>
              <w:rPr>
                <w:rFonts w:ascii="Arial" w:hAnsi="Arial" w:cs="Arial"/>
                <w:sz w:val="20"/>
              </w:rPr>
            </w:pPr>
            <w:r w:rsidRPr="00806B7F">
              <w:rPr>
                <w:rFonts w:ascii="Arial" w:hAnsi="Arial" w:cs="Arial"/>
                <w:sz w:val="20"/>
              </w:rPr>
              <w:t>0.067</w:t>
            </w:r>
          </w:p>
        </w:tc>
        <w:tc>
          <w:tcPr>
            <w:tcW w:w="1117" w:type="dxa"/>
            <w:tcBorders>
              <w:top w:val="nil"/>
              <w:left w:val="nil"/>
              <w:bottom w:val="nil"/>
              <w:right w:val="nil"/>
            </w:tcBorders>
            <w:shd w:val="clear" w:color="auto" w:fill="auto"/>
            <w:noWrap/>
            <w:hideMark/>
          </w:tcPr>
          <w:p w14:paraId="4D6F6AC0" w14:textId="77777777" w:rsidR="007C5B19" w:rsidRPr="00806B7F" w:rsidRDefault="007C5B19" w:rsidP="00A369A1">
            <w:pPr>
              <w:jc w:val="center"/>
              <w:rPr>
                <w:rFonts w:ascii="Arial" w:hAnsi="Arial" w:cs="Arial"/>
                <w:sz w:val="20"/>
              </w:rPr>
            </w:pPr>
            <w:r w:rsidRPr="00806B7F">
              <w:rPr>
                <w:rFonts w:ascii="Arial" w:hAnsi="Arial" w:cs="Arial"/>
                <w:sz w:val="20"/>
              </w:rPr>
              <w:t>0.068</w:t>
            </w:r>
          </w:p>
        </w:tc>
      </w:tr>
      <w:tr w:rsidR="007C5B19" w:rsidRPr="00806B7F" w14:paraId="3034BF97" w14:textId="77777777" w:rsidTr="00A369A1">
        <w:trPr>
          <w:trHeight w:val="255"/>
        </w:trPr>
        <w:tc>
          <w:tcPr>
            <w:tcW w:w="3196" w:type="dxa"/>
            <w:tcBorders>
              <w:top w:val="nil"/>
              <w:left w:val="nil"/>
              <w:bottom w:val="nil"/>
              <w:right w:val="nil"/>
            </w:tcBorders>
            <w:shd w:val="clear" w:color="auto" w:fill="auto"/>
            <w:noWrap/>
            <w:hideMark/>
          </w:tcPr>
          <w:p w14:paraId="4DE58981" w14:textId="77777777" w:rsidR="007C5B19" w:rsidRPr="00806B7F" w:rsidRDefault="007C5B19" w:rsidP="00A369A1">
            <w:pPr>
              <w:rPr>
                <w:rFonts w:ascii="Arial" w:hAnsi="Arial" w:cs="Arial"/>
                <w:sz w:val="20"/>
              </w:rPr>
            </w:pPr>
            <w:r w:rsidRPr="00806B7F">
              <w:rPr>
                <w:rFonts w:ascii="Arial" w:hAnsi="Arial" w:cs="Arial"/>
                <w:sz w:val="20"/>
              </w:rPr>
              <w:t xml:space="preserve"> Rent/Rates </w:t>
            </w:r>
          </w:p>
        </w:tc>
        <w:tc>
          <w:tcPr>
            <w:tcW w:w="1117" w:type="dxa"/>
            <w:tcBorders>
              <w:top w:val="nil"/>
              <w:left w:val="nil"/>
              <w:bottom w:val="nil"/>
              <w:right w:val="nil"/>
            </w:tcBorders>
            <w:shd w:val="clear" w:color="auto" w:fill="auto"/>
            <w:noWrap/>
            <w:hideMark/>
          </w:tcPr>
          <w:p w14:paraId="79D90349" w14:textId="77777777" w:rsidR="007C5B19" w:rsidRPr="00806B7F" w:rsidRDefault="007C5B19" w:rsidP="00A369A1">
            <w:pPr>
              <w:jc w:val="center"/>
              <w:rPr>
                <w:rFonts w:ascii="Arial" w:hAnsi="Arial" w:cs="Arial"/>
                <w:sz w:val="20"/>
              </w:rPr>
            </w:pPr>
            <w:r w:rsidRPr="00806B7F">
              <w:rPr>
                <w:rFonts w:ascii="Arial" w:hAnsi="Arial" w:cs="Arial"/>
                <w:sz w:val="20"/>
              </w:rPr>
              <w:t>1.415</w:t>
            </w:r>
          </w:p>
        </w:tc>
        <w:tc>
          <w:tcPr>
            <w:tcW w:w="1296" w:type="dxa"/>
            <w:tcBorders>
              <w:top w:val="nil"/>
              <w:left w:val="nil"/>
              <w:bottom w:val="nil"/>
              <w:right w:val="nil"/>
            </w:tcBorders>
            <w:shd w:val="clear" w:color="auto" w:fill="auto"/>
            <w:noWrap/>
            <w:hideMark/>
          </w:tcPr>
          <w:p w14:paraId="155FF72A" w14:textId="77777777" w:rsidR="007C5B19" w:rsidRPr="00806B7F" w:rsidRDefault="007C5B19" w:rsidP="00A369A1">
            <w:pPr>
              <w:jc w:val="center"/>
              <w:rPr>
                <w:rFonts w:ascii="Arial" w:hAnsi="Arial" w:cs="Arial"/>
                <w:sz w:val="20"/>
              </w:rPr>
            </w:pPr>
            <w:r w:rsidRPr="00806B7F">
              <w:rPr>
                <w:rFonts w:ascii="Arial" w:hAnsi="Arial" w:cs="Arial"/>
                <w:sz w:val="20"/>
              </w:rPr>
              <w:t>1.485</w:t>
            </w:r>
          </w:p>
        </w:tc>
        <w:tc>
          <w:tcPr>
            <w:tcW w:w="1117" w:type="dxa"/>
            <w:tcBorders>
              <w:top w:val="nil"/>
              <w:left w:val="nil"/>
              <w:bottom w:val="nil"/>
              <w:right w:val="nil"/>
            </w:tcBorders>
            <w:shd w:val="clear" w:color="auto" w:fill="auto"/>
            <w:noWrap/>
            <w:hideMark/>
          </w:tcPr>
          <w:p w14:paraId="1D99D29D" w14:textId="77777777" w:rsidR="007C5B19" w:rsidRPr="00806B7F" w:rsidRDefault="007C5B19" w:rsidP="00A369A1">
            <w:pPr>
              <w:jc w:val="center"/>
              <w:rPr>
                <w:rFonts w:ascii="Arial" w:hAnsi="Arial" w:cs="Arial"/>
                <w:sz w:val="20"/>
              </w:rPr>
            </w:pPr>
            <w:r w:rsidRPr="00806B7F">
              <w:rPr>
                <w:rFonts w:ascii="Arial" w:hAnsi="Arial" w:cs="Arial"/>
                <w:sz w:val="20"/>
              </w:rPr>
              <w:t>1.558</w:t>
            </w:r>
          </w:p>
        </w:tc>
        <w:tc>
          <w:tcPr>
            <w:tcW w:w="1117" w:type="dxa"/>
            <w:tcBorders>
              <w:top w:val="nil"/>
              <w:left w:val="nil"/>
              <w:bottom w:val="nil"/>
              <w:right w:val="nil"/>
            </w:tcBorders>
            <w:shd w:val="clear" w:color="auto" w:fill="auto"/>
            <w:noWrap/>
            <w:hideMark/>
          </w:tcPr>
          <w:p w14:paraId="31318809" w14:textId="77777777" w:rsidR="007C5B19" w:rsidRPr="00806B7F" w:rsidRDefault="007C5B19" w:rsidP="00A369A1">
            <w:pPr>
              <w:jc w:val="center"/>
              <w:rPr>
                <w:rFonts w:ascii="Arial" w:hAnsi="Arial" w:cs="Arial"/>
                <w:sz w:val="20"/>
              </w:rPr>
            </w:pPr>
            <w:r w:rsidRPr="00806B7F">
              <w:rPr>
                <w:rFonts w:ascii="Arial" w:hAnsi="Arial" w:cs="Arial"/>
                <w:sz w:val="20"/>
              </w:rPr>
              <w:t>1.635</w:t>
            </w:r>
          </w:p>
        </w:tc>
        <w:tc>
          <w:tcPr>
            <w:tcW w:w="1117" w:type="dxa"/>
            <w:tcBorders>
              <w:top w:val="nil"/>
              <w:left w:val="nil"/>
              <w:bottom w:val="nil"/>
              <w:right w:val="nil"/>
            </w:tcBorders>
            <w:shd w:val="clear" w:color="auto" w:fill="auto"/>
            <w:noWrap/>
            <w:hideMark/>
          </w:tcPr>
          <w:p w14:paraId="543C812F" w14:textId="77777777" w:rsidR="007C5B19" w:rsidRPr="00806B7F" w:rsidRDefault="007C5B19" w:rsidP="00A369A1">
            <w:pPr>
              <w:jc w:val="center"/>
              <w:rPr>
                <w:rFonts w:ascii="Arial" w:hAnsi="Arial" w:cs="Arial"/>
                <w:sz w:val="20"/>
              </w:rPr>
            </w:pPr>
            <w:r w:rsidRPr="00806B7F">
              <w:rPr>
                <w:rFonts w:ascii="Arial" w:hAnsi="Arial" w:cs="Arial"/>
                <w:sz w:val="20"/>
              </w:rPr>
              <w:t>1.717</w:t>
            </w:r>
          </w:p>
        </w:tc>
      </w:tr>
      <w:tr w:rsidR="007C5B19" w:rsidRPr="00806B7F" w14:paraId="7B7709B8" w14:textId="77777777" w:rsidTr="00A369A1">
        <w:trPr>
          <w:trHeight w:val="255"/>
        </w:trPr>
        <w:tc>
          <w:tcPr>
            <w:tcW w:w="3196" w:type="dxa"/>
            <w:tcBorders>
              <w:top w:val="nil"/>
              <w:left w:val="nil"/>
              <w:bottom w:val="nil"/>
              <w:right w:val="nil"/>
            </w:tcBorders>
            <w:shd w:val="clear" w:color="auto" w:fill="auto"/>
            <w:noWrap/>
            <w:hideMark/>
          </w:tcPr>
          <w:p w14:paraId="72A6E3B0" w14:textId="77777777" w:rsidR="007C5B19" w:rsidRPr="00806B7F" w:rsidRDefault="007C5B19" w:rsidP="00A369A1">
            <w:pPr>
              <w:jc w:val="right"/>
              <w:rPr>
                <w:rFonts w:ascii="Arial" w:hAnsi="Arial" w:cs="Arial"/>
                <w:sz w:val="20"/>
              </w:rPr>
            </w:pPr>
          </w:p>
        </w:tc>
        <w:tc>
          <w:tcPr>
            <w:tcW w:w="1117" w:type="dxa"/>
            <w:tcBorders>
              <w:top w:val="single" w:sz="4" w:space="0" w:color="auto"/>
              <w:left w:val="nil"/>
              <w:bottom w:val="single" w:sz="4" w:space="0" w:color="auto"/>
              <w:right w:val="nil"/>
            </w:tcBorders>
            <w:shd w:val="clear" w:color="auto" w:fill="auto"/>
            <w:noWrap/>
            <w:hideMark/>
          </w:tcPr>
          <w:p w14:paraId="0779BCFE" w14:textId="77777777" w:rsidR="007C5B19" w:rsidRPr="00806B7F" w:rsidRDefault="007C5B19" w:rsidP="00A369A1">
            <w:pPr>
              <w:jc w:val="center"/>
              <w:rPr>
                <w:rFonts w:ascii="Arial" w:hAnsi="Arial" w:cs="Arial"/>
                <w:sz w:val="20"/>
              </w:rPr>
            </w:pPr>
            <w:r w:rsidRPr="00806B7F">
              <w:rPr>
                <w:rFonts w:ascii="Arial" w:hAnsi="Arial" w:cs="Arial"/>
                <w:sz w:val="20"/>
              </w:rPr>
              <w:t>5.344</w:t>
            </w:r>
          </w:p>
        </w:tc>
        <w:tc>
          <w:tcPr>
            <w:tcW w:w="1296" w:type="dxa"/>
            <w:tcBorders>
              <w:top w:val="single" w:sz="4" w:space="0" w:color="auto"/>
              <w:left w:val="nil"/>
              <w:bottom w:val="single" w:sz="4" w:space="0" w:color="auto"/>
              <w:right w:val="nil"/>
            </w:tcBorders>
            <w:shd w:val="clear" w:color="auto" w:fill="auto"/>
            <w:noWrap/>
            <w:hideMark/>
          </w:tcPr>
          <w:p w14:paraId="64541F08" w14:textId="77777777" w:rsidR="007C5B19" w:rsidRPr="00806B7F" w:rsidRDefault="007C5B19" w:rsidP="00A369A1">
            <w:pPr>
              <w:jc w:val="center"/>
              <w:rPr>
                <w:rFonts w:ascii="Arial" w:hAnsi="Arial" w:cs="Arial"/>
                <w:sz w:val="20"/>
              </w:rPr>
            </w:pPr>
            <w:r w:rsidRPr="00806B7F">
              <w:rPr>
                <w:rFonts w:ascii="Arial" w:hAnsi="Arial" w:cs="Arial"/>
                <w:sz w:val="20"/>
              </w:rPr>
              <w:t>5.512</w:t>
            </w:r>
          </w:p>
        </w:tc>
        <w:tc>
          <w:tcPr>
            <w:tcW w:w="1117" w:type="dxa"/>
            <w:tcBorders>
              <w:top w:val="single" w:sz="4" w:space="0" w:color="auto"/>
              <w:left w:val="nil"/>
              <w:bottom w:val="single" w:sz="4" w:space="0" w:color="auto"/>
              <w:right w:val="nil"/>
            </w:tcBorders>
            <w:shd w:val="clear" w:color="auto" w:fill="auto"/>
            <w:noWrap/>
            <w:hideMark/>
          </w:tcPr>
          <w:p w14:paraId="0A37700B" w14:textId="77777777" w:rsidR="007C5B19" w:rsidRPr="00806B7F" w:rsidRDefault="007C5B19" w:rsidP="00A369A1">
            <w:pPr>
              <w:jc w:val="center"/>
              <w:rPr>
                <w:rFonts w:ascii="Arial" w:hAnsi="Arial" w:cs="Arial"/>
                <w:sz w:val="20"/>
              </w:rPr>
            </w:pPr>
            <w:r w:rsidRPr="00806B7F">
              <w:rPr>
                <w:rFonts w:ascii="Arial" w:hAnsi="Arial" w:cs="Arial"/>
                <w:sz w:val="20"/>
              </w:rPr>
              <w:t>5.686</w:t>
            </w:r>
          </w:p>
        </w:tc>
        <w:tc>
          <w:tcPr>
            <w:tcW w:w="1117" w:type="dxa"/>
            <w:tcBorders>
              <w:top w:val="single" w:sz="4" w:space="0" w:color="auto"/>
              <w:left w:val="nil"/>
              <w:bottom w:val="single" w:sz="4" w:space="0" w:color="auto"/>
              <w:right w:val="nil"/>
            </w:tcBorders>
            <w:shd w:val="clear" w:color="auto" w:fill="auto"/>
            <w:noWrap/>
            <w:hideMark/>
          </w:tcPr>
          <w:p w14:paraId="0BD20C53" w14:textId="77777777" w:rsidR="007C5B19" w:rsidRPr="00806B7F" w:rsidRDefault="007C5B19" w:rsidP="00A369A1">
            <w:pPr>
              <w:jc w:val="center"/>
              <w:rPr>
                <w:rFonts w:ascii="Arial" w:hAnsi="Arial" w:cs="Arial"/>
                <w:sz w:val="20"/>
              </w:rPr>
            </w:pPr>
            <w:r w:rsidRPr="00806B7F">
              <w:rPr>
                <w:rFonts w:ascii="Arial" w:hAnsi="Arial" w:cs="Arial"/>
                <w:sz w:val="20"/>
              </w:rPr>
              <w:t>5.866</w:t>
            </w:r>
          </w:p>
        </w:tc>
        <w:tc>
          <w:tcPr>
            <w:tcW w:w="1117" w:type="dxa"/>
            <w:tcBorders>
              <w:top w:val="single" w:sz="4" w:space="0" w:color="auto"/>
              <w:left w:val="nil"/>
              <w:bottom w:val="single" w:sz="4" w:space="0" w:color="auto"/>
              <w:right w:val="nil"/>
            </w:tcBorders>
            <w:shd w:val="clear" w:color="auto" w:fill="auto"/>
            <w:noWrap/>
            <w:hideMark/>
          </w:tcPr>
          <w:p w14:paraId="142F73B8" w14:textId="77777777" w:rsidR="007C5B19" w:rsidRPr="00806B7F" w:rsidRDefault="007C5B19" w:rsidP="00A369A1">
            <w:pPr>
              <w:jc w:val="center"/>
              <w:rPr>
                <w:rFonts w:ascii="Arial" w:hAnsi="Arial" w:cs="Arial"/>
                <w:sz w:val="20"/>
              </w:rPr>
            </w:pPr>
            <w:r w:rsidRPr="00806B7F">
              <w:rPr>
                <w:rFonts w:ascii="Arial" w:hAnsi="Arial" w:cs="Arial"/>
                <w:sz w:val="20"/>
              </w:rPr>
              <w:t>6.052</w:t>
            </w:r>
          </w:p>
        </w:tc>
      </w:tr>
      <w:tr w:rsidR="007C5B19" w:rsidRPr="00806B7F" w14:paraId="6EF5F678" w14:textId="77777777" w:rsidTr="00A369A1">
        <w:trPr>
          <w:trHeight w:val="255"/>
        </w:trPr>
        <w:tc>
          <w:tcPr>
            <w:tcW w:w="3196" w:type="dxa"/>
            <w:tcBorders>
              <w:top w:val="nil"/>
              <w:left w:val="nil"/>
              <w:bottom w:val="nil"/>
              <w:right w:val="nil"/>
            </w:tcBorders>
            <w:shd w:val="clear" w:color="auto" w:fill="auto"/>
            <w:noWrap/>
            <w:hideMark/>
          </w:tcPr>
          <w:p w14:paraId="20BCDAAC" w14:textId="77777777" w:rsidR="007C5B19" w:rsidRPr="00806B7F" w:rsidRDefault="007C5B19" w:rsidP="00A369A1">
            <w:pPr>
              <w:rPr>
                <w:rFonts w:ascii="Arial" w:hAnsi="Arial" w:cs="Arial"/>
                <w:b/>
                <w:bCs/>
                <w:sz w:val="20"/>
              </w:rPr>
            </w:pPr>
            <w:r w:rsidRPr="00806B7F">
              <w:rPr>
                <w:rFonts w:ascii="Arial" w:hAnsi="Arial" w:cs="Arial"/>
                <w:sz w:val="20"/>
              </w:rPr>
              <w:t xml:space="preserve"> Transport </w:t>
            </w:r>
          </w:p>
        </w:tc>
        <w:tc>
          <w:tcPr>
            <w:tcW w:w="1117" w:type="dxa"/>
            <w:tcBorders>
              <w:top w:val="nil"/>
              <w:left w:val="nil"/>
              <w:bottom w:val="nil"/>
              <w:right w:val="nil"/>
            </w:tcBorders>
            <w:shd w:val="clear" w:color="auto" w:fill="auto"/>
            <w:noWrap/>
            <w:hideMark/>
          </w:tcPr>
          <w:p w14:paraId="081DB1A9" w14:textId="77777777" w:rsidR="007C5B19" w:rsidRPr="00806B7F" w:rsidRDefault="007C5B19" w:rsidP="00A369A1">
            <w:pPr>
              <w:jc w:val="center"/>
              <w:rPr>
                <w:rFonts w:ascii="Arial" w:hAnsi="Arial" w:cs="Arial"/>
                <w:b/>
                <w:bCs/>
                <w:sz w:val="20"/>
              </w:rPr>
            </w:pPr>
          </w:p>
        </w:tc>
        <w:tc>
          <w:tcPr>
            <w:tcW w:w="1296" w:type="dxa"/>
            <w:tcBorders>
              <w:top w:val="nil"/>
              <w:left w:val="nil"/>
              <w:bottom w:val="nil"/>
              <w:right w:val="nil"/>
            </w:tcBorders>
            <w:shd w:val="clear" w:color="auto" w:fill="auto"/>
            <w:noWrap/>
            <w:hideMark/>
          </w:tcPr>
          <w:p w14:paraId="76354435"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74869EB6"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6B8396E3"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32407C86" w14:textId="77777777" w:rsidR="007C5B19" w:rsidRPr="00806B7F" w:rsidRDefault="007C5B19" w:rsidP="00A369A1">
            <w:pPr>
              <w:jc w:val="center"/>
              <w:rPr>
                <w:rFonts w:ascii="Arial" w:hAnsi="Arial" w:cs="Arial"/>
                <w:sz w:val="20"/>
              </w:rPr>
            </w:pPr>
          </w:p>
        </w:tc>
      </w:tr>
      <w:tr w:rsidR="007C5B19" w:rsidRPr="00806B7F" w14:paraId="1D3F22D7" w14:textId="77777777" w:rsidTr="00A369A1">
        <w:trPr>
          <w:trHeight w:val="255"/>
        </w:trPr>
        <w:tc>
          <w:tcPr>
            <w:tcW w:w="3196" w:type="dxa"/>
            <w:tcBorders>
              <w:top w:val="nil"/>
              <w:left w:val="nil"/>
              <w:bottom w:val="nil"/>
              <w:right w:val="nil"/>
            </w:tcBorders>
            <w:shd w:val="clear" w:color="auto" w:fill="auto"/>
            <w:noWrap/>
            <w:hideMark/>
          </w:tcPr>
          <w:p w14:paraId="6CFD58F8" w14:textId="77777777" w:rsidR="007C5B19" w:rsidRPr="00806B7F" w:rsidRDefault="007C5B19" w:rsidP="00A369A1">
            <w:pPr>
              <w:rPr>
                <w:rFonts w:ascii="Arial" w:hAnsi="Arial" w:cs="Arial"/>
                <w:sz w:val="20"/>
              </w:rPr>
            </w:pPr>
            <w:r w:rsidRPr="00806B7F">
              <w:rPr>
                <w:rFonts w:ascii="Arial" w:hAnsi="Arial" w:cs="Arial"/>
                <w:sz w:val="20"/>
              </w:rPr>
              <w:t xml:space="preserve"> Repairs </w:t>
            </w:r>
          </w:p>
        </w:tc>
        <w:tc>
          <w:tcPr>
            <w:tcW w:w="1117" w:type="dxa"/>
            <w:tcBorders>
              <w:top w:val="nil"/>
              <w:left w:val="nil"/>
              <w:bottom w:val="nil"/>
              <w:right w:val="nil"/>
            </w:tcBorders>
            <w:shd w:val="clear" w:color="auto" w:fill="auto"/>
            <w:noWrap/>
            <w:hideMark/>
          </w:tcPr>
          <w:p w14:paraId="4E4B1A34" w14:textId="77777777" w:rsidR="007C5B19" w:rsidRPr="00806B7F" w:rsidRDefault="007C5B19" w:rsidP="00A369A1">
            <w:pPr>
              <w:jc w:val="center"/>
              <w:rPr>
                <w:rFonts w:ascii="Arial" w:hAnsi="Arial" w:cs="Arial"/>
                <w:sz w:val="20"/>
              </w:rPr>
            </w:pPr>
            <w:r w:rsidRPr="00806B7F">
              <w:rPr>
                <w:rFonts w:ascii="Arial" w:hAnsi="Arial" w:cs="Arial"/>
                <w:sz w:val="20"/>
              </w:rPr>
              <w:t>0.950</w:t>
            </w:r>
          </w:p>
        </w:tc>
        <w:tc>
          <w:tcPr>
            <w:tcW w:w="1296" w:type="dxa"/>
            <w:tcBorders>
              <w:top w:val="nil"/>
              <w:left w:val="nil"/>
              <w:bottom w:val="nil"/>
              <w:right w:val="nil"/>
            </w:tcBorders>
            <w:shd w:val="clear" w:color="auto" w:fill="auto"/>
            <w:noWrap/>
            <w:hideMark/>
          </w:tcPr>
          <w:p w14:paraId="32391D53" w14:textId="77777777" w:rsidR="007C5B19" w:rsidRPr="00806B7F" w:rsidRDefault="007C5B19" w:rsidP="00A369A1">
            <w:pPr>
              <w:jc w:val="center"/>
              <w:rPr>
                <w:rFonts w:ascii="Arial" w:hAnsi="Arial" w:cs="Arial"/>
                <w:sz w:val="20"/>
              </w:rPr>
            </w:pPr>
            <w:r w:rsidRPr="00806B7F">
              <w:rPr>
                <w:rFonts w:ascii="Arial" w:hAnsi="Arial" w:cs="Arial"/>
                <w:sz w:val="20"/>
              </w:rPr>
              <w:t>0.974</w:t>
            </w:r>
          </w:p>
        </w:tc>
        <w:tc>
          <w:tcPr>
            <w:tcW w:w="1117" w:type="dxa"/>
            <w:tcBorders>
              <w:top w:val="nil"/>
              <w:left w:val="nil"/>
              <w:bottom w:val="nil"/>
              <w:right w:val="nil"/>
            </w:tcBorders>
            <w:shd w:val="clear" w:color="auto" w:fill="auto"/>
            <w:noWrap/>
            <w:hideMark/>
          </w:tcPr>
          <w:p w14:paraId="5426CA39" w14:textId="77777777" w:rsidR="007C5B19" w:rsidRPr="00806B7F" w:rsidRDefault="007C5B19" w:rsidP="00A369A1">
            <w:pPr>
              <w:jc w:val="center"/>
              <w:rPr>
                <w:rFonts w:ascii="Arial" w:hAnsi="Arial" w:cs="Arial"/>
                <w:sz w:val="20"/>
              </w:rPr>
            </w:pPr>
            <w:r w:rsidRPr="00806B7F">
              <w:rPr>
                <w:rFonts w:ascii="Arial" w:hAnsi="Arial" w:cs="Arial"/>
                <w:sz w:val="20"/>
              </w:rPr>
              <w:t>0.998</w:t>
            </w:r>
          </w:p>
        </w:tc>
        <w:tc>
          <w:tcPr>
            <w:tcW w:w="1117" w:type="dxa"/>
            <w:tcBorders>
              <w:top w:val="nil"/>
              <w:left w:val="nil"/>
              <w:bottom w:val="nil"/>
              <w:right w:val="nil"/>
            </w:tcBorders>
            <w:shd w:val="clear" w:color="auto" w:fill="auto"/>
            <w:noWrap/>
            <w:hideMark/>
          </w:tcPr>
          <w:p w14:paraId="6F28DB13" w14:textId="77777777" w:rsidR="007C5B19" w:rsidRPr="00806B7F" w:rsidRDefault="007C5B19" w:rsidP="00A369A1">
            <w:pPr>
              <w:jc w:val="center"/>
              <w:rPr>
                <w:rFonts w:ascii="Arial" w:hAnsi="Arial" w:cs="Arial"/>
                <w:sz w:val="20"/>
              </w:rPr>
            </w:pPr>
            <w:r w:rsidRPr="00806B7F">
              <w:rPr>
                <w:rFonts w:ascii="Arial" w:hAnsi="Arial" w:cs="Arial"/>
                <w:sz w:val="20"/>
              </w:rPr>
              <w:t>1.023</w:t>
            </w:r>
          </w:p>
        </w:tc>
        <w:tc>
          <w:tcPr>
            <w:tcW w:w="1117" w:type="dxa"/>
            <w:tcBorders>
              <w:top w:val="nil"/>
              <w:left w:val="nil"/>
              <w:bottom w:val="nil"/>
              <w:right w:val="nil"/>
            </w:tcBorders>
            <w:shd w:val="clear" w:color="auto" w:fill="auto"/>
            <w:noWrap/>
            <w:hideMark/>
          </w:tcPr>
          <w:p w14:paraId="0D695719" w14:textId="77777777" w:rsidR="007C5B19" w:rsidRPr="00806B7F" w:rsidRDefault="007C5B19" w:rsidP="00A369A1">
            <w:pPr>
              <w:jc w:val="center"/>
              <w:rPr>
                <w:rFonts w:ascii="Arial" w:hAnsi="Arial" w:cs="Arial"/>
                <w:sz w:val="20"/>
              </w:rPr>
            </w:pPr>
            <w:r w:rsidRPr="00806B7F">
              <w:rPr>
                <w:rFonts w:ascii="Arial" w:hAnsi="Arial" w:cs="Arial"/>
                <w:sz w:val="20"/>
              </w:rPr>
              <w:t>1.048</w:t>
            </w:r>
          </w:p>
        </w:tc>
      </w:tr>
      <w:tr w:rsidR="007C5B19" w:rsidRPr="00806B7F" w14:paraId="292F414D" w14:textId="77777777" w:rsidTr="00A369A1">
        <w:trPr>
          <w:trHeight w:val="255"/>
        </w:trPr>
        <w:tc>
          <w:tcPr>
            <w:tcW w:w="3196" w:type="dxa"/>
            <w:tcBorders>
              <w:top w:val="nil"/>
              <w:left w:val="nil"/>
              <w:bottom w:val="nil"/>
              <w:right w:val="nil"/>
            </w:tcBorders>
            <w:shd w:val="clear" w:color="auto" w:fill="auto"/>
            <w:noWrap/>
            <w:hideMark/>
          </w:tcPr>
          <w:p w14:paraId="1A2853E5" w14:textId="77777777" w:rsidR="007C5B19" w:rsidRPr="00806B7F" w:rsidRDefault="007C5B19" w:rsidP="00A369A1">
            <w:pPr>
              <w:rPr>
                <w:rFonts w:ascii="Arial" w:hAnsi="Arial" w:cs="Arial"/>
                <w:sz w:val="20"/>
              </w:rPr>
            </w:pPr>
            <w:r w:rsidRPr="00806B7F">
              <w:rPr>
                <w:rFonts w:ascii="Arial" w:hAnsi="Arial" w:cs="Arial"/>
                <w:sz w:val="20"/>
              </w:rPr>
              <w:t xml:space="preserve"> Running Costs </w:t>
            </w:r>
          </w:p>
        </w:tc>
        <w:tc>
          <w:tcPr>
            <w:tcW w:w="1117" w:type="dxa"/>
            <w:tcBorders>
              <w:top w:val="nil"/>
              <w:left w:val="nil"/>
              <w:bottom w:val="nil"/>
              <w:right w:val="nil"/>
            </w:tcBorders>
            <w:shd w:val="clear" w:color="auto" w:fill="auto"/>
            <w:noWrap/>
            <w:hideMark/>
          </w:tcPr>
          <w:p w14:paraId="18273E1A" w14:textId="77777777" w:rsidR="007C5B19" w:rsidRPr="00806B7F" w:rsidRDefault="007C5B19" w:rsidP="00A369A1">
            <w:pPr>
              <w:jc w:val="center"/>
              <w:rPr>
                <w:rFonts w:ascii="Arial" w:hAnsi="Arial" w:cs="Arial"/>
                <w:sz w:val="20"/>
              </w:rPr>
            </w:pPr>
            <w:r w:rsidRPr="00806B7F">
              <w:rPr>
                <w:rFonts w:ascii="Arial" w:hAnsi="Arial" w:cs="Arial"/>
                <w:sz w:val="20"/>
              </w:rPr>
              <w:t>0.590</w:t>
            </w:r>
          </w:p>
        </w:tc>
        <w:tc>
          <w:tcPr>
            <w:tcW w:w="1296" w:type="dxa"/>
            <w:tcBorders>
              <w:top w:val="nil"/>
              <w:left w:val="nil"/>
              <w:bottom w:val="nil"/>
              <w:right w:val="nil"/>
            </w:tcBorders>
            <w:shd w:val="clear" w:color="auto" w:fill="auto"/>
            <w:noWrap/>
            <w:hideMark/>
          </w:tcPr>
          <w:p w14:paraId="348630FB" w14:textId="77777777" w:rsidR="007C5B19" w:rsidRPr="00806B7F" w:rsidRDefault="007C5B19" w:rsidP="00A369A1">
            <w:pPr>
              <w:jc w:val="center"/>
              <w:rPr>
                <w:rFonts w:ascii="Arial" w:hAnsi="Arial" w:cs="Arial"/>
                <w:sz w:val="20"/>
              </w:rPr>
            </w:pPr>
            <w:r w:rsidRPr="00806B7F">
              <w:rPr>
                <w:rFonts w:ascii="Arial" w:hAnsi="Arial" w:cs="Arial"/>
                <w:sz w:val="20"/>
              </w:rPr>
              <w:t>0.605</w:t>
            </w:r>
          </w:p>
        </w:tc>
        <w:tc>
          <w:tcPr>
            <w:tcW w:w="1117" w:type="dxa"/>
            <w:tcBorders>
              <w:top w:val="nil"/>
              <w:left w:val="nil"/>
              <w:bottom w:val="nil"/>
              <w:right w:val="nil"/>
            </w:tcBorders>
            <w:shd w:val="clear" w:color="auto" w:fill="auto"/>
            <w:noWrap/>
            <w:hideMark/>
          </w:tcPr>
          <w:p w14:paraId="1B11D63E" w14:textId="77777777" w:rsidR="007C5B19" w:rsidRPr="00806B7F" w:rsidRDefault="007C5B19" w:rsidP="00A369A1">
            <w:pPr>
              <w:jc w:val="center"/>
              <w:rPr>
                <w:rFonts w:ascii="Arial" w:hAnsi="Arial" w:cs="Arial"/>
                <w:sz w:val="20"/>
              </w:rPr>
            </w:pPr>
            <w:r w:rsidRPr="00806B7F">
              <w:rPr>
                <w:rFonts w:ascii="Arial" w:hAnsi="Arial" w:cs="Arial"/>
                <w:sz w:val="20"/>
              </w:rPr>
              <w:t>0.620</w:t>
            </w:r>
          </w:p>
        </w:tc>
        <w:tc>
          <w:tcPr>
            <w:tcW w:w="1117" w:type="dxa"/>
            <w:tcBorders>
              <w:top w:val="nil"/>
              <w:left w:val="nil"/>
              <w:bottom w:val="nil"/>
              <w:right w:val="nil"/>
            </w:tcBorders>
            <w:shd w:val="clear" w:color="auto" w:fill="auto"/>
            <w:noWrap/>
            <w:hideMark/>
          </w:tcPr>
          <w:p w14:paraId="1654BFD3" w14:textId="77777777" w:rsidR="007C5B19" w:rsidRPr="00806B7F" w:rsidRDefault="007C5B19" w:rsidP="00A369A1">
            <w:pPr>
              <w:jc w:val="center"/>
              <w:rPr>
                <w:rFonts w:ascii="Arial" w:hAnsi="Arial" w:cs="Arial"/>
                <w:sz w:val="20"/>
              </w:rPr>
            </w:pPr>
            <w:r w:rsidRPr="00806B7F">
              <w:rPr>
                <w:rFonts w:ascii="Arial" w:hAnsi="Arial" w:cs="Arial"/>
                <w:sz w:val="20"/>
              </w:rPr>
              <w:t>0.635</w:t>
            </w:r>
          </w:p>
        </w:tc>
        <w:tc>
          <w:tcPr>
            <w:tcW w:w="1117" w:type="dxa"/>
            <w:tcBorders>
              <w:top w:val="nil"/>
              <w:left w:val="nil"/>
              <w:bottom w:val="nil"/>
              <w:right w:val="nil"/>
            </w:tcBorders>
            <w:shd w:val="clear" w:color="auto" w:fill="auto"/>
            <w:noWrap/>
            <w:hideMark/>
          </w:tcPr>
          <w:p w14:paraId="4C4FB713" w14:textId="77777777" w:rsidR="007C5B19" w:rsidRPr="00806B7F" w:rsidRDefault="007C5B19" w:rsidP="00A369A1">
            <w:pPr>
              <w:jc w:val="center"/>
              <w:rPr>
                <w:rFonts w:ascii="Arial" w:hAnsi="Arial" w:cs="Arial"/>
                <w:sz w:val="20"/>
              </w:rPr>
            </w:pPr>
            <w:r w:rsidRPr="00806B7F">
              <w:rPr>
                <w:rFonts w:ascii="Arial" w:hAnsi="Arial" w:cs="Arial"/>
                <w:sz w:val="20"/>
              </w:rPr>
              <w:t>0.651</w:t>
            </w:r>
          </w:p>
        </w:tc>
      </w:tr>
      <w:tr w:rsidR="007C5B19" w:rsidRPr="00806B7F" w14:paraId="1DE7DCED" w14:textId="77777777" w:rsidTr="00A369A1">
        <w:trPr>
          <w:trHeight w:val="255"/>
        </w:trPr>
        <w:tc>
          <w:tcPr>
            <w:tcW w:w="3196" w:type="dxa"/>
            <w:tcBorders>
              <w:top w:val="nil"/>
              <w:left w:val="nil"/>
              <w:bottom w:val="nil"/>
              <w:right w:val="nil"/>
            </w:tcBorders>
            <w:shd w:val="clear" w:color="auto" w:fill="auto"/>
            <w:noWrap/>
            <w:hideMark/>
          </w:tcPr>
          <w:p w14:paraId="14E8E1F2" w14:textId="77777777" w:rsidR="007C5B19" w:rsidRPr="00806B7F" w:rsidRDefault="007C5B19" w:rsidP="00A369A1">
            <w:pPr>
              <w:rPr>
                <w:rFonts w:ascii="Arial" w:hAnsi="Arial" w:cs="Arial"/>
                <w:sz w:val="20"/>
              </w:rPr>
            </w:pPr>
            <w:r w:rsidRPr="00806B7F">
              <w:rPr>
                <w:rFonts w:ascii="Arial" w:hAnsi="Arial" w:cs="Arial"/>
                <w:sz w:val="20"/>
              </w:rPr>
              <w:t xml:space="preserve"> Travel costs </w:t>
            </w:r>
          </w:p>
        </w:tc>
        <w:tc>
          <w:tcPr>
            <w:tcW w:w="1117" w:type="dxa"/>
            <w:tcBorders>
              <w:top w:val="nil"/>
              <w:left w:val="nil"/>
              <w:bottom w:val="nil"/>
              <w:right w:val="nil"/>
            </w:tcBorders>
            <w:shd w:val="clear" w:color="auto" w:fill="auto"/>
            <w:noWrap/>
            <w:hideMark/>
          </w:tcPr>
          <w:p w14:paraId="4530B284" w14:textId="77777777" w:rsidR="007C5B19" w:rsidRPr="00806B7F" w:rsidRDefault="007C5B19" w:rsidP="00A369A1">
            <w:pPr>
              <w:jc w:val="center"/>
              <w:rPr>
                <w:rFonts w:ascii="Arial" w:hAnsi="Arial" w:cs="Arial"/>
                <w:sz w:val="20"/>
              </w:rPr>
            </w:pPr>
            <w:r w:rsidRPr="00806B7F">
              <w:rPr>
                <w:rFonts w:ascii="Arial" w:hAnsi="Arial" w:cs="Arial"/>
                <w:sz w:val="20"/>
              </w:rPr>
              <w:t>0.486</w:t>
            </w:r>
          </w:p>
        </w:tc>
        <w:tc>
          <w:tcPr>
            <w:tcW w:w="1296" w:type="dxa"/>
            <w:tcBorders>
              <w:top w:val="nil"/>
              <w:left w:val="nil"/>
              <w:bottom w:val="nil"/>
              <w:right w:val="nil"/>
            </w:tcBorders>
            <w:shd w:val="clear" w:color="auto" w:fill="auto"/>
            <w:noWrap/>
            <w:hideMark/>
          </w:tcPr>
          <w:p w14:paraId="783D553B" w14:textId="77777777" w:rsidR="007C5B19" w:rsidRPr="00806B7F" w:rsidRDefault="007C5B19" w:rsidP="00A369A1">
            <w:pPr>
              <w:jc w:val="center"/>
              <w:rPr>
                <w:rFonts w:ascii="Arial" w:hAnsi="Arial" w:cs="Arial"/>
                <w:sz w:val="20"/>
              </w:rPr>
            </w:pPr>
            <w:r w:rsidRPr="00806B7F">
              <w:rPr>
                <w:rFonts w:ascii="Arial" w:hAnsi="Arial" w:cs="Arial"/>
                <w:sz w:val="20"/>
              </w:rPr>
              <w:t>0.498</w:t>
            </w:r>
          </w:p>
        </w:tc>
        <w:tc>
          <w:tcPr>
            <w:tcW w:w="1117" w:type="dxa"/>
            <w:tcBorders>
              <w:top w:val="nil"/>
              <w:left w:val="nil"/>
              <w:bottom w:val="nil"/>
              <w:right w:val="nil"/>
            </w:tcBorders>
            <w:shd w:val="clear" w:color="auto" w:fill="auto"/>
            <w:noWrap/>
            <w:hideMark/>
          </w:tcPr>
          <w:p w14:paraId="63FBAC1F" w14:textId="77777777" w:rsidR="007C5B19" w:rsidRPr="00806B7F" w:rsidRDefault="007C5B19" w:rsidP="00A369A1">
            <w:pPr>
              <w:jc w:val="center"/>
              <w:rPr>
                <w:rFonts w:ascii="Arial" w:hAnsi="Arial" w:cs="Arial"/>
                <w:sz w:val="20"/>
              </w:rPr>
            </w:pPr>
            <w:r w:rsidRPr="00806B7F">
              <w:rPr>
                <w:rFonts w:ascii="Arial" w:hAnsi="Arial" w:cs="Arial"/>
                <w:sz w:val="20"/>
              </w:rPr>
              <w:t>0.511</w:t>
            </w:r>
          </w:p>
        </w:tc>
        <w:tc>
          <w:tcPr>
            <w:tcW w:w="1117" w:type="dxa"/>
            <w:tcBorders>
              <w:top w:val="nil"/>
              <w:left w:val="nil"/>
              <w:bottom w:val="nil"/>
              <w:right w:val="nil"/>
            </w:tcBorders>
            <w:shd w:val="clear" w:color="auto" w:fill="auto"/>
            <w:noWrap/>
            <w:hideMark/>
          </w:tcPr>
          <w:p w14:paraId="49070C7C" w14:textId="77777777" w:rsidR="007C5B19" w:rsidRPr="00806B7F" w:rsidRDefault="007C5B19" w:rsidP="00A369A1">
            <w:pPr>
              <w:jc w:val="center"/>
              <w:rPr>
                <w:rFonts w:ascii="Arial" w:hAnsi="Arial" w:cs="Arial"/>
                <w:sz w:val="20"/>
              </w:rPr>
            </w:pPr>
            <w:r w:rsidRPr="00806B7F">
              <w:rPr>
                <w:rFonts w:ascii="Arial" w:hAnsi="Arial" w:cs="Arial"/>
                <w:sz w:val="20"/>
              </w:rPr>
              <w:t>0.523</w:t>
            </w:r>
          </w:p>
        </w:tc>
        <w:tc>
          <w:tcPr>
            <w:tcW w:w="1117" w:type="dxa"/>
            <w:tcBorders>
              <w:top w:val="nil"/>
              <w:left w:val="nil"/>
              <w:bottom w:val="nil"/>
              <w:right w:val="nil"/>
            </w:tcBorders>
            <w:shd w:val="clear" w:color="auto" w:fill="auto"/>
            <w:noWrap/>
            <w:hideMark/>
          </w:tcPr>
          <w:p w14:paraId="2E76C81D" w14:textId="77777777" w:rsidR="007C5B19" w:rsidRPr="00806B7F" w:rsidRDefault="007C5B19" w:rsidP="00A369A1">
            <w:pPr>
              <w:jc w:val="center"/>
              <w:rPr>
                <w:rFonts w:ascii="Arial" w:hAnsi="Arial" w:cs="Arial"/>
                <w:sz w:val="20"/>
              </w:rPr>
            </w:pPr>
            <w:r w:rsidRPr="00806B7F">
              <w:rPr>
                <w:rFonts w:ascii="Arial" w:hAnsi="Arial" w:cs="Arial"/>
                <w:sz w:val="20"/>
              </w:rPr>
              <w:t>0.536</w:t>
            </w:r>
          </w:p>
        </w:tc>
      </w:tr>
      <w:tr w:rsidR="007C5B19" w:rsidRPr="00806B7F" w14:paraId="574CB8F6" w14:textId="77777777" w:rsidTr="00A369A1">
        <w:trPr>
          <w:trHeight w:val="255"/>
        </w:trPr>
        <w:tc>
          <w:tcPr>
            <w:tcW w:w="3196" w:type="dxa"/>
            <w:tcBorders>
              <w:top w:val="nil"/>
              <w:left w:val="nil"/>
              <w:bottom w:val="nil"/>
              <w:right w:val="nil"/>
            </w:tcBorders>
            <w:shd w:val="clear" w:color="auto" w:fill="auto"/>
            <w:noWrap/>
            <w:hideMark/>
          </w:tcPr>
          <w:p w14:paraId="63132226" w14:textId="77777777" w:rsidR="007C5B19" w:rsidRPr="00806B7F" w:rsidRDefault="007C5B19" w:rsidP="00A369A1">
            <w:pPr>
              <w:rPr>
                <w:rFonts w:ascii="Arial" w:hAnsi="Arial" w:cs="Arial"/>
                <w:sz w:val="20"/>
              </w:rPr>
            </w:pPr>
            <w:r w:rsidRPr="00806B7F">
              <w:rPr>
                <w:rFonts w:ascii="Arial" w:hAnsi="Arial" w:cs="Arial"/>
                <w:sz w:val="20"/>
              </w:rPr>
              <w:t xml:space="preserve"> insurance </w:t>
            </w:r>
          </w:p>
        </w:tc>
        <w:tc>
          <w:tcPr>
            <w:tcW w:w="1117" w:type="dxa"/>
            <w:tcBorders>
              <w:top w:val="nil"/>
              <w:left w:val="nil"/>
              <w:bottom w:val="nil"/>
              <w:right w:val="nil"/>
            </w:tcBorders>
            <w:shd w:val="clear" w:color="auto" w:fill="auto"/>
            <w:noWrap/>
            <w:hideMark/>
          </w:tcPr>
          <w:p w14:paraId="7011F287" w14:textId="77777777" w:rsidR="007C5B19" w:rsidRPr="00806B7F" w:rsidRDefault="007C5B19" w:rsidP="00A369A1">
            <w:pPr>
              <w:jc w:val="center"/>
              <w:rPr>
                <w:rFonts w:ascii="Arial" w:hAnsi="Arial" w:cs="Arial"/>
                <w:sz w:val="20"/>
              </w:rPr>
            </w:pPr>
            <w:r w:rsidRPr="00806B7F">
              <w:rPr>
                <w:rFonts w:ascii="Arial" w:hAnsi="Arial" w:cs="Arial"/>
                <w:sz w:val="20"/>
              </w:rPr>
              <w:t>0.244</w:t>
            </w:r>
          </w:p>
        </w:tc>
        <w:tc>
          <w:tcPr>
            <w:tcW w:w="1296" w:type="dxa"/>
            <w:tcBorders>
              <w:top w:val="nil"/>
              <w:left w:val="nil"/>
              <w:bottom w:val="nil"/>
              <w:right w:val="nil"/>
            </w:tcBorders>
            <w:shd w:val="clear" w:color="auto" w:fill="auto"/>
            <w:noWrap/>
            <w:hideMark/>
          </w:tcPr>
          <w:p w14:paraId="7B92265E" w14:textId="77777777" w:rsidR="007C5B19" w:rsidRPr="00806B7F" w:rsidRDefault="007C5B19" w:rsidP="00A369A1">
            <w:pPr>
              <w:jc w:val="center"/>
              <w:rPr>
                <w:rFonts w:ascii="Arial" w:hAnsi="Arial" w:cs="Arial"/>
                <w:sz w:val="20"/>
              </w:rPr>
            </w:pPr>
            <w:r w:rsidRPr="00806B7F">
              <w:rPr>
                <w:rFonts w:ascii="Arial" w:hAnsi="Arial" w:cs="Arial"/>
                <w:sz w:val="20"/>
              </w:rPr>
              <w:t>0.250</w:t>
            </w:r>
          </w:p>
        </w:tc>
        <w:tc>
          <w:tcPr>
            <w:tcW w:w="1117" w:type="dxa"/>
            <w:tcBorders>
              <w:top w:val="nil"/>
              <w:left w:val="nil"/>
              <w:bottom w:val="nil"/>
              <w:right w:val="nil"/>
            </w:tcBorders>
            <w:shd w:val="clear" w:color="auto" w:fill="auto"/>
            <w:noWrap/>
            <w:hideMark/>
          </w:tcPr>
          <w:p w14:paraId="30D6D1C5" w14:textId="77777777" w:rsidR="007C5B19" w:rsidRPr="00806B7F" w:rsidRDefault="007C5B19" w:rsidP="00A369A1">
            <w:pPr>
              <w:jc w:val="center"/>
              <w:rPr>
                <w:rFonts w:ascii="Arial" w:hAnsi="Arial" w:cs="Arial"/>
                <w:sz w:val="20"/>
              </w:rPr>
            </w:pPr>
            <w:r w:rsidRPr="00806B7F">
              <w:rPr>
                <w:rFonts w:ascii="Arial" w:hAnsi="Arial" w:cs="Arial"/>
                <w:sz w:val="20"/>
              </w:rPr>
              <w:t>0.256</w:t>
            </w:r>
          </w:p>
        </w:tc>
        <w:tc>
          <w:tcPr>
            <w:tcW w:w="1117" w:type="dxa"/>
            <w:tcBorders>
              <w:top w:val="nil"/>
              <w:left w:val="nil"/>
              <w:bottom w:val="nil"/>
              <w:right w:val="nil"/>
            </w:tcBorders>
            <w:shd w:val="clear" w:color="auto" w:fill="auto"/>
            <w:noWrap/>
            <w:hideMark/>
          </w:tcPr>
          <w:p w14:paraId="3C3A4284" w14:textId="77777777" w:rsidR="007C5B19" w:rsidRPr="00806B7F" w:rsidRDefault="007C5B19" w:rsidP="00A369A1">
            <w:pPr>
              <w:jc w:val="center"/>
              <w:rPr>
                <w:rFonts w:ascii="Arial" w:hAnsi="Arial" w:cs="Arial"/>
                <w:sz w:val="20"/>
              </w:rPr>
            </w:pPr>
            <w:r w:rsidRPr="00806B7F">
              <w:rPr>
                <w:rFonts w:ascii="Arial" w:hAnsi="Arial" w:cs="Arial"/>
                <w:sz w:val="20"/>
              </w:rPr>
              <w:t>0.263</w:t>
            </w:r>
          </w:p>
        </w:tc>
        <w:tc>
          <w:tcPr>
            <w:tcW w:w="1117" w:type="dxa"/>
            <w:tcBorders>
              <w:top w:val="nil"/>
              <w:left w:val="nil"/>
              <w:bottom w:val="nil"/>
              <w:right w:val="nil"/>
            </w:tcBorders>
            <w:shd w:val="clear" w:color="auto" w:fill="auto"/>
            <w:noWrap/>
            <w:hideMark/>
          </w:tcPr>
          <w:p w14:paraId="22169487" w14:textId="77777777" w:rsidR="007C5B19" w:rsidRPr="00806B7F" w:rsidRDefault="007C5B19" w:rsidP="00A369A1">
            <w:pPr>
              <w:jc w:val="center"/>
              <w:rPr>
                <w:rFonts w:ascii="Arial" w:hAnsi="Arial" w:cs="Arial"/>
                <w:sz w:val="20"/>
              </w:rPr>
            </w:pPr>
            <w:r w:rsidRPr="00806B7F">
              <w:rPr>
                <w:rFonts w:ascii="Arial" w:hAnsi="Arial" w:cs="Arial"/>
                <w:sz w:val="20"/>
              </w:rPr>
              <w:t>0.269</w:t>
            </w:r>
          </w:p>
        </w:tc>
      </w:tr>
      <w:tr w:rsidR="007C5B19" w:rsidRPr="00806B7F" w14:paraId="635C5E97" w14:textId="77777777" w:rsidTr="00A369A1">
        <w:trPr>
          <w:trHeight w:val="255"/>
        </w:trPr>
        <w:tc>
          <w:tcPr>
            <w:tcW w:w="3196" w:type="dxa"/>
            <w:tcBorders>
              <w:top w:val="nil"/>
              <w:left w:val="nil"/>
              <w:bottom w:val="nil"/>
              <w:right w:val="nil"/>
            </w:tcBorders>
            <w:shd w:val="clear" w:color="auto" w:fill="auto"/>
            <w:noWrap/>
            <w:hideMark/>
          </w:tcPr>
          <w:p w14:paraId="35609EDE" w14:textId="77777777" w:rsidR="007C5B19" w:rsidRPr="00806B7F" w:rsidRDefault="007C5B19" w:rsidP="00A369A1">
            <w:pPr>
              <w:rPr>
                <w:rFonts w:ascii="Arial" w:hAnsi="Arial" w:cs="Arial"/>
                <w:sz w:val="20"/>
              </w:rPr>
            </w:pPr>
            <w:r w:rsidRPr="00806B7F">
              <w:rPr>
                <w:rFonts w:ascii="Arial" w:hAnsi="Arial" w:cs="Arial"/>
                <w:sz w:val="20"/>
              </w:rPr>
              <w:t xml:space="preserve"> Other </w:t>
            </w:r>
          </w:p>
        </w:tc>
        <w:tc>
          <w:tcPr>
            <w:tcW w:w="1117" w:type="dxa"/>
            <w:tcBorders>
              <w:top w:val="nil"/>
              <w:left w:val="nil"/>
              <w:bottom w:val="nil"/>
              <w:right w:val="nil"/>
            </w:tcBorders>
            <w:shd w:val="clear" w:color="auto" w:fill="auto"/>
            <w:noWrap/>
            <w:hideMark/>
          </w:tcPr>
          <w:p w14:paraId="56BB7AE5" w14:textId="77777777" w:rsidR="007C5B19" w:rsidRPr="00806B7F" w:rsidRDefault="007C5B19" w:rsidP="00A369A1">
            <w:pPr>
              <w:jc w:val="center"/>
              <w:rPr>
                <w:rFonts w:ascii="Arial" w:hAnsi="Arial" w:cs="Arial"/>
                <w:sz w:val="20"/>
              </w:rPr>
            </w:pPr>
            <w:r w:rsidRPr="00806B7F">
              <w:rPr>
                <w:rFonts w:ascii="Arial" w:hAnsi="Arial" w:cs="Arial"/>
                <w:sz w:val="20"/>
              </w:rPr>
              <w:t>0.006</w:t>
            </w:r>
          </w:p>
        </w:tc>
        <w:tc>
          <w:tcPr>
            <w:tcW w:w="1296" w:type="dxa"/>
            <w:tcBorders>
              <w:top w:val="nil"/>
              <w:left w:val="nil"/>
              <w:bottom w:val="nil"/>
              <w:right w:val="nil"/>
            </w:tcBorders>
            <w:shd w:val="clear" w:color="auto" w:fill="auto"/>
            <w:noWrap/>
            <w:hideMark/>
          </w:tcPr>
          <w:p w14:paraId="716691A2" w14:textId="77777777" w:rsidR="007C5B19" w:rsidRPr="00806B7F" w:rsidRDefault="007C5B19" w:rsidP="00A369A1">
            <w:pPr>
              <w:jc w:val="center"/>
              <w:rPr>
                <w:rFonts w:ascii="Arial" w:hAnsi="Arial" w:cs="Arial"/>
                <w:sz w:val="20"/>
              </w:rPr>
            </w:pPr>
            <w:r w:rsidRPr="00806B7F">
              <w:rPr>
                <w:rFonts w:ascii="Arial" w:hAnsi="Arial" w:cs="Arial"/>
                <w:sz w:val="20"/>
              </w:rPr>
              <w:t>0.006</w:t>
            </w:r>
          </w:p>
        </w:tc>
        <w:tc>
          <w:tcPr>
            <w:tcW w:w="1117" w:type="dxa"/>
            <w:tcBorders>
              <w:top w:val="nil"/>
              <w:left w:val="nil"/>
              <w:bottom w:val="nil"/>
              <w:right w:val="nil"/>
            </w:tcBorders>
            <w:shd w:val="clear" w:color="auto" w:fill="auto"/>
            <w:noWrap/>
            <w:hideMark/>
          </w:tcPr>
          <w:p w14:paraId="06EDEA04" w14:textId="77777777" w:rsidR="007C5B19" w:rsidRPr="00806B7F" w:rsidRDefault="007C5B19" w:rsidP="00A369A1">
            <w:pPr>
              <w:jc w:val="center"/>
              <w:rPr>
                <w:rFonts w:ascii="Arial" w:hAnsi="Arial" w:cs="Arial"/>
                <w:sz w:val="20"/>
              </w:rPr>
            </w:pPr>
            <w:r w:rsidRPr="00806B7F">
              <w:rPr>
                <w:rFonts w:ascii="Arial" w:hAnsi="Arial" w:cs="Arial"/>
                <w:sz w:val="20"/>
              </w:rPr>
              <w:t>0.006</w:t>
            </w:r>
          </w:p>
        </w:tc>
        <w:tc>
          <w:tcPr>
            <w:tcW w:w="1117" w:type="dxa"/>
            <w:tcBorders>
              <w:top w:val="nil"/>
              <w:left w:val="nil"/>
              <w:bottom w:val="nil"/>
              <w:right w:val="nil"/>
            </w:tcBorders>
            <w:shd w:val="clear" w:color="auto" w:fill="auto"/>
            <w:noWrap/>
            <w:hideMark/>
          </w:tcPr>
          <w:p w14:paraId="70376029" w14:textId="77777777" w:rsidR="007C5B19" w:rsidRPr="00806B7F" w:rsidRDefault="007C5B19" w:rsidP="00A369A1">
            <w:pPr>
              <w:jc w:val="center"/>
              <w:rPr>
                <w:rFonts w:ascii="Arial" w:hAnsi="Arial" w:cs="Arial"/>
                <w:sz w:val="20"/>
              </w:rPr>
            </w:pPr>
            <w:r w:rsidRPr="00806B7F">
              <w:rPr>
                <w:rFonts w:ascii="Arial" w:hAnsi="Arial" w:cs="Arial"/>
                <w:sz w:val="20"/>
              </w:rPr>
              <w:t>0.006</w:t>
            </w:r>
          </w:p>
        </w:tc>
        <w:tc>
          <w:tcPr>
            <w:tcW w:w="1117" w:type="dxa"/>
            <w:tcBorders>
              <w:top w:val="nil"/>
              <w:left w:val="nil"/>
              <w:bottom w:val="nil"/>
              <w:right w:val="nil"/>
            </w:tcBorders>
            <w:shd w:val="clear" w:color="auto" w:fill="auto"/>
            <w:noWrap/>
            <w:hideMark/>
          </w:tcPr>
          <w:p w14:paraId="1770F464" w14:textId="77777777" w:rsidR="007C5B19" w:rsidRPr="00806B7F" w:rsidRDefault="007C5B19" w:rsidP="00A369A1">
            <w:pPr>
              <w:jc w:val="center"/>
              <w:rPr>
                <w:rFonts w:ascii="Arial" w:hAnsi="Arial" w:cs="Arial"/>
                <w:sz w:val="20"/>
              </w:rPr>
            </w:pPr>
            <w:r w:rsidRPr="00806B7F">
              <w:rPr>
                <w:rFonts w:ascii="Arial" w:hAnsi="Arial" w:cs="Arial"/>
                <w:sz w:val="20"/>
              </w:rPr>
              <w:t>0.006</w:t>
            </w:r>
          </w:p>
        </w:tc>
      </w:tr>
      <w:tr w:rsidR="007C5B19" w:rsidRPr="00806B7F" w14:paraId="0A774E20" w14:textId="77777777" w:rsidTr="00A369A1">
        <w:trPr>
          <w:trHeight w:val="255"/>
        </w:trPr>
        <w:tc>
          <w:tcPr>
            <w:tcW w:w="3196" w:type="dxa"/>
            <w:tcBorders>
              <w:top w:val="nil"/>
              <w:left w:val="nil"/>
              <w:bottom w:val="nil"/>
              <w:right w:val="nil"/>
            </w:tcBorders>
            <w:shd w:val="clear" w:color="auto" w:fill="auto"/>
            <w:noWrap/>
            <w:hideMark/>
          </w:tcPr>
          <w:p w14:paraId="69A5C4E2" w14:textId="77777777" w:rsidR="007C5B19" w:rsidRPr="00806B7F" w:rsidRDefault="007C5B19" w:rsidP="00A369A1">
            <w:pPr>
              <w:jc w:val="right"/>
              <w:rPr>
                <w:rFonts w:ascii="Arial" w:hAnsi="Arial" w:cs="Arial"/>
                <w:sz w:val="20"/>
              </w:rPr>
            </w:pPr>
          </w:p>
        </w:tc>
        <w:tc>
          <w:tcPr>
            <w:tcW w:w="1117" w:type="dxa"/>
            <w:tcBorders>
              <w:top w:val="single" w:sz="4" w:space="0" w:color="auto"/>
              <w:left w:val="nil"/>
              <w:bottom w:val="single" w:sz="4" w:space="0" w:color="auto"/>
              <w:right w:val="nil"/>
            </w:tcBorders>
            <w:shd w:val="clear" w:color="auto" w:fill="auto"/>
            <w:noWrap/>
            <w:hideMark/>
          </w:tcPr>
          <w:p w14:paraId="177EFFE0" w14:textId="77777777" w:rsidR="007C5B19" w:rsidRPr="00806B7F" w:rsidRDefault="007C5B19" w:rsidP="00A369A1">
            <w:pPr>
              <w:jc w:val="center"/>
              <w:rPr>
                <w:rFonts w:ascii="Arial" w:hAnsi="Arial" w:cs="Arial"/>
                <w:sz w:val="20"/>
              </w:rPr>
            </w:pPr>
            <w:r w:rsidRPr="00806B7F">
              <w:rPr>
                <w:rFonts w:ascii="Arial" w:hAnsi="Arial" w:cs="Arial"/>
                <w:sz w:val="20"/>
              </w:rPr>
              <w:t>2.276</w:t>
            </w:r>
          </w:p>
        </w:tc>
        <w:tc>
          <w:tcPr>
            <w:tcW w:w="1296" w:type="dxa"/>
            <w:tcBorders>
              <w:top w:val="single" w:sz="4" w:space="0" w:color="auto"/>
              <w:left w:val="nil"/>
              <w:bottom w:val="single" w:sz="4" w:space="0" w:color="auto"/>
              <w:right w:val="nil"/>
            </w:tcBorders>
            <w:shd w:val="clear" w:color="auto" w:fill="auto"/>
            <w:noWrap/>
            <w:hideMark/>
          </w:tcPr>
          <w:p w14:paraId="7E2AEBD2" w14:textId="77777777" w:rsidR="007C5B19" w:rsidRPr="00806B7F" w:rsidRDefault="007C5B19" w:rsidP="00A369A1">
            <w:pPr>
              <w:jc w:val="center"/>
              <w:rPr>
                <w:rFonts w:ascii="Arial" w:hAnsi="Arial" w:cs="Arial"/>
                <w:sz w:val="20"/>
              </w:rPr>
            </w:pPr>
            <w:r w:rsidRPr="00806B7F">
              <w:rPr>
                <w:rFonts w:ascii="Arial" w:hAnsi="Arial" w:cs="Arial"/>
                <w:sz w:val="20"/>
              </w:rPr>
              <w:t>2.333</w:t>
            </w:r>
          </w:p>
        </w:tc>
        <w:tc>
          <w:tcPr>
            <w:tcW w:w="1117" w:type="dxa"/>
            <w:tcBorders>
              <w:top w:val="single" w:sz="4" w:space="0" w:color="auto"/>
              <w:left w:val="nil"/>
              <w:bottom w:val="single" w:sz="4" w:space="0" w:color="auto"/>
              <w:right w:val="nil"/>
            </w:tcBorders>
            <w:shd w:val="clear" w:color="auto" w:fill="auto"/>
            <w:noWrap/>
            <w:hideMark/>
          </w:tcPr>
          <w:p w14:paraId="4FA5C103" w14:textId="77777777" w:rsidR="007C5B19" w:rsidRPr="00806B7F" w:rsidRDefault="007C5B19" w:rsidP="00A369A1">
            <w:pPr>
              <w:jc w:val="center"/>
              <w:rPr>
                <w:rFonts w:ascii="Arial" w:hAnsi="Arial" w:cs="Arial"/>
                <w:sz w:val="20"/>
              </w:rPr>
            </w:pPr>
            <w:r w:rsidRPr="00806B7F">
              <w:rPr>
                <w:rFonts w:ascii="Arial" w:hAnsi="Arial" w:cs="Arial"/>
                <w:sz w:val="20"/>
              </w:rPr>
              <w:t>2.390</w:t>
            </w:r>
          </w:p>
        </w:tc>
        <w:tc>
          <w:tcPr>
            <w:tcW w:w="1117" w:type="dxa"/>
            <w:tcBorders>
              <w:top w:val="single" w:sz="4" w:space="0" w:color="auto"/>
              <w:left w:val="nil"/>
              <w:bottom w:val="single" w:sz="4" w:space="0" w:color="auto"/>
              <w:right w:val="nil"/>
            </w:tcBorders>
            <w:shd w:val="clear" w:color="auto" w:fill="auto"/>
            <w:noWrap/>
            <w:hideMark/>
          </w:tcPr>
          <w:p w14:paraId="24EA7552" w14:textId="77777777" w:rsidR="007C5B19" w:rsidRPr="00806B7F" w:rsidRDefault="007C5B19" w:rsidP="00A369A1">
            <w:pPr>
              <w:jc w:val="center"/>
              <w:rPr>
                <w:rFonts w:ascii="Arial" w:hAnsi="Arial" w:cs="Arial"/>
                <w:sz w:val="20"/>
              </w:rPr>
            </w:pPr>
            <w:r w:rsidRPr="00806B7F">
              <w:rPr>
                <w:rFonts w:ascii="Arial" w:hAnsi="Arial" w:cs="Arial"/>
                <w:sz w:val="20"/>
              </w:rPr>
              <w:t>2.450</w:t>
            </w:r>
          </w:p>
        </w:tc>
        <w:tc>
          <w:tcPr>
            <w:tcW w:w="1117" w:type="dxa"/>
            <w:tcBorders>
              <w:top w:val="single" w:sz="4" w:space="0" w:color="auto"/>
              <w:left w:val="nil"/>
              <w:bottom w:val="single" w:sz="4" w:space="0" w:color="auto"/>
              <w:right w:val="nil"/>
            </w:tcBorders>
            <w:shd w:val="clear" w:color="auto" w:fill="auto"/>
            <w:noWrap/>
            <w:hideMark/>
          </w:tcPr>
          <w:p w14:paraId="51A38D79" w14:textId="77777777" w:rsidR="007C5B19" w:rsidRPr="00806B7F" w:rsidRDefault="007C5B19" w:rsidP="00A369A1">
            <w:pPr>
              <w:jc w:val="center"/>
              <w:rPr>
                <w:rFonts w:ascii="Arial" w:hAnsi="Arial" w:cs="Arial"/>
                <w:sz w:val="20"/>
              </w:rPr>
            </w:pPr>
            <w:r w:rsidRPr="00806B7F">
              <w:rPr>
                <w:rFonts w:ascii="Arial" w:hAnsi="Arial" w:cs="Arial"/>
                <w:sz w:val="20"/>
              </w:rPr>
              <w:t>2.511</w:t>
            </w:r>
          </w:p>
        </w:tc>
      </w:tr>
      <w:tr w:rsidR="007C5B19" w:rsidRPr="00806B7F" w14:paraId="2BB4DD27" w14:textId="77777777" w:rsidTr="00A369A1">
        <w:trPr>
          <w:trHeight w:val="255"/>
        </w:trPr>
        <w:tc>
          <w:tcPr>
            <w:tcW w:w="3196" w:type="dxa"/>
            <w:tcBorders>
              <w:top w:val="nil"/>
              <w:left w:val="nil"/>
              <w:bottom w:val="nil"/>
              <w:right w:val="nil"/>
            </w:tcBorders>
            <w:shd w:val="clear" w:color="auto" w:fill="auto"/>
            <w:noWrap/>
            <w:hideMark/>
          </w:tcPr>
          <w:p w14:paraId="1DFCDC12" w14:textId="77777777" w:rsidR="007C5B19" w:rsidRPr="00806B7F" w:rsidRDefault="007C5B19" w:rsidP="00A369A1">
            <w:pPr>
              <w:rPr>
                <w:rFonts w:ascii="Arial" w:hAnsi="Arial" w:cs="Arial"/>
                <w:b/>
                <w:bCs/>
                <w:sz w:val="20"/>
              </w:rPr>
            </w:pPr>
            <w:r w:rsidRPr="00806B7F">
              <w:rPr>
                <w:rFonts w:ascii="Arial" w:hAnsi="Arial" w:cs="Arial"/>
                <w:sz w:val="20"/>
              </w:rPr>
              <w:t xml:space="preserve"> Supplies &amp; Services </w:t>
            </w:r>
          </w:p>
        </w:tc>
        <w:tc>
          <w:tcPr>
            <w:tcW w:w="1117" w:type="dxa"/>
            <w:tcBorders>
              <w:top w:val="nil"/>
              <w:left w:val="nil"/>
              <w:bottom w:val="nil"/>
              <w:right w:val="nil"/>
            </w:tcBorders>
            <w:shd w:val="clear" w:color="auto" w:fill="auto"/>
            <w:noWrap/>
            <w:hideMark/>
          </w:tcPr>
          <w:p w14:paraId="08936C18" w14:textId="77777777" w:rsidR="007C5B19" w:rsidRPr="00806B7F" w:rsidRDefault="007C5B19" w:rsidP="00A369A1">
            <w:pPr>
              <w:jc w:val="center"/>
              <w:rPr>
                <w:rFonts w:ascii="Arial" w:hAnsi="Arial" w:cs="Arial"/>
                <w:b/>
                <w:bCs/>
                <w:sz w:val="20"/>
              </w:rPr>
            </w:pPr>
          </w:p>
        </w:tc>
        <w:tc>
          <w:tcPr>
            <w:tcW w:w="1296" w:type="dxa"/>
            <w:tcBorders>
              <w:top w:val="nil"/>
              <w:left w:val="nil"/>
              <w:bottom w:val="nil"/>
              <w:right w:val="nil"/>
            </w:tcBorders>
            <w:shd w:val="clear" w:color="auto" w:fill="auto"/>
            <w:noWrap/>
            <w:hideMark/>
          </w:tcPr>
          <w:p w14:paraId="1AA6881F"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01C0D7F8"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5E29FC3D"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0BBEA461" w14:textId="77777777" w:rsidR="007C5B19" w:rsidRPr="00806B7F" w:rsidRDefault="007C5B19" w:rsidP="00A369A1">
            <w:pPr>
              <w:jc w:val="center"/>
              <w:rPr>
                <w:rFonts w:ascii="Arial" w:hAnsi="Arial" w:cs="Arial"/>
                <w:sz w:val="20"/>
              </w:rPr>
            </w:pPr>
          </w:p>
        </w:tc>
      </w:tr>
      <w:tr w:rsidR="007C5B19" w:rsidRPr="00806B7F" w14:paraId="197646CD" w14:textId="77777777" w:rsidTr="00A369A1">
        <w:trPr>
          <w:trHeight w:val="255"/>
        </w:trPr>
        <w:tc>
          <w:tcPr>
            <w:tcW w:w="3196" w:type="dxa"/>
            <w:tcBorders>
              <w:top w:val="nil"/>
              <w:left w:val="nil"/>
              <w:bottom w:val="nil"/>
              <w:right w:val="nil"/>
            </w:tcBorders>
            <w:shd w:val="clear" w:color="auto" w:fill="auto"/>
            <w:noWrap/>
            <w:hideMark/>
          </w:tcPr>
          <w:p w14:paraId="5494F8AF" w14:textId="77777777" w:rsidR="007C5B19" w:rsidRPr="00806B7F" w:rsidRDefault="007C5B19" w:rsidP="00A369A1">
            <w:pPr>
              <w:rPr>
                <w:rFonts w:ascii="Arial" w:hAnsi="Arial" w:cs="Arial"/>
                <w:sz w:val="20"/>
              </w:rPr>
            </w:pPr>
            <w:r w:rsidRPr="00806B7F">
              <w:rPr>
                <w:rFonts w:ascii="Arial" w:hAnsi="Arial" w:cs="Arial"/>
                <w:sz w:val="20"/>
              </w:rPr>
              <w:t xml:space="preserve"> Hydrants </w:t>
            </w:r>
          </w:p>
        </w:tc>
        <w:tc>
          <w:tcPr>
            <w:tcW w:w="1117" w:type="dxa"/>
            <w:tcBorders>
              <w:top w:val="nil"/>
              <w:left w:val="nil"/>
              <w:bottom w:val="nil"/>
              <w:right w:val="nil"/>
            </w:tcBorders>
            <w:shd w:val="clear" w:color="auto" w:fill="auto"/>
            <w:noWrap/>
            <w:hideMark/>
          </w:tcPr>
          <w:p w14:paraId="72153168" w14:textId="77777777" w:rsidR="007C5B19" w:rsidRPr="00806B7F" w:rsidRDefault="007C5B19" w:rsidP="00A369A1">
            <w:pPr>
              <w:jc w:val="center"/>
              <w:rPr>
                <w:rFonts w:ascii="Arial" w:hAnsi="Arial" w:cs="Arial"/>
                <w:sz w:val="20"/>
              </w:rPr>
            </w:pPr>
            <w:r w:rsidRPr="00806B7F">
              <w:rPr>
                <w:rFonts w:ascii="Arial" w:hAnsi="Arial" w:cs="Arial"/>
                <w:sz w:val="20"/>
              </w:rPr>
              <w:t>0.082</w:t>
            </w:r>
          </w:p>
        </w:tc>
        <w:tc>
          <w:tcPr>
            <w:tcW w:w="1296" w:type="dxa"/>
            <w:tcBorders>
              <w:top w:val="nil"/>
              <w:left w:val="nil"/>
              <w:bottom w:val="nil"/>
              <w:right w:val="nil"/>
            </w:tcBorders>
            <w:shd w:val="clear" w:color="auto" w:fill="auto"/>
            <w:noWrap/>
            <w:hideMark/>
          </w:tcPr>
          <w:p w14:paraId="321548D6" w14:textId="77777777" w:rsidR="007C5B19" w:rsidRPr="00806B7F" w:rsidRDefault="007C5B19" w:rsidP="00A369A1">
            <w:pPr>
              <w:jc w:val="center"/>
              <w:rPr>
                <w:rFonts w:ascii="Arial" w:hAnsi="Arial" w:cs="Arial"/>
                <w:sz w:val="20"/>
              </w:rPr>
            </w:pPr>
            <w:r w:rsidRPr="00806B7F">
              <w:rPr>
                <w:rFonts w:ascii="Arial" w:hAnsi="Arial" w:cs="Arial"/>
                <w:sz w:val="20"/>
              </w:rPr>
              <w:t>0.084</w:t>
            </w:r>
          </w:p>
        </w:tc>
        <w:tc>
          <w:tcPr>
            <w:tcW w:w="1117" w:type="dxa"/>
            <w:tcBorders>
              <w:top w:val="nil"/>
              <w:left w:val="nil"/>
              <w:bottom w:val="nil"/>
              <w:right w:val="nil"/>
            </w:tcBorders>
            <w:shd w:val="clear" w:color="auto" w:fill="auto"/>
            <w:noWrap/>
            <w:hideMark/>
          </w:tcPr>
          <w:p w14:paraId="7597FC80" w14:textId="77777777" w:rsidR="007C5B19" w:rsidRPr="00806B7F" w:rsidRDefault="007C5B19" w:rsidP="00A369A1">
            <w:pPr>
              <w:jc w:val="center"/>
              <w:rPr>
                <w:rFonts w:ascii="Arial" w:hAnsi="Arial" w:cs="Arial"/>
                <w:sz w:val="20"/>
              </w:rPr>
            </w:pPr>
            <w:r w:rsidRPr="00806B7F">
              <w:rPr>
                <w:rFonts w:ascii="Arial" w:hAnsi="Arial" w:cs="Arial"/>
                <w:sz w:val="20"/>
              </w:rPr>
              <w:t>0.086</w:t>
            </w:r>
          </w:p>
        </w:tc>
        <w:tc>
          <w:tcPr>
            <w:tcW w:w="1117" w:type="dxa"/>
            <w:tcBorders>
              <w:top w:val="nil"/>
              <w:left w:val="nil"/>
              <w:bottom w:val="nil"/>
              <w:right w:val="nil"/>
            </w:tcBorders>
            <w:shd w:val="clear" w:color="auto" w:fill="auto"/>
            <w:noWrap/>
            <w:hideMark/>
          </w:tcPr>
          <w:p w14:paraId="62BEB4A2" w14:textId="77777777" w:rsidR="007C5B19" w:rsidRPr="00806B7F" w:rsidRDefault="007C5B19" w:rsidP="00A369A1">
            <w:pPr>
              <w:jc w:val="center"/>
              <w:rPr>
                <w:rFonts w:ascii="Arial" w:hAnsi="Arial" w:cs="Arial"/>
                <w:sz w:val="20"/>
              </w:rPr>
            </w:pPr>
            <w:r w:rsidRPr="00806B7F">
              <w:rPr>
                <w:rFonts w:ascii="Arial" w:hAnsi="Arial" w:cs="Arial"/>
                <w:sz w:val="20"/>
              </w:rPr>
              <w:t>0.088</w:t>
            </w:r>
          </w:p>
        </w:tc>
        <w:tc>
          <w:tcPr>
            <w:tcW w:w="1117" w:type="dxa"/>
            <w:tcBorders>
              <w:top w:val="nil"/>
              <w:left w:val="nil"/>
              <w:bottom w:val="nil"/>
              <w:right w:val="nil"/>
            </w:tcBorders>
            <w:shd w:val="clear" w:color="auto" w:fill="auto"/>
            <w:noWrap/>
            <w:hideMark/>
          </w:tcPr>
          <w:p w14:paraId="492487B0" w14:textId="77777777" w:rsidR="007C5B19" w:rsidRPr="00806B7F" w:rsidRDefault="007C5B19" w:rsidP="00A369A1">
            <w:pPr>
              <w:jc w:val="center"/>
              <w:rPr>
                <w:rFonts w:ascii="Arial" w:hAnsi="Arial" w:cs="Arial"/>
                <w:sz w:val="20"/>
              </w:rPr>
            </w:pPr>
            <w:r w:rsidRPr="00806B7F">
              <w:rPr>
                <w:rFonts w:ascii="Arial" w:hAnsi="Arial" w:cs="Arial"/>
                <w:sz w:val="20"/>
              </w:rPr>
              <w:t>0.090</w:t>
            </w:r>
          </w:p>
        </w:tc>
      </w:tr>
      <w:tr w:rsidR="007C5B19" w:rsidRPr="00806B7F" w14:paraId="2050C7DC" w14:textId="77777777" w:rsidTr="00A369A1">
        <w:trPr>
          <w:trHeight w:val="255"/>
        </w:trPr>
        <w:tc>
          <w:tcPr>
            <w:tcW w:w="3196" w:type="dxa"/>
            <w:tcBorders>
              <w:top w:val="nil"/>
              <w:left w:val="nil"/>
              <w:bottom w:val="nil"/>
              <w:right w:val="nil"/>
            </w:tcBorders>
            <w:shd w:val="clear" w:color="auto" w:fill="auto"/>
            <w:noWrap/>
            <w:hideMark/>
          </w:tcPr>
          <w:p w14:paraId="6986F479" w14:textId="77777777" w:rsidR="007C5B19" w:rsidRPr="00806B7F" w:rsidRDefault="007C5B19" w:rsidP="00A369A1">
            <w:pPr>
              <w:rPr>
                <w:rFonts w:ascii="Arial" w:hAnsi="Arial" w:cs="Arial"/>
                <w:sz w:val="20"/>
              </w:rPr>
            </w:pPr>
            <w:r w:rsidRPr="00806B7F">
              <w:rPr>
                <w:rFonts w:ascii="Arial" w:hAnsi="Arial" w:cs="Arial"/>
                <w:sz w:val="20"/>
              </w:rPr>
              <w:t xml:space="preserve"> Operational equipment </w:t>
            </w:r>
          </w:p>
        </w:tc>
        <w:tc>
          <w:tcPr>
            <w:tcW w:w="1117" w:type="dxa"/>
            <w:tcBorders>
              <w:top w:val="nil"/>
              <w:left w:val="nil"/>
              <w:bottom w:val="nil"/>
              <w:right w:val="nil"/>
            </w:tcBorders>
            <w:shd w:val="clear" w:color="auto" w:fill="auto"/>
            <w:noWrap/>
            <w:hideMark/>
          </w:tcPr>
          <w:p w14:paraId="795DA32A" w14:textId="77777777" w:rsidR="007C5B19" w:rsidRPr="00806B7F" w:rsidRDefault="007C5B19" w:rsidP="00A369A1">
            <w:pPr>
              <w:jc w:val="center"/>
              <w:rPr>
                <w:rFonts w:ascii="Arial" w:hAnsi="Arial" w:cs="Arial"/>
                <w:sz w:val="20"/>
              </w:rPr>
            </w:pPr>
            <w:r w:rsidRPr="00806B7F">
              <w:rPr>
                <w:rFonts w:ascii="Arial" w:hAnsi="Arial" w:cs="Arial"/>
                <w:sz w:val="20"/>
              </w:rPr>
              <w:t>0.785</w:t>
            </w:r>
          </w:p>
        </w:tc>
        <w:tc>
          <w:tcPr>
            <w:tcW w:w="1296" w:type="dxa"/>
            <w:tcBorders>
              <w:top w:val="nil"/>
              <w:left w:val="nil"/>
              <w:bottom w:val="nil"/>
              <w:right w:val="nil"/>
            </w:tcBorders>
            <w:shd w:val="clear" w:color="auto" w:fill="auto"/>
            <w:noWrap/>
            <w:hideMark/>
          </w:tcPr>
          <w:p w14:paraId="184980F7" w14:textId="77777777" w:rsidR="007C5B19" w:rsidRPr="00806B7F" w:rsidRDefault="007C5B19" w:rsidP="00A369A1">
            <w:pPr>
              <w:jc w:val="center"/>
              <w:rPr>
                <w:rFonts w:ascii="Arial" w:hAnsi="Arial" w:cs="Arial"/>
                <w:sz w:val="20"/>
              </w:rPr>
            </w:pPr>
            <w:r w:rsidRPr="00806B7F">
              <w:rPr>
                <w:rFonts w:ascii="Arial" w:hAnsi="Arial" w:cs="Arial"/>
                <w:sz w:val="20"/>
              </w:rPr>
              <w:t>0.825</w:t>
            </w:r>
          </w:p>
        </w:tc>
        <w:tc>
          <w:tcPr>
            <w:tcW w:w="1117" w:type="dxa"/>
            <w:tcBorders>
              <w:top w:val="nil"/>
              <w:left w:val="nil"/>
              <w:bottom w:val="nil"/>
              <w:right w:val="nil"/>
            </w:tcBorders>
            <w:shd w:val="clear" w:color="auto" w:fill="auto"/>
            <w:noWrap/>
            <w:hideMark/>
          </w:tcPr>
          <w:p w14:paraId="56E53D33" w14:textId="77777777" w:rsidR="007C5B19" w:rsidRPr="00806B7F" w:rsidRDefault="007C5B19" w:rsidP="00A369A1">
            <w:pPr>
              <w:jc w:val="center"/>
              <w:rPr>
                <w:rFonts w:ascii="Arial" w:hAnsi="Arial" w:cs="Arial"/>
                <w:sz w:val="20"/>
              </w:rPr>
            </w:pPr>
            <w:r w:rsidRPr="00806B7F">
              <w:rPr>
                <w:rFonts w:ascii="Arial" w:hAnsi="Arial" w:cs="Arial"/>
                <w:sz w:val="20"/>
              </w:rPr>
              <w:t>0.805</w:t>
            </w:r>
          </w:p>
        </w:tc>
        <w:tc>
          <w:tcPr>
            <w:tcW w:w="1117" w:type="dxa"/>
            <w:tcBorders>
              <w:top w:val="nil"/>
              <w:left w:val="nil"/>
              <w:bottom w:val="nil"/>
              <w:right w:val="nil"/>
            </w:tcBorders>
            <w:shd w:val="clear" w:color="auto" w:fill="auto"/>
            <w:noWrap/>
            <w:hideMark/>
          </w:tcPr>
          <w:p w14:paraId="3369B395" w14:textId="77777777" w:rsidR="007C5B19" w:rsidRPr="00806B7F" w:rsidRDefault="007C5B19" w:rsidP="00A369A1">
            <w:pPr>
              <w:jc w:val="center"/>
              <w:rPr>
                <w:rFonts w:ascii="Arial" w:hAnsi="Arial" w:cs="Arial"/>
                <w:sz w:val="20"/>
              </w:rPr>
            </w:pPr>
            <w:r w:rsidRPr="00806B7F">
              <w:rPr>
                <w:rFonts w:ascii="Arial" w:hAnsi="Arial" w:cs="Arial"/>
                <w:sz w:val="20"/>
              </w:rPr>
              <w:t>1.030</w:t>
            </w:r>
          </w:p>
        </w:tc>
        <w:tc>
          <w:tcPr>
            <w:tcW w:w="1117" w:type="dxa"/>
            <w:tcBorders>
              <w:top w:val="nil"/>
              <w:left w:val="nil"/>
              <w:bottom w:val="nil"/>
              <w:right w:val="nil"/>
            </w:tcBorders>
            <w:shd w:val="clear" w:color="auto" w:fill="auto"/>
            <w:noWrap/>
            <w:hideMark/>
          </w:tcPr>
          <w:p w14:paraId="791B1DBD" w14:textId="77777777" w:rsidR="007C5B19" w:rsidRPr="00806B7F" w:rsidRDefault="007C5B19" w:rsidP="00A369A1">
            <w:pPr>
              <w:jc w:val="center"/>
              <w:rPr>
                <w:rFonts w:ascii="Arial" w:hAnsi="Arial" w:cs="Arial"/>
                <w:sz w:val="20"/>
              </w:rPr>
            </w:pPr>
            <w:r w:rsidRPr="00806B7F">
              <w:rPr>
                <w:rFonts w:ascii="Arial" w:hAnsi="Arial" w:cs="Arial"/>
                <w:sz w:val="20"/>
              </w:rPr>
              <w:t>0.799</w:t>
            </w:r>
          </w:p>
        </w:tc>
      </w:tr>
      <w:tr w:rsidR="007C5B19" w:rsidRPr="00806B7F" w14:paraId="7E920F10" w14:textId="77777777" w:rsidTr="00A369A1">
        <w:trPr>
          <w:trHeight w:val="255"/>
        </w:trPr>
        <w:tc>
          <w:tcPr>
            <w:tcW w:w="3196" w:type="dxa"/>
            <w:tcBorders>
              <w:top w:val="nil"/>
              <w:left w:val="nil"/>
              <w:bottom w:val="nil"/>
              <w:right w:val="nil"/>
            </w:tcBorders>
            <w:shd w:val="clear" w:color="auto" w:fill="auto"/>
            <w:noWrap/>
            <w:hideMark/>
          </w:tcPr>
          <w:p w14:paraId="5610017C" w14:textId="77777777" w:rsidR="007C5B19" w:rsidRPr="00806B7F" w:rsidRDefault="007C5B19" w:rsidP="00A369A1">
            <w:pPr>
              <w:rPr>
                <w:rFonts w:ascii="Arial" w:hAnsi="Arial" w:cs="Arial"/>
                <w:sz w:val="20"/>
              </w:rPr>
            </w:pPr>
            <w:r w:rsidRPr="00806B7F">
              <w:rPr>
                <w:rFonts w:ascii="Arial" w:hAnsi="Arial" w:cs="Arial"/>
                <w:sz w:val="20"/>
              </w:rPr>
              <w:t xml:space="preserve"> Clothing &amp; Uniform </w:t>
            </w:r>
          </w:p>
        </w:tc>
        <w:tc>
          <w:tcPr>
            <w:tcW w:w="1117" w:type="dxa"/>
            <w:tcBorders>
              <w:top w:val="nil"/>
              <w:left w:val="nil"/>
              <w:bottom w:val="nil"/>
              <w:right w:val="nil"/>
            </w:tcBorders>
            <w:shd w:val="clear" w:color="auto" w:fill="auto"/>
            <w:noWrap/>
            <w:hideMark/>
          </w:tcPr>
          <w:p w14:paraId="3F15E596" w14:textId="77777777" w:rsidR="007C5B19" w:rsidRPr="00806B7F" w:rsidRDefault="007C5B19" w:rsidP="00A369A1">
            <w:pPr>
              <w:jc w:val="center"/>
              <w:rPr>
                <w:rFonts w:ascii="Arial" w:hAnsi="Arial" w:cs="Arial"/>
                <w:sz w:val="20"/>
              </w:rPr>
            </w:pPr>
            <w:r w:rsidRPr="00806B7F">
              <w:rPr>
                <w:rFonts w:ascii="Arial" w:hAnsi="Arial" w:cs="Arial"/>
                <w:sz w:val="20"/>
              </w:rPr>
              <w:t>0.488</w:t>
            </w:r>
          </w:p>
        </w:tc>
        <w:tc>
          <w:tcPr>
            <w:tcW w:w="1296" w:type="dxa"/>
            <w:tcBorders>
              <w:top w:val="nil"/>
              <w:left w:val="nil"/>
              <w:bottom w:val="nil"/>
              <w:right w:val="nil"/>
            </w:tcBorders>
            <w:shd w:val="clear" w:color="auto" w:fill="auto"/>
            <w:noWrap/>
            <w:hideMark/>
          </w:tcPr>
          <w:p w14:paraId="461588C7" w14:textId="77777777" w:rsidR="007C5B19" w:rsidRPr="00806B7F" w:rsidRDefault="007C5B19" w:rsidP="00A369A1">
            <w:pPr>
              <w:jc w:val="center"/>
              <w:rPr>
                <w:rFonts w:ascii="Arial" w:hAnsi="Arial" w:cs="Arial"/>
                <w:sz w:val="20"/>
              </w:rPr>
            </w:pPr>
            <w:r w:rsidRPr="00806B7F">
              <w:rPr>
                <w:rFonts w:ascii="Arial" w:hAnsi="Arial" w:cs="Arial"/>
                <w:sz w:val="20"/>
              </w:rPr>
              <w:t>0.483</w:t>
            </w:r>
          </w:p>
        </w:tc>
        <w:tc>
          <w:tcPr>
            <w:tcW w:w="1117" w:type="dxa"/>
            <w:tcBorders>
              <w:top w:val="nil"/>
              <w:left w:val="nil"/>
              <w:bottom w:val="nil"/>
              <w:right w:val="nil"/>
            </w:tcBorders>
            <w:shd w:val="clear" w:color="auto" w:fill="auto"/>
            <w:noWrap/>
            <w:hideMark/>
          </w:tcPr>
          <w:p w14:paraId="432D199A" w14:textId="77777777" w:rsidR="007C5B19" w:rsidRPr="00806B7F" w:rsidRDefault="007C5B19" w:rsidP="00A369A1">
            <w:pPr>
              <w:jc w:val="center"/>
              <w:rPr>
                <w:rFonts w:ascii="Arial" w:hAnsi="Arial" w:cs="Arial"/>
                <w:sz w:val="20"/>
              </w:rPr>
            </w:pPr>
            <w:r w:rsidRPr="00806B7F">
              <w:rPr>
                <w:rFonts w:ascii="Arial" w:hAnsi="Arial" w:cs="Arial"/>
                <w:sz w:val="20"/>
              </w:rPr>
              <w:t>0.700</w:t>
            </w:r>
          </w:p>
        </w:tc>
        <w:tc>
          <w:tcPr>
            <w:tcW w:w="1117" w:type="dxa"/>
            <w:tcBorders>
              <w:top w:val="nil"/>
              <w:left w:val="nil"/>
              <w:bottom w:val="nil"/>
              <w:right w:val="nil"/>
            </w:tcBorders>
            <w:shd w:val="clear" w:color="auto" w:fill="auto"/>
            <w:noWrap/>
            <w:hideMark/>
          </w:tcPr>
          <w:p w14:paraId="343C0495" w14:textId="77777777" w:rsidR="007C5B19" w:rsidRPr="00806B7F" w:rsidRDefault="007C5B19" w:rsidP="00A369A1">
            <w:pPr>
              <w:jc w:val="center"/>
              <w:rPr>
                <w:rFonts w:ascii="Arial" w:hAnsi="Arial" w:cs="Arial"/>
                <w:sz w:val="20"/>
              </w:rPr>
            </w:pPr>
            <w:r w:rsidRPr="00806B7F">
              <w:rPr>
                <w:rFonts w:ascii="Arial" w:hAnsi="Arial" w:cs="Arial"/>
                <w:sz w:val="20"/>
              </w:rPr>
              <w:t>0.645</w:t>
            </w:r>
          </w:p>
        </w:tc>
        <w:tc>
          <w:tcPr>
            <w:tcW w:w="1117" w:type="dxa"/>
            <w:tcBorders>
              <w:top w:val="nil"/>
              <w:left w:val="nil"/>
              <w:bottom w:val="nil"/>
              <w:right w:val="nil"/>
            </w:tcBorders>
            <w:shd w:val="clear" w:color="auto" w:fill="auto"/>
            <w:noWrap/>
            <w:hideMark/>
          </w:tcPr>
          <w:p w14:paraId="7D88A796" w14:textId="77777777" w:rsidR="007C5B19" w:rsidRPr="00806B7F" w:rsidRDefault="007C5B19" w:rsidP="00A369A1">
            <w:pPr>
              <w:jc w:val="center"/>
              <w:rPr>
                <w:rFonts w:ascii="Arial" w:hAnsi="Arial" w:cs="Arial"/>
                <w:sz w:val="20"/>
              </w:rPr>
            </w:pPr>
            <w:r w:rsidRPr="00806B7F">
              <w:rPr>
                <w:rFonts w:ascii="Arial" w:hAnsi="Arial" w:cs="Arial"/>
                <w:sz w:val="20"/>
              </w:rPr>
              <w:t>0.865</w:t>
            </w:r>
          </w:p>
        </w:tc>
      </w:tr>
      <w:tr w:rsidR="007C5B19" w:rsidRPr="00806B7F" w14:paraId="55D2A12E" w14:textId="77777777" w:rsidTr="00A369A1">
        <w:trPr>
          <w:trHeight w:val="255"/>
        </w:trPr>
        <w:tc>
          <w:tcPr>
            <w:tcW w:w="3196" w:type="dxa"/>
            <w:tcBorders>
              <w:top w:val="nil"/>
              <w:left w:val="nil"/>
              <w:bottom w:val="nil"/>
              <w:right w:val="nil"/>
            </w:tcBorders>
            <w:shd w:val="clear" w:color="auto" w:fill="auto"/>
            <w:noWrap/>
            <w:hideMark/>
          </w:tcPr>
          <w:p w14:paraId="4458D678" w14:textId="77777777" w:rsidR="007C5B19" w:rsidRPr="00806B7F" w:rsidRDefault="007C5B19" w:rsidP="00A369A1">
            <w:pPr>
              <w:rPr>
                <w:rFonts w:ascii="Arial" w:hAnsi="Arial" w:cs="Arial"/>
                <w:sz w:val="20"/>
              </w:rPr>
            </w:pPr>
            <w:r w:rsidRPr="00806B7F">
              <w:rPr>
                <w:rFonts w:ascii="Arial" w:hAnsi="Arial" w:cs="Arial"/>
                <w:sz w:val="20"/>
              </w:rPr>
              <w:t xml:space="preserve"> Printing, stationery, postage </w:t>
            </w:r>
          </w:p>
        </w:tc>
        <w:tc>
          <w:tcPr>
            <w:tcW w:w="1117" w:type="dxa"/>
            <w:tcBorders>
              <w:top w:val="nil"/>
              <w:left w:val="nil"/>
              <w:bottom w:val="nil"/>
              <w:right w:val="nil"/>
            </w:tcBorders>
            <w:shd w:val="clear" w:color="auto" w:fill="auto"/>
            <w:noWrap/>
            <w:hideMark/>
          </w:tcPr>
          <w:p w14:paraId="1F288499" w14:textId="77777777" w:rsidR="007C5B19" w:rsidRPr="00806B7F" w:rsidRDefault="007C5B19" w:rsidP="00A369A1">
            <w:pPr>
              <w:jc w:val="center"/>
              <w:rPr>
                <w:rFonts w:ascii="Arial" w:hAnsi="Arial" w:cs="Arial"/>
                <w:sz w:val="20"/>
              </w:rPr>
            </w:pPr>
            <w:r w:rsidRPr="00806B7F">
              <w:rPr>
                <w:rFonts w:ascii="Arial" w:hAnsi="Arial" w:cs="Arial"/>
                <w:sz w:val="20"/>
              </w:rPr>
              <w:t>0.519</w:t>
            </w:r>
          </w:p>
        </w:tc>
        <w:tc>
          <w:tcPr>
            <w:tcW w:w="1296" w:type="dxa"/>
            <w:tcBorders>
              <w:top w:val="nil"/>
              <w:left w:val="nil"/>
              <w:bottom w:val="nil"/>
              <w:right w:val="nil"/>
            </w:tcBorders>
            <w:shd w:val="clear" w:color="auto" w:fill="auto"/>
            <w:noWrap/>
            <w:hideMark/>
          </w:tcPr>
          <w:p w14:paraId="7073B49A" w14:textId="77777777" w:rsidR="007C5B19" w:rsidRPr="00806B7F" w:rsidRDefault="007C5B19" w:rsidP="00A369A1">
            <w:pPr>
              <w:jc w:val="center"/>
              <w:rPr>
                <w:rFonts w:ascii="Arial" w:hAnsi="Arial" w:cs="Arial"/>
                <w:sz w:val="20"/>
              </w:rPr>
            </w:pPr>
            <w:r w:rsidRPr="00806B7F">
              <w:rPr>
                <w:rFonts w:ascii="Arial" w:hAnsi="Arial" w:cs="Arial"/>
                <w:sz w:val="20"/>
              </w:rPr>
              <w:t>0.531</w:t>
            </w:r>
          </w:p>
        </w:tc>
        <w:tc>
          <w:tcPr>
            <w:tcW w:w="1117" w:type="dxa"/>
            <w:tcBorders>
              <w:top w:val="nil"/>
              <w:left w:val="nil"/>
              <w:bottom w:val="nil"/>
              <w:right w:val="nil"/>
            </w:tcBorders>
            <w:shd w:val="clear" w:color="auto" w:fill="auto"/>
            <w:noWrap/>
            <w:hideMark/>
          </w:tcPr>
          <w:p w14:paraId="21E45BAD" w14:textId="77777777" w:rsidR="007C5B19" w:rsidRPr="00806B7F" w:rsidRDefault="007C5B19" w:rsidP="00A369A1">
            <w:pPr>
              <w:jc w:val="center"/>
              <w:rPr>
                <w:rFonts w:ascii="Arial" w:hAnsi="Arial" w:cs="Arial"/>
                <w:sz w:val="20"/>
              </w:rPr>
            </w:pPr>
            <w:r w:rsidRPr="00806B7F">
              <w:rPr>
                <w:rFonts w:ascii="Arial" w:hAnsi="Arial" w:cs="Arial"/>
                <w:sz w:val="20"/>
              </w:rPr>
              <w:t>0.544</w:t>
            </w:r>
          </w:p>
        </w:tc>
        <w:tc>
          <w:tcPr>
            <w:tcW w:w="1117" w:type="dxa"/>
            <w:tcBorders>
              <w:top w:val="nil"/>
              <w:left w:val="nil"/>
              <w:bottom w:val="nil"/>
              <w:right w:val="nil"/>
            </w:tcBorders>
            <w:shd w:val="clear" w:color="auto" w:fill="auto"/>
            <w:noWrap/>
            <w:hideMark/>
          </w:tcPr>
          <w:p w14:paraId="509DCCB2" w14:textId="77777777" w:rsidR="007C5B19" w:rsidRPr="00806B7F" w:rsidRDefault="007C5B19" w:rsidP="00A369A1">
            <w:pPr>
              <w:jc w:val="center"/>
              <w:rPr>
                <w:rFonts w:ascii="Arial" w:hAnsi="Arial" w:cs="Arial"/>
                <w:sz w:val="20"/>
              </w:rPr>
            </w:pPr>
            <w:r w:rsidRPr="00806B7F">
              <w:rPr>
                <w:rFonts w:ascii="Arial" w:hAnsi="Arial" w:cs="Arial"/>
                <w:sz w:val="20"/>
              </w:rPr>
              <w:t>0.558</w:t>
            </w:r>
          </w:p>
        </w:tc>
        <w:tc>
          <w:tcPr>
            <w:tcW w:w="1117" w:type="dxa"/>
            <w:tcBorders>
              <w:top w:val="nil"/>
              <w:left w:val="nil"/>
              <w:bottom w:val="nil"/>
              <w:right w:val="nil"/>
            </w:tcBorders>
            <w:shd w:val="clear" w:color="auto" w:fill="auto"/>
            <w:noWrap/>
            <w:hideMark/>
          </w:tcPr>
          <w:p w14:paraId="50C2A221" w14:textId="77777777" w:rsidR="007C5B19" w:rsidRPr="00806B7F" w:rsidRDefault="007C5B19" w:rsidP="00A369A1">
            <w:pPr>
              <w:jc w:val="center"/>
              <w:rPr>
                <w:rFonts w:ascii="Arial" w:hAnsi="Arial" w:cs="Arial"/>
                <w:sz w:val="20"/>
              </w:rPr>
            </w:pPr>
            <w:r w:rsidRPr="00806B7F">
              <w:rPr>
                <w:rFonts w:ascii="Arial" w:hAnsi="Arial" w:cs="Arial"/>
                <w:sz w:val="20"/>
              </w:rPr>
              <w:t>0.571</w:t>
            </w:r>
          </w:p>
        </w:tc>
      </w:tr>
      <w:tr w:rsidR="007C5B19" w:rsidRPr="00806B7F" w14:paraId="15985291" w14:textId="77777777" w:rsidTr="00A369A1">
        <w:trPr>
          <w:trHeight w:val="255"/>
        </w:trPr>
        <w:tc>
          <w:tcPr>
            <w:tcW w:w="3196" w:type="dxa"/>
            <w:tcBorders>
              <w:top w:val="nil"/>
              <w:left w:val="nil"/>
              <w:bottom w:val="nil"/>
              <w:right w:val="nil"/>
            </w:tcBorders>
            <w:shd w:val="clear" w:color="auto" w:fill="auto"/>
            <w:noWrap/>
            <w:hideMark/>
          </w:tcPr>
          <w:p w14:paraId="0C7E4FB6" w14:textId="77777777" w:rsidR="007C5B19" w:rsidRPr="00806B7F" w:rsidRDefault="007C5B19" w:rsidP="00A369A1">
            <w:pPr>
              <w:rPr>
                <w:rFonts w:ascii="Arial" w:hAnsi="Arial" w:cs="Arial"/>
                <w:sz w:val="20"/>
              </w:rPr>
            </w:pPr>
            <w:r w:rsidRPr="00806B7F">
              <w:rPr>
                <w:rFonts w:ascii="Arial" w:hAnsi="Arial" w:cs="Arial"/>
                <w:sz w:val="20"/>
              </w:rPr>
              <w:t xml:space="preserve"> Comms-Network Costs </w:t>
            </w:r>
          </w:p>
        </w:tc>
        <w:tc>
          <w:tcPr>
            <w:tcW w:w="1117" w:type="dxa"/>
            <w:tcBorders>
              <w:top w:val="nil"/>
              <w:left w:val="nil"/>
              <w:bottom w:val="nil"/>
              <w:right w:val="nil"/>
            </w:tcBorders>
            <w:shd w:val="clear" w:color="auto" w:fill="auto"/>
            <w:noWrap/>
            <w:hideMark/>
          </w:tcPr>
          <w:p w14:paraId="64C49F1B" w14:textId="77777777" w:rsidR="007C5B19" w:rsidRPr="00806B7F" w:rsidRDefault="007C5B19" w:rsidP="00A369A1">
            <w:pPr>
              <w:jc w:val="center"/>
              <w:rPr>
                <w:rFonts w:ascii="Arial" w:hAnsi="Arial" w:cs="Arial"/>
                <w:sz w:val="20"/>
              </w:rPr>
            </w:pPr>
            <w:r w:rsidRPr="00806B7F">
              <w:rPr>
                <w:rFonts w:ascii="Arial" w:hAnsi="Arial" w:cs="Arial"/>
                <w:sz w:val="20"/>
              </w:rPr>
              <w:t>1.178</w:t>
            </w:r>
          </w:p>
        </w:tc>
        <w:tc>
          <w:tcPr>
            <w:tcW w:w="1296" w:type="dxa"/>
            <w:tcBorders>
              <w:top w:val="nil"/>
              <w:left w:val="nil"/>
              <w:bottom w:val="nil"/>
              <w:right w:val="nil"/>
            </w:tcBorders>
            <w:shd w:val="clear" w:color="auto" w:fill="auto"/>
            <w:noWrap/>
            <w:hideMark/>
          </w:tcPr>
          <w:p w14:paraId="6618AC2B" w14:textId="77777777" w:rsidR="007C5B19" w:rsidRPr="00806B7F" w:rsidRDefault="007C5B19" w:rsidP="00A369A1">
            <w:pPr>
              <w:jc w:val="center"/>
              <w:rPr>
                <w:rFonts w:ascii="Arial" w:hAnsi="Arial" w:cs="Arial"/>
                <w:sz w:val="20"/>
              </w:rPr>
            </w:pPr>
            <w:r w:rsidRPr="00806B7F">
              <w:rPr>
                <w:rFonts w:ascii="Arial" w:hAnsi="Arial" w:cs="Arial"/>
                <w:sz w:val="20"/>
              </w:rPr>
              <w:t>1.208</w:t>
            </w:r>
          </w:p>
        </w:tc>
        <w:tc>
          <w:tcPr>
            <w:tcW w:w="1117" w:type="dxa"/>
            <w:tcBorders>
              <w:top w:val="nil"/>
              <w:left w:val="nil"/>
              <w:bottom w:val="nil"/>
              <w:right w:val="nil"/>
            </w:tcBorders>
            <w:shd w:val="clear" w:color="auto" w:fill="auto"/>
            <w:noWrap/>
            <w:hideMark/>
          </w:tcPr>
          <w:p w14:paraId="5B91D3E6" w14:textId="77777777" w:rsidR="007C5B19" w:rsidRPr="00806B7F" w:rsidRDefault="007C5B19" w:rsidP="00A369A1">
            <w:pPr>
              <w:jc w:val="center"/>
              <w:rPr>
                <w:rFonts w:ascii="Arial" w:hAnsi="Arial" w:cs="Arial"/>
                <w:sz w:val="20"/>
              </w:rPr>
            </w:pPr>
            <w:r w:rsidRPr="00806B7F">
              <w:rPr>
                <w:rFonts w:ascii="Arial" w:hAnsi="Arial" w:cs="Arial"/>
                <w:sz w:val="20"/>
              </w:rPr>
              <w:t>1.238</w:t>
            </w:r>
          </w:p>
        </w:tc>
        <w:tc>
          <w:tcPr>
            <w:tcW w:w="1117" w:type="dxa"/>
            <w:tcBorders>
              <w:top w:val="nil"/>
              <w:left w:val="nil"/>
              <w:bottom w:val="nil"/>
              <w:right w:val="nil"/>
            </w:tcBorders>
            <w:shd w:val="clear" w:color="auto" w:fill="auto"/>
            <w:noWrap/>
            <w:hideMark/>
          </w:tcPr>
          <w:p w14:paraId="047AF613" w14:textId="77777777" w:rsidR="007C5B19" w:rsidRPr="00806B7F" w:rsidRDefault="007C5B19" w:rsidP="00A369A1">
            <w:pPr>
              <w:jc w:val="center"/>
              <w:rPr>
                <w:rFonts w:ascii="Arial" w:hAnsi="Arial" w:cs="Arial"/>
                <w:sz w:val="20"/>
              </w:rPr>
            </w:pPr>
            <w:r w:rsidRPr="00806B7F">
              <w:rPr>
                <w:rFonts w:ascii="Arial" w:hAnsi="Arial" w:cs="Arial"/>
                <w:sz w:val="20"/>
              </w:rPr>
              <w:t>1.269</w:t>
            </w:r>
          </w:p>
        </w:tc>
        <w:tc>
          <w:tcPr>
            <w:tcW w:w="1117" w:type="dxa"/>
            <w:tcBorders>
              <w:top w:val="nil"/>
              <w:left w:val="nil"/>
              <w:bottom w:val="nil"/>
              <w:right w:val="nil"/>
            </w:tcBorders>
            <w:shd w:val="clear" w:color="auto" w:fill="auto"/>
            <w:noWrap/>
            <w:hideMark/>
          </w:tcPr>
          <w:p w14:paraId="7C3EF05E" w14:textId="77777777" w:rsidR="007C5B19" w:rsidRPr="00806B7F" w:rsidRDefault="007C5B19" w:rsidP="00A369A1">
            <w:pPr>
              <w:jc w:val="center"/>
              <w:rPr>
                <w:rFonts w:ascii="Arial" w:hAnsi="Arial" w:cs="Arial"/>
                <w:sz w:val="20"/>
              </w:rPr>
            </w:pPr>
            <w:r w:rsidRPr="00806B7F">
              <w:rPr>
                <w:rFonts w:ascii="Arial" w:hAnsi="Arial" w:cs="Arial"/>
                <w:sz w:val="20"/>
              </w:rPr>
              <w:t>1.300</w:t>
            </w:r>
          </w:p>
        </w:tc>
      </w:tr>
      <w:tr w:rsidR="007C5B19" w:rsidRPr="00806B7F" w14:paraId="75485390" w14:textId="77777777" w:rsidTr="00A369A1">
        <w:trPr>
          <w:trHeight w:val="255"/>
        </w:trPr>
        <w:tc>
          <w:tcPr>
            <w:tcW w:w="3196" w:type="dxa"/>
            <w:tcBorders>
              <w:top w:val="nil"/>
              <w:left w:val="nil"/>
              <w:bottom w:val="nil"/>
              <w:right w:val="nil"/>
            </w:tcBorders>
            <w:shd w:val="clear" w:color="auto" w:fill="auto"/>
            <w:noWrap/>
            <w:hideMark/>
          </w:tcPr>
          <w:p w14:paraId="0FA44771" w14:textId="77777777" w:rsidR="007C5B19" w:rsidRPr="00806B7F" w:rsidRDefault="007C5B19" w:rsidP="00A369A1">
            <w:pPr>
              <w:rPr>
                <w:rFonts w:ascii="Arial" w:hAnsi="Arial" w:cs="Arial"/>
                <w:sz w:val="20"/>
              </w:rPr>
            </w:pPr>
            <w:r w:rsidRPr="00806B7F">
              <w:rPr>
                <w:rFonts w:ascii="Arial" w:hAnsi="Arial" w:cs="Arial"/>
                <w:sz w:val="20"/>
              </w:rPr>
              <w:t xml:space="preserve"> Telephony </w:t>
            </w:r>
          </w:p>
        </w:tc>
        <w:tc>
          <w:tcPr>
            <w:tcW w:w="1117" w:type="dxa"/>
            <w:tcBorders>
              <w:top w:val="nil"/>
              <w:left w:val="nil"/>
              <w:bottom w:val="nil"/>
              <w:right w:val="nil"/>
            </w:tcBorders>
            <w:shd w:val="clear" w:color="auto" w:fill="auto"/>
            <w:noWrap/>
            <w:hideMark/>
          </w:tcPr>
          <w:p w14:paraId="2C556775" w14:textId="77777777" w:rsidR="007C5B19" w:rsidRPr="00806B7F" w:rsidRDefault="007C5B19" w:rsidP="00A369A1">
            <w:pPr>
              <w:jc w:val="center"/>
              <w:rPr>
                <w:rFonts w:ascii="Arial" w:hAnsi="Arial" w:cs="Arial"/>
                <w:sz w:val="20"/>
              </w:rPr>
            </w:pPr>
            <w:r w:rsidRPr="00806B7F">
              <w:rPr>
                <w:rFonts w:ascii="Arial" w:hAnsi="Arial" w:cs="Arial"/>
                <w:sz w:val="20"/>
              </w:rPr>
              <w:t>0.221</w:t>
            </w:r>
          </w:p>
        </w:tc>
        <w:tc>
          <w:tcPr>
            <w:tcW w:w="1296" w:type="dxa"/>
            <w:tcBorders>
              <w:top w:val="nil"/>
              <w:left w:val="nil"/>
              <w:bottom w:val="nil"/>
              <w:right w:val="nil"/>
            </w:tcBorders>
            <w:shd w:val="clear" w:color="auto" w:fill="auto"/>
            <w:noWrap/>
            <w:hideMark/>
          </w:tcPr>
          <w:p w14:paraId="636ED030" w14:textId="77777777" w:rsidR="007C5B19" w:rsidRPr="00806B7F" w:rsidRDefault="007C5B19" w:rsidP="00A369A1">
            <w:pPr>
              <w:jc w:val="center"/>
              <w:rPr>
                <w:rFonts w:ascii="Arial" w:hAnsi="Arial" w:cs="Arial"/>
                <w:sz w:val="20"/>
              </w:rPr>
            </w:pPr>
            <w:r w:rsidRPr="00806B7F">
              <w:rPr>
                <w:rFonts w:ascii="Arial" w:hAnsi="Arial" w:cs="Arial"/>
                <w:sz w:val="20"/>
              </w:rPr>
              <w:t>0.227</w:t>
            </w:r>
          </w:p>
        </w:tc>
        <w:tc>
          <w:tcPr>
            <w:tcW w:w="1117" w:type="dxa"/>
            <w:tcBorders>
              <w:top w:val="nil"/>
              <w:left w:val="nil"/>
              <w:bottom w:val="nil"/>
              <w:right w:val="nil"/>
            </w:tcBorders>
            <w:shd w:val="clear" w:color="auto" w:fill="auto"/>
            <w:noWrap/>
            <w:hideMark/>
          </w:tcPr>
          <w:p w14:paraId="2D35B5BA" w14:textId="77777777" w:rsidR="007C5B19" w:rsidRPr="00806B7F" w:rsidRDefault="007C5B19" w:rsidP="00A369A1">
            <w:pPr>
              <w:jc w:val="center"/>
              <w:rPr>
                <w:rFonts w:ascii="Arial" w:hAnsi="Arial" w:cs="Arial"/>
                <w:sz w:val="20"/>
              </w:rPr>
            </w:pPr>
            <w:r w:rsidRPr="00806B7F">
              <w:rPr>
                <w:rFonts w:ascii="Arial" w:hAnsi="Arial" w:cs="Arial"/>
                <w:sz w:val="20"/>
              </w:rPr>
              <w:t>0.233</w:t>
            </w:r>
          </w:p>
        </w:tc>
        <w:tc>
          <w:tcPr>
            <w:tcW w:w="1117" w:type="dxa"/>
            <w:tcBorders>
              <w:top w:val="nil"/>
              <w:left w:val="nil"/>
              <w:bottom w:val="nil"/>
              <w:right w:val="nil"/>
            </w:tcBorders>
            <w:shd w:val="clear" w:color="auto" w:fill="auto"/>
            <w:noWrap/>
            <w:hideMark/>
          </w:tcPr>
          <w:p w14:paraId="008976D1" w14:textId="77777777" w:rsidR="007C5B19" w:rsidRPr="00806B7F" w:rsidRDefault="007C5B19" w:rsidP="00A369A1">
            <w:pPr>
              <w:jc w:val="center"/>
              <w:rPr>
                <w:rFonts w:ascii="Arial" w:hAnsi="Arial" w:cs="Arial"/>
                <w:sz w:val="20"/>
              </w:rPr>
            </w:pPr>
            <w:r w:rsidRPr="00806B7F">
              <w:rPr>
                <w:rFonts w:ascii="Arial" w:hAnsi="Arial" w:cs="Arial"/>
                <w:sz w:val="20"/>
              </w:rPr>
              <w:t>0.238</w:t>
            </w:r>
          </w:p>
        </w:tc>
        <w:tc>
          <w:tcPr>
            <w:tcW w:w="1117" w:type="dxa"/>
            <w:tcBorders>
              <w:top w:val="nil"/>
              <w:left w:val="nil"/>
              <w:bottom w:val="nil"/>
              <w:right w:val="nil"/>
            </w:tcBorders>
            <w:shd w:val="clear" w:color="auto" w:fill="auto"/>
            <w:noWrap/>
            <w:hideMark/>
          </w:tcPr>
          <w:p w14:paraId="349FE606" w14:textId="77777777" w:rsidR="007C5B19" w:rsidRPr="00806B7F" w:rsidRDefault="007C5B19" w:rsidP="00A369A1">
            <w:pPr>
              <w:jc w:val="center"/>
              <w:rPr>
                <w:rFonts w:ascii="Arial" w:hAnsi="Arial" w:cs="Arial"/>
                <w:sz w:val="20"/>
              </w:rPr>
            </w:pPr>
            <w:r w:rsidRPr="00806B7F">
              <w:rPr>
                <w:rFonts w:ascii="Arial" w:hAnsi="Arial" w:cs="Arial"/>
                <w:sz w:val="20"/>
              </w:rPr>
              <w:t>0.244</w:t>
            </w:r>
          </w:p>
        </w:tc>
      </w:tr>
      <w:tr w:rsidR="007C5B19" w:rsidRPr="00806B7F" w14:paraId="460B9BEF" w14:textId="77777777" w:rsidTr="00A369A1">
        <w:trPr>
          <w:trHeight w:val="255"/>
        </w:trPr>
        <w:tc>
          <w:tcPr>
            <w:tcW w:w="3196" w:type="dxa"/>
            <w:tcBorders>
              <w:top w:val="nil"/>
              <w:left w:val="nil"/>
              <w:bottom w:val="nil"/>
              <w:right w:val="nil"/>
            </w:tcBorders>
            <w:shd w:val="clear" w:color="auto" w:fill="auto"/>
            <w:noWrap/>
            <w:hideMark/>
          </w:tcPr>
          <w:p w14:paraId="72BAA96B" w14:textId="77777777" w:rsidR="007C5B19" w:rsidRPr="00806B7F" w:rsidRDefault="007C5B19" w:rsidP="00A369A1">
            <w:pPr>
              <w:rPr>
                <w:rFonts w:ascii="Arial" w:hAnsi="Arial" w:cs="Arial"/>
                <w:sz w:val="20"/>
              </w:rPr>
            </w:pPr>
            <w:r w:rsidRPr="00806B7F">
              <w:rPr>
                <w:rFonts w:ascii="Arial" w:hAnsi="Arial" w:cs="Arial"/>
                <w:sz w:val="20"/>
              </w:rPr>
              <w:t xml:space="preserve"> Computers </w:t>
            </w:r>
          </w:p>
        </w:tc>
        <w:tc>
          <w:tcPr>
            <w:tcW w:w="1117" w:type="dxa"/>
            <w:tcBorders>
              <w:top w:val="nil"/>
              <w:left w:val="nil"/>
              <w:bottom w:val="nil"/>
              <w:right w:val="nil"/>
            </w:tcBorders>
            <w:shd w:val="clear" w:color="auto" w:fill="auto"/>
            <w:noWrap/>
            <w:hideMark/>
          </w:tcPr>
          <w:p w14:paraId="7E0257E4" w14:textId="77777777" w:rsidR="007C5B19" w:rsidRPr="00806B7F" w:rsidRDefault="007C5B19" w:rsidP="00A369A1">
            <w:pPr>
              <w:jc w:val="center"/>
              <w:rPr>
                <w:rFonts w:ascii="Arial" w:hAnsi="Arial" w:cs="Arial"/>
                <w:sz w:val="20"/>
              </w:rPr>
            </w:pPr>
            <w:r w:rsidRPr="00806B7F">
              <w:rPr>
                <w:rFonts w:ascii="Arial" w:hAnsi="Arial" w:cs="Arial"/>
                <w:sz w:val="20"/>
              </w:rPr>
              <w:t>1.684</w:t>
            </w:r>
          </w:p>
        </w:tc>
        <w:tc>
          <w:tcPr>
            <w:tcW w:w="1296" w:type="dxa"/>
            <w:tcBorders>
              <w:top w:val="nil"/>
              <w:left w:val="nil"/>
              <w:bottom w:val="nil"/>
              <w:right w:val="nil"/>
            </w:tcBorders>
            <w:shd w:val="clear" w:color="auto" w:fill="auto"/>
            <w:noWrap/>
            <w:hideMark/>
          </w:tcPr>
          <w:p w14:paraId="3AF2C6EE" w14:textId="77777777" w:rsidR="007C5B19" w:rsidRPr="00806B7F" w:rsidRDefault="007C5B19" w:rsidP="00A369A1">
            <w:pPr>
              <w:jc w:val="center"/>
              <w:rPr>
                <w:rFonts w:ascii="Arial" w:hAnsi="Arial" w:cs="Arial"/>
                <w:sz w:val="20"/>
              </w:rPr>
            </w:pPr>
            <w:r w:rsidRPr="00806B7F">
              <w:rPr>
                <w:rFonts w:ascii="Arial" w:hAnsi="Arial" w:cs="Arial"/>
                <w:sz w:val="20"/>
              </w:rPr>
              <w:t>1.726</w:t>
            </w:r>
          </w:p>
        </w:tc>
        <w:tc>
          <w:tcPr>
            <w:tcW w:w="1117" w:type="dxa"/>
            <w:tcBorders>
              <w:top w:val="nil"/>
              <w:left w:val="nil"/>
              <w:bottom w:val="nil"/>
              <w:right w:val="nil"/>
            </w:tcBorders>
            <w:shd w:val="clear" w:color="auto" w:fill="auto"/>
            <w:noWrap/>
            <w:hideMark/>
          </w:tcPr>
          <w:p w14:paraId="0EC6711B" w14:textId="77777777" w:rsidR="007C5B19" w:rsidRPr="00806B7F" w:rsidRDefault="007C5B19" w:rsidP="00A369A1">
            <w:pPr>
              <w:jc w:val="center"/>
              <w:rPr>
                <w:rFonts w:ascii="Arial" w:hAnsi="Arial" w:cs="Arial"/>
                <w:sz w:val="20"/>
              </w:rPr>
            </w:pPr>
            <w:r w:rsidRPr="00806B7F">
              <w:rPr>
                <w:rFonts w:ascii="Arial" w:hAnsi="Arial" w:cs="Arial"/>
                <w:sz w:val="20"/>
              </w:rPr>
              <w:t>1.769</w:t>
            </w:r>
          </w:p>
        </w:tc>
        <w:tc>
          <w:tcPr>
            <w:tcW w:w="1117" w:type="dxa"/>
            <w:tcBorders>
              <w:top w:val="nil"/>
              <w:left w:val="nil"/>
              <w:bottom w:val="nil"/>
              <w:right w:val="nil"/>
            </w:tcBorders>
            <w:shd w:val="clear" w:color="auto" w:fill="auto"/>
            <w:noWrap/>
            <w:hideMark/>
          </w:tcPr>
          <w:p w14:paraId="6DEDC7B6" w14:textId="77777777" w:rsidR="007C5B19" w:rsidRPr="00806B7F" w:rsidRDefault="007C5B19" w:rsidP="00A369A1">
            <w:pPr>
              <w:jc w:val="center"/>
              <w:rPr>
                <w:rFonts w:ascii="Arial" w:hAnsi="Arial" w:cs="Arial"/>
                <w:sz w:val="20"/>
              </w:rPr>
            </w:pPr>
            <w:r w:rsidRPr="00806B7F">
              <w:rPr>
                <w:rFonts w:ascii="Arial" w:hAnsi="Arial" w:cs="Arial"/>
                <w:sz w:val="20"/>
              </w:rPr>
              <w:t>1.814</w:t>
            </w:r>
          </w:p>
        </w:tc>
        <w:tc>
          <w:tcPr>
            <w:tcW w:w="1117" w:type="dxa"/>
            <w:tcBorders>
              <w:top w:val="nil"/>
              <w:left w:val="nil"/>
              <w:bottom w:val="nil"/>
              <w:right w:val="nil"/>
            </w:tcBorders>
            <w:shd w:val="clear" w:color="auto" w:fill="auto"/>
            <w:noWrap/>
            <w:hideMark/>
          </w:tcPr>
          <w:p w14:paraId="56138614" w14:textId="77777777" w:rsidR="007C5B19" w:rsidRPr="00806B7F" w:rsidRDefault="007C5B19" w:rsidP="00A369A1">
            <w:pPr>
              <w:jc w:val="center"/>
              <w:rPr>
                <w:rFonts w:ascii="Arial" w:hAnsi="Arial" w:cs="Arial"/>
                <w:sz w:val="20"/>
              </w:rPr>
            </w:pPr>
            <w:r w:rsidRPr="00806B7F">
              <w:rPr>
                <w:rFonts w:ascii="Arial" w:hAnsi="Arial" w:cs="Arial"/>
                <w:sz w:val="20"/>
              </w:rPr>
              <w:t>1.859</w:t>
            </w:r>
          </w:p>
        </w:tc>
      </w:tr>
      <w:tr w:rsidR="007C5B19" w:rsidRPr="00806B7F" w14:paraId="11B200BA" w14:textId="77777777" w:rsidTr="00A369A1">
        <w:trPr>
          <w:trHeight w:val="255"/>
        </w:trPr>
        <w:tc>
          <w:tcPr>
            <w:tcW w:w="3196" w:type="dxa"/>
            <w:tcBorders>
              <w:top w:val="nil"/>
              <w:left w:val="nil"/>
              <w:bottom w:val="nil"/>
              <w:right w:val="nil"/>
            </w:tcBorders>
            <w:shd w:val="clear" w:color="auto" w:fill="auto"/>
            <w:noWrap/>
            <w:hideMark/>
          </w:tcPr>
          <w:p w14:paraId="466A0487" w14:textId="77777777" w:rsidR="007C5B19" w:rsidRPr="00806B7F" w:rsidRDefault="007C5B19" w:rsidP="00A369A1">
            <w:pPr>
              <w:rPr>
                <w:rFonts w:ascii="Arial" w:hAnsi="Arial" w:cs="Arial"/>
                <w:sz w:val="20"/>
              </w:rPr>
            </w:pPr>
            <w:r w:rsidRPr="00806B7F">
              <w:rPr>
                <w:rFonts w:ascii="Arial" w:hAnsi="Arial" w:cs="Arial"/>
                <w:sz w:val="20"/>
              </w:rPr>
              <w:t xml:space="preserve"> Subsistence </w:t>
            </w:r>
          </w:p>
        </w:tc>
        <w:tc>
          <w:tcPr>
            <w:tcW w:w="1117" w:type="dxa"/>
            <w:tcBorders>
              <w:top w:val="nil"/>
              <w:left w:val="nil"/>
              <w:bottom w:val="nil"/>
              <w:right w:val="nil"/>
            </w:tcBorders>
            <w:shd w:val="clear" w:color="auto" w:fill="auto"/>
            <w:noWrap/>
            <w:hideMark/>
          </w:tcPr>
          <w:p w14:paraId="6C3C8DAD" w14:textId="77777777" w:rsidR="007C5B19" w:rsidRPr="00806B7F" w:rsidRDefault="007C5B19" w:rsidP="00A369A1">
            <w:pPr>
              <w:jc w:val="center"/>
              <w:rPr>
                <w:rFonts w:ascii="Arial" w:hAnsi="Arial" w:cs="Arial"/>
                <w:sz w:val="20"/>
              </w:rPr>
            </w:pPr>
            <w:r w:rsidRPr="00806B7F">
              <w:rPr>
                <w:rFonts w:ascii="Arial" w:hAnsi="Arial" w:cs="Arial"/>
                <w:sz w:val="20"/>
              </w:rPr>
              <w:t>0.105</w:t>
            </w:r>
          </w:p>
        </w:tc>
        <w:tc>
          <w:tcPr>
            <w:tcW w:w="1296" w:type="dxa"/>
            <w:tcBorders>
              <w:top w:val="nil"/>
              <w:left w:val="nil"/>
              <w:bottom w:val="nil"/>
              <w:right w:val="nil"/>
            </w:tcBorders>
            <w:shd w:val="clear" w:color="auto" w:fill="auto"/>
            <w:noWrap/>
            <w:hideMark/>
          </w:tcPr>
          <w:p w14:paraId="6A140F7F" w14:textId="77777777" w:rsidR="007C5B19" w:rsidRPr="00806B7F" w:rsidRDefault="007C5B19" w:rsidP="00A369A1">
            <w:pPr>
              <w:jc w:val="center"/>
              <w:rPr>
                <w:rFonts w:ascii="Arial" w:hAnsi="Arial" w:cs="Arial"/>
                <w:sz w:val="20"/>
              </w:rPr>
            </w:pPr>
            <w:r w:rsidRPr="00806B7F">
              <w:rPr>
                <w:rFonts w:ascii="Arial" w:hAnsi="Arial" w:cs="Arial"/>
                <w:sz w:val="20"/>
              </w:rPr>
              <w:t>0.108</w:t>
            </w:r>
          </w:p>
        </w:tc>
        <w:tc>
          <w:tcPr>
            <w:tcW w:w="1117" w:type="dxa"/>
            <w:tcBorders>
              <w:top w:val="nil"/>
              <w:left w:val="nil"/>
              <w:bottom w:val="nil"/>
              <w:right w:val="nil"/>
            </w:tcBorders>
            <w:shd w:val="clear" w:color="auto" w:fill="auto"/>
            <w:noWrap/>
            <w:hideMark/>
          </w:tcPr>
          <w:p w14:paraId="1EA35979" w14:textId="77777777" w:rsidR="007C5B19" w:rsidRPr="00806B7F" w:rsidRDefault="007C5B19" w:rsidP="00A369A1">
            <w:pPr>
              <w:jc w:val="center"/>
              <w:rPr>
                <w:rFonts w:ascii="Arial" w:hAnsi="Arial" w:cs="Arial"/>
                <w:sz w:val="20"/>
              </w:rPr>
            </w:pPr>
            <w:r w:rsidRPr="00806B7F">
              <w:rPr>
                <w:rFonts w:ascii="Arial" w:hAnsi="Arial" w:cs="Arial"/>
                <w:sz w:val="20"/>
              </w:rPr>
              <w:t>0.110</w:t>
            </w:r>
          </w:p>
        </w:tc>
        <w:tc>
          <w:tcPr>
            <w:tcW w:w="1117" w:type="dxa"/>
            <w:tcBorders>
              <w:top w:val="nil"/>
              <w:left w:val="nil"/>
              <w:bottom w:val="nil"/>
              <w:right w:val="nil"/>
            </w:tcBorders>
            <w:shd w:val="clear" w:color="auto" w:fill="auto"/>
            <w:noWrap/>
            <w:hideMark/>
          </w:tcPr>
          <w:p w14:paraId="7BAC44BB" w14:textId="77777777" w:rsidR="007C5B19" w:rsidRPr="00806B7F" w:rsidRDefault="007C5B19" w:rsidP="00A369A1">
            <w:pPr>
              <w:jc w:val="center"/>
              <w:rPr>
                <w:rFonts w:ascii="Arial" w:hAnsi="Arial" w:cs="Arial"/>
                <w:sz w:val="20"/>
              </w:rPr>
            </w:pPr>
            <w:r w:rsidRPr="00806B7F">
              <w:rPr>
                <w:rFonts w:ascii="Arial" w:hAnsi="Arial" w:cs="Arial"/>
                <w:sz w:val="20"/>
              </w:rPr>
              <w:t>0.113</w:t>
            </w:r>
          </w:p>
        </w:tc>
        <w:tc>
          <w:tcPr>
            <w:tcW w:w="1117" w:type="dxa"/>
            <w:tcBorders>
              <w:top w:val="nil"/>
              <w:left w:val="nil"/>
              <w:bottom w:val="nil"/>
              <w:right w:val="nil"/>
            </w:tcBorders>
            <w:shd w:val="clear" w:color="auto" w:fill="auto"/>
            <w:noWrap/>
            <w:hideMark/>
          </w:tcPr>
          <w:p w14:paraId="1AD5A89B" w14:textId="77777777" w:rsidR="007C5B19" w:rsidRPr="00806B7F" w:rsidRDefault="007C5B19" w:rsidP="00A369A1">
            <w:pPr>
              <w:jc w:val="center"/>
              <w:rPr>
                <w:rFonts w:ascii="Arial" w:hAnsi="Arial" w:cs="Arial"/>
                <w:sz w:val="20"/>
              </w:rPr>
            </w:pPr>
            <w:r w:rsidRPr="00806B7F">
              <w:rPr>
                <w:rFonts w:ascii="Arial" w:hAnsi="Arial" w:cs="Arial"/>
                <w:sz w:val="20"/>
              </w:rPr>
              <w:t>0.115</w:t>
            </w:r>
          </w:p>
        </w:tc>
      </w:tr>
      <w:tr w:rsidR="007C5B19" w:rsidRPr="00806B7F" w14:paraId="2373D40A" w14:textId="77777777" w:rsidTr="00A369A1">
        <w:trPr>
          <w:trHeight w:val="255"/>
        </w:trPr>
        <w:tc>
          <w:tcPr>
            <w:tcW w:w="3196" w:type="dxa"/>
            <w:tcBorders>
              <w:top w:val="nil"/>
              <w:left w:val="nil"/>
              <w:bottom w:val="nil"/>
              <w:right w:val="nil"/>
            </w:tcBorders>
            <w:shd w:val="clear" w:color="auto" w:fill="auto"/>
            <w:noWrap/>
            <w:hideMark/>
          </w:tcPr>
          <w:p w14:paraId="74D29ECF" w14:textId="77777777" w:rsidR="007C5B19" w:rsidRPr="00806B7F" w:rsidRDefault="007C5B19" w:rsidP="00A369A1">
            <w:pPr>
              <w:rPr>
                <w:rFonts w:ascii="Arial" w:hAnsi="Arial" w:cs="Arial"/>
                <w:sz w:val="20"/>
              </w:rPr>
            </w:pPr>
            <w:r w:rsidRPr="00806B7F">
              <w:rPr>
                <w:rFonts w:ascii="Arial" w:hAnsi="Arial" w:cs="Arial"/>
                <w:sz w:val="20"/>
              </w:rPr>
              <w:t xml:space="preserve"> Fire Safety Expenses </w:t>
            </w:r>
          </w:p>
        </w:tc>
        <w:tc>
          <w:tcPr>
            <w:tcW w:w="1117" w:type="dxa"/>
            <w:tcBorders>
              <w:top w:val="nil"/>
              <w:left w:val="nil"/>
              <w:bottom w:val="nil"/>
              <w:right w:val="nil"/>
            </w:tcBorders>
            <w:shd w:val="clear" w:color="auto" w:fill="auto"/>
            <w:noWrap/>
            <w:hideMark/>
          </w:tcPr>
          <w:p w14:paraId="4F2350BA" w14:textId="77777777" w:rsidR="007C5B19" w:rsidRPr="00806B7F" w:rsidRDefault="007C5B19" w:rsidP="00A369A1">
            <w:pPr>
              <w:jc w:val="center"/>
              <w:rPr>
                <w:rFonts w:ascii="Arial" w:hAnsi="Arial" w:cs="Arial"/>
                <w:sz w:val="20"/>
              </w:rPr>
            </w:pPr>
            <w:r w:rsidRPr="00806B7F">
              <w:rPr>
                <w:rFonts w:ascii="Arial" w:hAnsi="Arial" w:cs="Arial"/>
                <w:sz w:val="20"/>
              </w:rPr>
              <w:t>0.332</w:t>
            </w:r>
          </w:p>
        </w:tc>
        <w:tc>
          <w:tcPr>
            <w:tcW w:w="1296" w:type="dxa"/>
            <w:tcBorders>
              <w:top w:val="nil"/>
              <w:left w:val="nil"/>
              <w:bottom w:val="nil"/>
              <w:right w:val="nil"/>
            </w:tcBorders>
            <w:shd w:val="clear" w:color="auto" w:fill="auto"/>
            <w:noWrap/>
            <w:hideMark/>
          </w:tcPr>
          <w:p w14:paraId="18DCCE35" w14:textId="77777777" w:rsidR="007C5B19" w:rsidRPr="00806B7F" w:rsidRDefault="007C5B19" w:rsidP="00A369A1">
            <w:pPr>
              <w:jc w:val="center"/>
              <w:rPr>
                <w:rFonts w:ascii="Arial" w:hAnsi="Arial" w:cs="Arial"/>
                <w:sz w:val="20"/>
              </w:rPr>
            </w:pPr>
            <w:r w:rsidRPr="00806B7F">
              <w:rPr>
                <w:rFonts w:ascii="Arial" w:hAnsi="Arial" w:cs="Arial"/>
                <w:sz w:val="20"/>
              </w:rPr>
              <w:t>0.341</w:t>
            </w:r>
          </w:p>
        </w:tc>
        <w:tc>
          <w:tcPr>
            <w:tcW w:w="1117" w:type="dxa"/>
            <w:tcBorders>
              <w:top w:val="nil"/>
              <w:left w:val="nil"/>
              <w:bottom w:val="nil"/>
              <w:right w:val="nil"/>
            </w:tcBorders>
            <w:shd w:val="clear" w:color="auto" w:fill="auto"/>
            <w:noWrap/>
            <w:hideMark/>
          </w:tcPr>
          <w:p w14:paraId="69DF8A8A" w14:textId="77777777" w:rsidR="007C5B19" w:rsidRPr="00806B7F" w:rsidRDefault="007C5B19" w:rsidP="00A369A1">
            <w:pPr>
              <w:jc w:val="center"/>
              <w:rPr>
                <w:rFonts w:ascii="Arial" w:hAnsi="Arial" w:cs="Arial"/>
                <w:sz w:val="20"/>
              </w:rPr>
            </w:pPr>
            <w:r w:rsidRPr="00806B7F">
              <w:rPr>
                <w:rFonts w:ascii="Arial" w:hAnsi="Arial" w:cs="Arial"/>
                <w:sz w:val="20"/>
              </w:rPr>
              <w:t>0.349</w:t>
            </w:r>
          </w:p>
        </w:tc>
        <w:tc>
          <w:tcPr>
            <w:tcW w:w="1117" w:type="dxa"/>
            <w:tcBorders>
              <w:top w:val="nil"/>
              <w:left w:val="nil"/>
              <w:bottom w:val="nil"/>
              <w:right w:val="nil"/>
            </w:tcBorders>
            <w:shd w:val="clear" w:color="auto" w:fill="auto"/>
            <w:noWrap/>
            <w:hideMark/>
          </w:tcPr>
          <w:p w14:paraId="3FD2AE51" w14:textId="77777777" w:rsidR="007C5B19" w:rsidRPr="00806B7F" w:rsidRDefault="007C5B19" w:rsidP="00A369A1">
            <w:pPr>
              <w:jc w:val="center"/>
              <w:rPr>
                <w:rFonts w:ascii="Arial" w:hAnsi="Arial" w:cs="Arial"/>
                <w:sz w:val="20"/>
              </w:rPr>
            </w:pPr>
            <w:r w:rsidRPr="00806B7F">
              <w:rPr>
                <w:rFonts w:ascii="Arial" w:hAnsi="Arial" w:cs="Arial"/>
                <w:sz w:val="20"/>
              </w:rPr>
              <w:t>0.358</w:t>
            </w:r>
          </w:p>
        </w:tc>
        <w:tc>
          <w:tcPr>
            <w:tcW w:w="1117" w:type="dxa"/>
            <w:tcBorders>
              <w:top w:val="nil"/>
              <w:left w:val="nil"/>
              <w:bottom w:val="nil"/>
              <w:right w:val="nil"/>
            </w:tcBorders>
            <w:shd w:val="clear" w:color="auto" w:fill="auto"/>
            <w:noWrap/>
            <w:hideMark/>
          </w:tcPr>
          <w:p w14:paraId="10763FA2" w14:textId="77777777" w:rsidR="007C5B19" w:rsidRPr="00806B7F" w:rsidRDefault="007C5B19" w:rsidP="00A369A1">
            <w:pPr>
              <w:jc w:val="center"/>
              <w:rPr>
                <w:rFonts w:ascii="Arial" w:hAnsi="Arial" w:cs="Arial"/>
                <w:sz w:val="20"/>
              </w:rPr>
            </w:pPr>
            <w:r w:rsidRPr="00806B7F">
              <w:rPr>
                <w:rFonts w:ascii="Arial" w:hAnsi="Arial" w:cs="Arial"/>
                <w:sz w:val="20"/>
              </w:rPr>
              <w:t>0.367</w:t>
            </w:r>
          </w:p>
        </w:tc>
      </w:tr>
      <w:tr w:rsidR="007C5B19" w:rsidRPr="00806B7F" w14:paraId="46267EE8" w14:textId="77777777" w:rsidTr="00A369A1">
        <w:trPr>
          <w:trHeight w:val="255"/>
        </w:trPr>
        <w:tc>
          <w:tcPr>
            <w:tcW w:w="3196" w:type="dxa"/>
            <w:tcBorders>
              <w:top w:val="nil"/>
              <w:left w:val="nil"/>
              <w:bottom w:val="nil"/>
              <w:right w:val="nil"/>
            </w:tcBorders>
            <w:shd w:val="clear" w:color="auto" w:fill="auto"/>
            <w:noWrap/>
            <w:hideMark/>
          </w:tcPr>
          <w:p w14:paraId="2D9A413A" w14:textId="77777777" w:rsidR="007C5B19" w:rsidRPr="00806B7F" w:rsidRDefault="007C5B19" w:rsidP="00A369A1">
            <w:pPr>
              <w:rPr>
                <w:rFonts w:ascii="Arial" w:hAnsi="Arial" w:cs="Arial"/>
                <w:sz w:val="20"/>
              </w:rPr>
            </w:pPr>
            <w:r w:rsidRPr="00806B7F">
              <w:rPr>
                <w:rFonts w:ascii="Arial" w:hAnsi="Arial" w:cs="Arial"/>
                <w:sz w:val="20"/>
              </w:rPr>
              <w:t xml:space="preserve"> Training Expenses </w:t>
            </w:r>
          </w:p>
        </w:tc>
        <w:tc>
          <w:tcPr>
            <w:tcW w:w="1117" w:type="dxa"/>
            <w:tcBorders>
              <w:top w:val="nil"/>
              <w:left w:val="nil"/>
              <w:bottom w:val="nil"/>
              <w:right w:val="nil"/>
            </w:tcBorders>
            <w:shd w:val="clear" w:color="auto" w:fill="auto"/>
            <w:noWrap/>
            <w:hideMark/>
          </w:tcPr>
          <w:p w14:paraId="11C50D63" w14:textId="77777777" w:rsidR="007C5B19" w:rsidRPr="00806B7F" w:rsidRDefault="007C5B19" w:rsidP="00A369A1">
            <w:pPr>
              <w:jc w:val="center"/>
              <w:rPr>
                <w:rFonts w:ascii="Arial" w:hAnsi="Arial" w:cs="Arial"/>
                <w:sz w:val="20"/>
              </w:rPr>
            </w:pPr>
            <w:r w:rsidRPr="00806B7F">
              <w:rPr>
                <w:rFonts w:ascii="Arial" w:hAnsi="Arial" w:cs="Arial"/>
                <w:sz w:val="20"/>
              </w:rPr>
              <w:t>0.505</w:t>
            </w:r>
          </w:p>
        </w:tc>
        <w:tc>
          <w:tcPr>
            <w:tcW w:w="1296" w:type="dxa"/>
            <w:tcBorders>
              <w:top w:val="nil"/>
              <w:left w:val="nil"/>
              <w:bottom w:val="nil"/>
              <w:right w:val="nil"/>
            </w:tcBorders>
            <w:shd w:val="clear" w:color="auto" w:fill="auto"/>
            <w:noWrap/>
            <w:hideMark/>
          </w:tcPr>
          <w:p w14:paraId="4F9F5519" w14:textId="77777777" w:rsidR="007C5B19" w:rsidRPr="00806B7F" w:rsidRDefault="007C5B19" w:rsidP="00A369A1">
            <w:pPr>
              <w:jc w:val="center"/>
              <w:rPr>
                <w:rFonts w:ascii="Arial" w:hAnsi="Arial" w:cs="Arial"/>
                <w:sz w:val="20"/>
              </w:rPr>
            </w:pPr>
            <w:r w:rsidRPr="00806B7F">
              <w:rPr>
                <w:rFonts w:ascii="Arial" w:hAnsi="Arial" w:cs="Arial"/>
                <w:sz w:val="20"/>
              </w:rPr>
              <w:t>0.517</w:t>
            </w:r>
          </w:p>
        </w:tc>
        <w:tc>
          <w:tcPr>
            <w:tcW w:w="1117" w:type="dxa"/>
            <w:tcBorders>
              <w:top w:val="nil"/>
              <w:left w:val="nil"/>
              <w:bottom w:val="nil"/>
              <w:right w:val="nil"/>
            </w:tcBorders>
            <w:shd w:val="clear" w:color="auto" w:fill="auto"/>
            <w:noWrap/>
            <w:hideMark/>
          </w:tcPr>
          <w:p w14:paraId="2E907A86" w14:textId="77777777" w:rsidR="007C5B19" w:rsidRPr="00806B7F" w:rsidRDefault="007C5B19" w:rsidP="00A369A1">
            <w:pPr>
              <w:jc w:val="center"/>
              <w:rPr>
                <w:rFonts w:ascii="Arial" w:hAnsi="Arial" w:cs="Arial"/>
                <w:sz w:val="20"/>
              </w:rPr>
            </w:pPr>
            <w:r w:rsidRPr="00806B7F">
              <w:rPr>
                <w:rFonts w:ascii="Arial" w:hAnsi="Arial" w:cs="Arial"/>
                <w:sz w:val="20"/>
              </w:rPr>
              <w:t>0.530</w:t>
            </w:r>
          </w:p>
        </w:tc>
        <w:tc>
          <w:tcPr>
            <w:tcW w:w="1117" w:type="dxa"/>
            <w:tcBorders>
              <w:top w:val="nil"/>
              <w:left w:val="nil"/>
              <w:bottom w:val="nil"/>
              <w:right w:val="nil"/>
            </w:tcBorders>
            <w:shd w:val="clear" w:color="auto" w:fill="auto"/>
            <w:noWrap/>
            <w:hideMark/>
          </w:tcPr>
          <w:p w14:paraId="77B9235E" w14:textId="77777777" w:rsidR="007C5B19" w:rsidRPr="00806B7F" w:rsidRDefault="007C5B19" w:rsidP="00A369A1">
            <w:pPr>
              <w:jc w:val="center"/>
              <w:rPr>
                <w:rFonts w:ascii="Arial" w:hAnsi="Arial" w:cs="Arial"/>
                <w:sz w:val="20"/>
              </w:rPr>
            </w:pPr>
            <w:r w:rsidRPr="00806B7F">
              <w:rPr>
                <w:rFonts w:ascii="Arial" w:hAnsi="Arial" w:cs="Arial"/>
                <w:sz w:val="20"/>
              </w:rPr>
              <w:t>0.543</w:t>
            </w:r>
          </w:p>
        </w:tc>
        <w:tc>
          <w:tcPr>
            <w:tcW w:w="1117" w:type="dxa"/>
            <w:tcBorders>
              <w:top w:val="nil"/>
              <w:left w:val="nil"/>
              <w:bottom w:val="nil"/>
              <w:right w:val="nil"/>
            </w:tcBorders>
            <w:shd w:val="clear" w:color="auto" w:fill="auto"/>
            <w:noWrap/>
            <w:hideMark/>
          </w:tcPr>
          <w:p w14:paraId="148ED24D" w14:textId="77777777" w:rsidR="007C5B19" w:rsidRPr="00806B7F" w:rsidRDefault="007C5B19" w:rsidP="00A369A1">
            <w:pPr>
              <w:jc w:val="center"/>
              <w:rPr>
                <w:rFonts w:ascii="Arial" w:hAnsi="Arial" w:cs="Arial"/>
                <w:sz w:val="20"/>
              </w:rPr>
            </w:pPr>
            <w:r w:rsidRPr="00806B7F">
              <w:rPr>
                <w:rFonts w:ascii="Arial" w:hAnsi="Arial" w:cs="Arial"/>
                <w:sz w:val="20"/>
              </w:rPr>
              <w:t>0.557</w:t>
            </w:r>
          </w:p>
        </w:tc>
      </w:tr>
      <w:tr w:rsidR="007C5B19" w:rsidRPr="00806B7F" w14:paraId="366AC59B" w14:textId="77777777" w:rsidTr="00A369A1">
        <w:trPr>
          <w:trHeight w:val="255"/>
        </w:trPr>
        <w:tc>
          <w:tcPr>
            <w:tcW w:w="3196" w:type="dxa"/>
            <w:tcBorders>
              <w:top w:val="nil"/>
              <w:left w:val="nil"/>
              <w:bottom w:val="nil"/>
              <w:right w:val="nil"/>
            </w:tcBorders>
            <w:shd w:val="clear" w:color="auto" w:fill="auto"/>
            <w:noWrap/>
            <w:hideMark/>
          </w:tcPr>
          <w:p w14:paraId="4DDF6731" w14:textId="77777777" w:rsidR="007C5B19" w:rsidRPr="00806B7F" w:rsidRDefault="007C5B19" w:rsidP="00A369A1">
            <w:pPr>
              <w:rPr>
                <w:rFonts w:ascii="Arial" w:hAnsi="Arial" w:cs="Arial"/>
                <w:sz w:val="20"/>
              </w:rPr>
            </w:pPr>
            <w:r w:rsidRPr="00806B7F">
              <w:rPr>
                <w:rFonts w:ascii="Arial" w:hAnsi="Arial" w:cs="Arial"/>
                <w:sz w:val="20"/>
              </w:rPr>
              <w:t xml:space="preserve"> insurance </w:t>
            </w:r>
          </w:p>
        </w:tc>
        <w:tc>
          <w:tcPr>
            <w:tcW w:w="1117" w:type="dxa"/>
            <w:tcBorders>
              <w:top w:val="nil"/>
              <w:left w:val="nil"/>
              <w:bottom w:val="nil"/>
              <w:right w:val="nil"/>
            </w:tcBorders>
            <w:shd w:val="clear" w:color="auto" w:fill="auto"/>
            <w:noWrap/>
            <w:hideMark/>
          </w:tcPr>
          <w:p w14:paraId="0E86A5A2" w14:textId="77777777" w:rsidR="007C5B19" w:rsidRPr="00806B7F" w:rsidRDefault="007C5B19" w:rsidP="00A369A1">
            <w:pPr>
              <w:jc w:val="center"/>
              <w:rPr>
                <w:rFonts w:ascii="Arial" w:hAnsi="Arial" w:cs="Arial"/>
                <w:sz w:val="20"/>
              </w:rPr>
            </w:pPr>
            <w:r w:rsidRPr="00806B7F">
              <w:rPr>
                <w:rFonts w:ascii="Arial" w:hAnsi="Arial" w:cs="Arial"/>
                <w:sz w:val="20"/>
              </w:rPr>
              <w:t>0.280</w:t>
            </w:r>
          </w:p>
        </w:tc>
        <w:tc>
          <w:tcPr>
            <w:tcW w:w="1296" w:type="dxa"/>
            <w:tcBorders>
              <w:top w:val="nil"/>
              <w:left w:val="nil"/>
              <w:bottom w:val="nil"/>
              <w:right w:val="nil"/>
            </w:tcBorders>
            <w:shd w:val="clear" w:color="auto" w:fill="auto"/>
            <w:noWrap/>
            <w:hideMark/>
          </w:tcPr>
          <w:p w14:paraId="5E8D01BB" w14:textId="77777777" w:rsidR="007C5B19" w:rsidRPr="00806B7F" w:rsidRDefault="007C5B19" w:rsidP="00A369A1">
            <w:pPr>
              <w:jc w:val="center"/>
              <w:rPr>
                <w:rFonts w:ascii="Arial" w:hAnsi="Arial" w:cs="Arial"/>
                <w:sz w:val="20"/>
              </w:rPr>
            </w:pPr>
            <w:r w:rsidRPr="00806B7F">
              <w:rPr>
                <w:rFonts w:ascii="Arial" w:hAnsi="Arial" w:cs="Arial"/>
                <w:sz w:val="20"/>
              </w:rPr>
              <w:t>0.285</w:t>
            </w:r>
          </w:p>
        </w:tc>
        <w:tc>
          <w:tcPr>
            <w:tcW w:w="1117" w:type="dxa"/>
            <w:tcBorders>
              <w:top w:val="nil"/>
              <w:left w:val="nil"/>
              <w:bottom w:val="nil"/>
              <w:right w:val="nil"/>
            </w:tcBorders>
            <w:shd w:val="clear" w:color="auto" w:fill="auto"/>
            <w:noWrap/>
            <w:hideMark/>
          </w:tcPr>
          <w:p w14:paraId="62884084" w14:textId="77777777" w:rsidR="007C5B19" w:rsidRPr="00806B7F" w:rsidRDefault="007C5B19" w:rsidP="00A369A1">
            <w:pPr>
              <w:jc w:val="center"/>
              <w:rPr>
                <w:rFonts w:ascii="Arial" w:hAnsi="Arial" w:cs="Arial"/>
                <w:sz w:val="20"/>
              </w:rPr>
            </w:pPr>
            <w:r w:rsidRPr="00806B7F">
              <w:rPr>
                <w:rFonts w:ascii="Arial" w:hAnsi="Arial" w:cs="Arial"/>
                <w:sz w:val="20"/>
              </w:rPr>
              <w:t>0.291</w:t>
            </w:r>
          </w:p>
        </w:tc>
        <w:tc>
          <w:tcPr>
            <w:tcW w:w="1117" w:type="dxa"/>
            <w:tcBorders>
              <w:top w:val="nil"/>
              <w:left w:val="nil"/>
              <w:bottom w:val="nil"/>
              <w:right w:val="nil"/>
            </w:tcBorders>
            <w:shd w:val="clear" w:color="auto" w:fill="auto"/>
            <w:noWrap/>
            <w:hideMark/>
          </w:tcPr>
          <w:p w14:paraId="20200323" w14:textId="77777777" w:rsidR="007C5B19" w:rsidRPr="00806B7F" w:rsidRDefault="007C5B19" w:rsidP="00A369A1">
            <w:pPr>
              <w:jc w:val="center"/>
              <w:rPr>
                <w:rFonts w:ascii="Arial" w:hAnsi="Arial" w:cs="Arial"/>
                <w:sz w:val="20"/>
              </w:rPr>
            </w:pPr>
            <w:r w:rsidRPr="00806B7F">
              <w:rPr>
                <w:rFonts w:ascii="Arial" w:hAnsi="Arial" w:cs="Arial"/>
                <w:sz w:val="20"/>
              </w:rPr>
              <w:t>0.297</w:t>
            </w:r>
          </w:p>
        </w:tc>
        <w:tc>
          <w:tcPr>
            <w:tcW w:w="1117" w:type="dxa"/>
            <w:tcBorders>
              <w:top w:val="nil"/>
              <w:left w:val="nil"/>
              <w:bottom w:val="nil"/>
              <w:right w:val="nil"/>
            </w:tcBorders>
            <w:shd w:val="clear" w:color="auto" w:fill="auto"/>
            <w:noWrap/>
            <w:hideMark/>
          </w:tcPr>
          <w:p w14:paraId="072520DF" w14:textId="77777777" w:rsidR="007C5B19" w:rsidRPr="00806B7F" w:rsidRDefault="007C5B19" w:rsidP="00A369A1">
            <w:pPr>
              <w:jc w:val="center"/>
              <w:rPr>
                <w:rFonts w:ascii="Arial" w:hAnsi="Arial" w:cs="Arial"/>
                <w:sz w:val="20"/>
              </w:rPr>
            </w:pPr>
            <w:r w:rsidRPr="00806B7F">
              <w:rPr>
                <w:rFonts w:ascii="Arial" w:hAnsi="Arial" w:cs="Arial"/>
                <w:sz w:val="20"/>
              </w:rPr>
              <w:t>0.303</w:t>
            </w:r>
          </w:p>
        </w:tc>
      </w:tr>
      <w:tr w:rsidR="007C5B19" w:rsidRPr="00806B7F" w14:paraId="5FCB8C5A" w14:textId="77777777" w:rsidTr="00A369A1">
        <w:trPr>
          <w:trHeight w:val="255"/>
        </w:trPr>
        <w:tc>
          <w:tcPr>
            <w:tcW w:w="3196" w:type="dxa"/>
            <w:tcBorders>
              <w:top w:val="nil"/>
              <w:left w:val="nil"/>
              <w:bottom w:val="nil"/>
              <w:right w:val="nil"/>
            </w:tcBorders>
            <w:shd w:val="clear" w:color="auto" w:fill="auto"/>
            <w:noWrap/>
            <w:hideMark/>
          </w:tcPr>
          <w:p w14:paraId="392BA6CC" w14:textId="77777777" w:rsidR="007C5B19" w:rsidRPr="00806B7F" w:rsidRDefault="007C5B19" w:rsidP="00A369A1">
            <w:pPr>
              <w:rPr>
                <w:rFonts w:ascii="Arial" w:hAnsi="Arial" w:cs="Arial"/>
                <w:sz w:val="20"/>
              </w:rPr>
            </w:pPr>
            <w:r w:rsidRPr="00806B7F">
              <w:rPr>
                <w:rFonts w:ascii="Arial" w:hAnsi="Arial" w:cs="Arial"/>
                <w:sz w:val="20"/>
              </w:rPr>
              <w:t xml:space="preserve"> Members Expenses </w:t>
            </w:r>
          </w:p>
        </w:tc>
        <w:tc>
          <w:tcPr>
            <w:tcW w:w="1117" w:type="dxa"/>
            <w:tcBorders>
              <w:top w:val="nil"/>
              <w:left w:val="nil"/>
              <w:bottom w:val="nil"/>
              <w:right w:val="nil"/>
            </w:tcBorders>
            <w:shd w:val="clear" w:color="auto" w:fill="auto"/>
            <w:noWrap/>
            <w:hideMark/>
          </w:tcPr>
          <w:p w14:paraId="5AAAB1A1" w14:textId="77777777" w:rsidR="007C5B19" w:rsidRPr="00806B7F" w:rsidRDefault="007C5B19" w:rsidP="00A369A1">
            <w:pPr>
              <w:jc w:val="center"/>
              <w:rPr>
                <w:rFonts w:ascii="Arial" w:hAnsi="Arial" w:cs="Arial"/>
                <w:sz w:val="20"/>
              </w:rPr>
            </w:pPr>
            <w:r w:rsidRPr="00806B7F">
              <w:rPr>
                <w:rFonts w:ascii="Arial" w:hAnsi="Arial" w:cs="Arial"/>
                <w:sz w:val="20"/>
              </w:rPr>
              <w:t>0.193</w:t>
            </w:r>
          </w:p>
        </w:tc>
        <w:tc>
          <w:tcPr>
            <w:tcW w:w="1296" w:type="dxa"/>
            <w:tcBorders>
              <w:top w:val="nil"/>
              <w:left w:val="nil"/>
              <w:bottom w:val="nil"/>
              <w:right w:val="nil"/>
            </w:tcBorders>
            <w:shd w:val="clear" w:color="auto" w:fill="auto"/>
            <w:noWrap/>
            <w:hideMark/>
          </w:tcPr>
          <w:p w14:paraId="616D5F4D" w14:textId="77777777" w:rsidR="007C5B19" w:rsidRPr="00806B7F" w:rsidRDefault="007C5B19" w:rsidP="00A369A1">
            <w:pPr>
              <w:jc w:val="center"/>
              <w:rPr>
                <w:rFonts w:ascii="Arial" w:hAnsi="Arial" w:cs="Arial"/>
                <w:sz w:val="20"/>
              </w:rPr>
            </w:pPr>
            <w:r w:rsidRPr="00806B7F">
              <w:rPr>
                <w:rFonts w:ascii="Arial" w:hAnsi="Arial" w:cs="Arial"/>
                <w:sz w:val="20"/>
              </w:rPr>
              <w:t>0.197</w:t>
            </w:r>
          </w:p>
        </w:tc>
        <w:tc>
          <w:tcPr>
            <w:tcW w:w="1117" w:type="dxa"/>
            <w:tcBorders>
              <w:top w:val="nil"/>
              <w:left w:val="nil"/>
              <w:bottom w:val="nil"/>
              <w:right w:val="nil"/>
            </w:tcBorders>
            <w:shd w:val="clear" w:color="auto" w:fill="auto"/>
            <w:noWrap/>
            <w:hideMark/>
          </w:tcPr>
          <w:p w14:paraId="3BEE09CE" w14:textId="77777777" w:rsidR="007C5B19" w:rsidRPr="00806B7F" w:rsidRDefault="007C5B19" w:rsidP="00A369A1">
            <w:pPr>
              <w:jc w:val="center"/>
              <w:rPr>
                <w:rFonts w:ascii="Arial" w:hAnsi="Arial" w:cs="Arial"/>
                <w:sz w:val="20"/>
              </w:rPr>
            </w:pPr>
            <w:r w:rsidRPr="00806B7F">
              <w:rPr>
                <w:rFonts w:ascii="Arial" w:hAnsi="Arial" w:cs="Arial"/>
                <w:sz w:val="20"/>
              </w:rPr>
              <w:t>0.202</w:t>
            </w:r>
          </w:p>
        </w:tc>
        <w:tc>
          <w:tcPr>
            <w:tcW w:w="1117" w:type="dxa"/>
            <w:tcBorders>
              <w:top w:val="nil"/>
              <w:left w:val="nil"/>
              <w:bottom w:val="nil"/>
              <w:right w:val="nil"/>
            </w:tcBorders>
            <w:shd w:val="clear" w:color="auto" w:fill="auto"/>
            <w:noWrap/>
            <w:hideMark/>
          </w:tcPr>
          <w:p w14:paraId="35FAEED7" w14:textId="77777777" w:rsidR="007C5B19" w:rsidRPr="00806B7F" w:rsidRDefault="007C5B19" w:rsidP="00A369A1">
            <w:pPr>
              <w:jc w:val="center"/>
              <w:rPr>
                <w:rFonts w:ascii="Arial" w:hAnsi="Arial" w:cs="Arial"/>
                <w:sz w:val="20"/>
              </w:rPr>
            </w:pPr>
            <w:r w:rsidRPr="00806B7F">
              <w:rPr>
                <w:rFonts w:ascii="Arial" w:hAnsi="Arial" w:cs="Arial"/>
                <w:sz w:val="20"/>
              </w:rPr>
              <w:t>0.207</w:t>
            </w:r>
          </w:p>
        </w:tc>
        <w:tc>
          <w:tcPr>
            <w:tcW w:w="1117" w:type="dxa"/>
            <w:tcBorders>
              <w:top w:val="nil"/>
              <w:left w:val="nil"/>
              <w:bottom w:val="nil"/>
              <w:right w:val="nil"/>
            </w:tcBorders>
            <w:shd w:val="clear" w:color="auto" w:fill="auto"/>
            <w:noWrap/>
            <w:hideMark/>
          </w:tcPr>
          <w:p w14:paraId="76A9811F" w14:textId="77777777" w:rsidR="007C5B19" w:rsidRPr="00806B7F" w:rsidRDefault="007C5B19" w:rsidP="00A369A1">
            <w:pPr>
              <w:jc w:val="center"/>
              <w:rPr>
                <w:rFonts w:ascii="Arial" w:hAnsi="Arial" w:cs="Arial"/>
                <w:sz w:val="20"/>
              </w:rPr>
            </w:pPr>
            <w:r w:rsidRPr="00806B7F">
              <w:rPr>
                <w:rFonts w:ascii="Arial" w:hAnsi="Arial" w:cs="Arial"/>
                <w:sz w:val="20"/>
              </w:rPr>
              <w:t>0.212</w:t>
            </w:r>
          </w:p>
        </w:tc>
      </w:tr>
      <w:tr w:rsidR="007C5B19" w:rsidRPr="00806B7F" w14:paraId="7C8E842B" w14:textId="77777777" w:rsidTr="00A369A1">
        <w:trPr>
          <w:trHeight w:val="255"/>
        </w:trPr>
        <w:tc>
          <w:tcPr>
            <w:tcW w:w="3196" w:type="dxa"/>
            <w:tcBorders>
              <w:top w:val="nil"/>
              <w:left w:val="nil"/>
              <w:bottom w:val="nil"/>
              <w:right w:val="nil"/>
            </w:tcBorders>
            <w:shd w:val="clear" w:color="auto" w:fill="auto"/>
            <w:noWrap/>
            <w:hideMark/>
          </w:tcPr>
          <w:p w14:paraId="1ED44FE9" w14:textId="77777777" w:rsidR="007C5B19" w:rsidRPr="00806B7F" w:rsidRDefault="007C5B19" w:rsidP="00A369A1">
            <w:pPr>
              <w:rPr>
                <w:rFonts w:ascii="Arial" w:hAnsi="Arial" w:cs="Arial"/>
                <w:sz w:val="20"/>
              </w:rPr>
            </w:pPr>
            <w:r w:rsidRPr="00806B7F">
              <w:rPr>
                <w:rFonts w:ascii="Arial" w:hAnsi="Arial" w:cs="Arial"/>
                <w:sz w:val="20"/>
              </w:rPr>
              <w:t xml:space="preserve"> Misc Equipment </w:t>
            </w:r>
          </w:p>
        </w:tc>
        <w:tc>
          <w:tcPr>
            <w:tcW w:w="1117" w:type="dxa"/>
            <w:tcBorders>
              <w:top w:val="nil"/>
              <w:left w:val="nil"/>
              <w:bottom w:val="nil"/>
              <w:right w:val="nil"/>
            </w:tcBorders>
            <w:shd w:val="clear" w:color="auto" w:fill="auto"/>
            <w:noWrap/>
            <w:hideMark/>
          </w:tcPr>
          <w:p w14:paraId="520A50BF" w14:textId="77777777" w:rsidR="007C5B19" w:rsidRPr="00806B7F" w:rsidRDefault="007C5B19" w:rsidP="00A369A1">
            <w:pPr>
              <w:jc w:val="center"/>
              <w:rPr>
                <w:rFonts w:ascii="Arial" w:hAnsi="Arial" w:cs="Arial"/>
                <w:sz w:val="20"/>
              </w:rPr>
            </w:pPr>
            <w:r w:rsidRPr="00806B7F">
              <w:rPr>
                <w:rFonts w:ascii="Arial" w:hAnsi="Arial" w:cs="Arial"/>
                <w:sz w:val="20"/>
              </w:rPr>
              <w:t>0.099</w:t>
            </w:r>
          </w:p>
        </w:tc>
        <w:tc>
          <w:tcPr>
            <w:tcW w:w="1296" w:type="dxa"/>
            <w:tcBorders>
              <w:top w:val="nil"/>
              <w:left w:val="nil"/>
              <w:bottom w:val="nil"/>
              <w:right w:val="nil"/>
            </w:tcBorders>
            <w:shd w:val="clear" w:color="auto" w:fill="auto"/>
            <w:noWrap/>
            <w:hideMark/>
          </w:tcPr>
          <w:p w14:paraId="70C88494" w14:textId="77777777" w:rsidR="007C5B19" w:rsidRPr="00806B7F" w:rsidRDefault="007C5B19" w:rsidP="00A369A1">
            <w:pPr>
              <w:jc w:val="center"/>
              <w:rPr>
                <w:rFonts w:ascii="Arial" w:hAnsi="Arial" w:cs="Arial"/>
                <w:sz w:val="20"/>
              </w:rPr>
            </w:pPr>
            <w:r w:rsidRPr="00806B7F">
              <w:rPr>
                <w:rFonts w:ascii="Arial" w:hAnsi="Arial" w:cs="Arial"/>
                <w:sz w:val="20"/>
              </w:rPr>
              <w:t>0.101</w:t>
            </w:r>
          </w:p>
        </w:tc>
        <w:tc>
          <w:tcPr>
            <w:tcW w:w="1117" w:type="dxa"/>
            <w:tcBorders>
              <w:top w:val="nil"/>
              <w:left w:val="nil"/>
              <w:bottom w:val="nil"/>
              <w:right w:val="nil"/>
            </w:tcBorders>
            <w:shd w:val="clear" w:color="auto" w:fill="auto"/>
            <w:noWrap/>
            <w:hideMark/>
          </w:tcPr>
          <w:p w14:paraId="57930FC2" w14:textId="77777777" w:rsidR="007C5B19" w:rsidRPr="00806B7F" w:rsidRDefault="007C5B19" w:rsidP="00A369A1">
            <w:pPr>
              <w:jc w:val="center"/>
              <w:rPr>
                <w:rFonts w:ascii="Arial" w:hAnsi="Arial" w:cs="Arial"/>
                <w:sz w:val="20"/>
              </w:rPr>
            </w:pPr>
            <w:r w:rsidRPr="00806B7F">
              <w:rPr>
                <w:rFonts w:ascii="Arial" w:hAnsi="Arial" w:cs="Arial"/>
                <w:sz w:val="20"/>
              </w:rPr>
              <w:t>0.104</w:t>
            </w:r>
          </w:p>
        </w:tc>
        <w:tc>
          <w:tcPr>
            <w:tcW w:w="1117" w:type="dxa"/>
            <w:tcBorders>
              <w:top w:val="nil"/>
              <w:left w:val="nil"/>
              <w:bottom w:val="nil"/>
              <w:right w:val="nil"/>
            </w:tcBorders>
            <w:shd w:val="clear" w:color="auto" w:fill="auto"/>
            <w:noWrap/>
            <w:hideMark/>
          </w:tcPr>
          <w:p w14:paraId="3FD07831" w14:textId="77777777" w:rsidR="007C5B19" w:rsidRPr="00806B7F" w:rsidRDefault="007C5B19" w:rsidP="00A369A1">
            <w:pPr>
              <w:jc w:val="center"/>
              <w:rPr>
                <w:rFonts w:ascii="Arial" w:hAnsi="Arial" w:cs="Arial"/>
                <w:sz w:val="20"/>
              </w:rPr>
            </w:pPr>
            <w:r w:rsidRPr="00806B7F">
              <w:rPr>
                <w:rFonts w:ascii="Arial" w:hAnsi="Arial" w:cs="Arial"/>
                <w:sz w:val="20"/>
              </w:rPr>
              <w:t>0.106</w:t>
            </w:r>
          </w:p>
        </w:tc>
        <w:tc>
          <w:tcPr>
            <w:tcW w:w="1117" w:type="dxa"/>
            <w:tcBorders>
              <w:top w:val="nil"/>
              <w:left w:val="nil"/>
              <w:bottom w:val="nil"/>
              <w:right w:val="nil"/>
            </w:tcBorders>
            <w:shd w:val="clear" w:color="auto" w:fill="auto"/>
            <w:noWrap/>
            <w:hideMark/>
          </w:tcPr>
          <w:p w14:paraId="3B9FCD29" w14:textId="77777777" w:rsidR="007C5B19" w:rsidRPr="00806B7F" w:rsidRDefault="007C5B19" w:rsidP="00A369A1">
            <w:pPr>
              <w:jc w:val="center"/>
              <w:rPr>
                <w:rFonts w:ascii="Arial" w:hAnsi="Arial" w:cs="Arial"/>
                <w:sz w:val="20"/>
              </w:rPr>
            </w:pPr>
            <w:r w:rsidRPr="00806B7F">
              <w:rPr>
                <w:rFonts w:ascii="Arial" w:hAnsi="Arial" w:cs="Arial"/>
                <w:sz w:val="20"/>
              </w:rPr>
              <w:t>0.109</w:t>
            </w:r>
          </w:p>
        </w:tc>
      </w:tr>
      <w:tr w:rsidR="007C5B19" w:rsidRPr="00806B7F" w14:paraId="23415350" w14:textId="77777777" w:rsidTr="00A369A1">
        <w:trPr>
          <w:trHeight w:val="255"/>
        </w:trPr>
        <w:tc>
          <w:tcPr>
            <w:tcW w:w="3196" w:type="dxa"/>
            <w:tcBorders>
              <w:top w:val="nil"/>
              <w:left w:val="nil"/>
              <w:bottom w:val="nil"/>
              <w:right w:val="nil"/>
            </w:tcBorders>
            <w:shd w:val="clear" w:color="auto" w:fill="auto"/>
            <w:noWrap/>
            <w:hideMark/>
          </w:tcPr>
          <w:p w14:paraId="02716381" w14:textId="77777777" w:rsidR="007C5B19" w:rsidRPr="00806B7F" w:rsidRDefault="007C5B19" w:rsidP="00A369A1">
            <w:pPr>
              <w:rPr>
                <w:rFonts w:ascii="Arial" w:hAnsi="Arial" w:cs="Arial"/>
                <w:sz w:val="20"/>
              </w:rPr>
            </w:pPr>
            <w:r w:rsidRPr="00806B7F">
              <w:rPr>
                <w:rFonts w:ascii="Arial" w:hAnsi="Arial" w:cs="Arial"/>
                <w:sz w:val="20"/>
              </w:rPr>
              <w:t xml:space="preserve"> Other </w:t>
            </w:r>
          </w:p>
        </w:tc>
        <w:tc>
          <w:tcPr>
            <w:tcW w:w="1117" w:type="dxa"/>
            <w:tcBorders>
              <w:top w:val="nil"/>
              <w:left w:val="nil"/>
              <w:bottom w:val="nil"/>
              <w:right w:val="nil"/>
            </w:tcBorders>
            <w:shd w:val="clear" w:color="auto" w:fill="auto"/>
            <w:noWrap/>
            <w:hideMark/>
          </w:tcPr>
          <w:p w14:paraId="53030555" w14:textId="77777777" w:rsidR="007C5B19" w:rsidRPr="00806B7F" w:rsidRDefault="007C5B19" w:rsidP="00A369A1">
            <w:pPr>
              <w:jc w:val="center"/>
              <w:rPr>
                <w:rFonts w:ascii="Arial" w:hAnsi="Arial" w:cs="Arial"/>
                <w:sz w:val="20"/>
              </w:rPr>
            </w:pPr>
            <w:r w:rsidRPr="00806B7F">
              <w:rPr>
                <w:rFonts w:ascii="Arial" w:hAnsi="Arial" w:cs="Arial"/>
                <w:sz w:val="20"/>
              </w:rPr>
              <w:t>1.401</w:t>
            </w:r>
          </w:p>
        </w:tc>
        <w:tc>
          <w:tcPr>
            <w:tcW w:w="1296" w:type="dxa"/>
            <w:tcBorders>
              <w:top w:val="nil"/>
              <w:left w:val="nil"/>
              <w:bottom w:val="nil"/>
              <w:right w:val="nil"/>
            </w:tcBorders>
            <w:shd w:val="clear" w:color="auto" w:fill="auto"/>
            <w:noWrap/>
            <w:hideMark/>
          </w:tcPr>
          <w:p w14:paraId="35F073EF" w14:textId="77777777" w:rsidR="007C5B19" w:rsidRPr="00806B7F" w:rsidRDefault="007C5B19" w:rsidP="00A369A1">
            <w:pPr>
              <w:jc w:val="center"/>
              <w:rPr>
                <w:rFonts w:ascii="Arial" w:hAnsi="Arial" w:cs="Arial"/>
                <w:sz w:val="20"/>
              </w:rPr>
            </w:pPr>
            <w:r w:rsidRPr="00806B7F">
              <w:rPr>
                <w:rFonts w:ascii="Arial" w:hAnsi="Arial" w:cs="Arial"/>
                <w:sz w:val="20"/>
              </w:rPr>
              <w:t>1.590</w:t>
            </w:r>
          </w:p>
        </w:tc>
        <w:tc>
          <w:tcPr>
            <w:tcW w:w="1117" w:type="dxa"/>
            <w:tcBorders>
              <w:top w:val="nil"/>
              <w:left w:val="nil"/>
              <w:bottom w:val="nil"/>
              <w:right w:val="nil"/>
            </w:tcBorders>
            <w:shd w:val="clear" w:color="auto" w:fill="auto"/>
            <w:noWrap/>
            <w:hideMark/>
          </w:tcPr>
          <w:p w14:paraId="649C7170" w14:textId="77777777" w:rsidR="007C5B19" w:rsidRPr="00806B7F" w:rsidRDefault="007C5B19" w:rsidP="00A369A1">
            <w:pPr>
              <w:jc w:val="center"/>
              <w:rPr>
                <w:rFonts w:ascii="Arial" w:hAnsi="Arial" w:cs="Arial"/>
                <w:sz w:val="20"/>
              </w:rPr>
            </w:pPr>
            <w:r w:rsidRPr="00806B7F">
              <w:rPr>
                <w:rFonts w:ascii="Arial" w:hAnsi="Arial" w:cs="Arial"/>
                <w:sz w:val="20"/>
              </w:rPr>
              <w:t>1.777</w:t>
            </w:r>
          </w:p>
        </w:tc>
        <w:tc>
          <w:tcPr>
            <w:tcW w:w="1117" w:type="dxa"/>
            <w:tcBorders>
              <w:top w:val="nil"/>
              <w:left w:val="nil"/>
              <w:bottom w:val="nil"/>
              <w:right w:val="nil"/>
            </w:tcBorders>
            <w:shd w:val="clear" w:color="auto" w:fill="auto"/>
            <w:noWrap/>
            <w:hideMark/>
          </w:tcPr>
          <w:p w14:paraId="60B8B8D1" w14:textId="77777777" w:rsidR="007C5B19" w:rsidRPr="00806B7F" w:rsidRDefault="007C5B19" w:rsidP="00A369A1">
            <w:pPr>
              <w:jc w:val="center"/>
              <w:rPr>
                <w:rFonts w:ascii="Arial" w:hAnsi="Arial" w:cs="Arial"/>
                <w:sz w:val="20"/>
              </w:rPr>
            </w:pPr>
            <w:r w:rsidRPr="00806B7F">
              <w:rPr>
                <w:rFonts w:ascii="Arial" w:hAnsi="Arial" w:cs="Arial"/>
                <w:sz w:val="20"/>
              </w:rPr>
              <w:t>2.055</w:t>
            </w:r>
          </w:p>
        </w:tc>
        <w:tc>
          <w:tcPr>
            <w:tcW w:w="1117" w:type="dxa"/>
            <w:tcBorders>
              <w:top w:val="nil"/>
              <w:left w:val="nil"/>
              <w:bottom w:val="nil"/>
              <w:right w:val="nil"/>
            </w:tcBorders>
            <w:shd w:val="clear" w:color="auto" w:fill="auto"/>
            <w:noWrap/>
            <w:hideMark/>
          </w:tcPr>
          <w:p w14:paraId="29970FAE" w14:textId="77777777" w:rsidR="007C5B19" w:rsidRPr="00806B7F" w:rsidRDefault="007C5B19" w:rsidP="00A369A1">
            <w:pPr>
              <w:jc w:val="center"/>
              <w:rPr>
                <w:rFonts w:ascii="Arial" w:hAnsi="Arial" w:cs="Arial"/>
                <w:sz w:val="20"/>
              </w:rPr>
            </w:pPr>
            <w:r w:rsidRPr="00806B7F">
              <w:rPr>
                <w:rFonts w:ascii="Arial" w:hAnsi="Arial" w:cs="Arial"/>
                <w:sz w:val="20"/>
              </w:rPr>
              <w:t>2.172</w:t>
            </w:r>
          </w:p>
        </w:tc>
      </w:tr>
      <w:tr w:rsidR="007C5B19" w:rsidRPr="00806B7F" w14:paraId="34A0DCF4" w14:textId="77777777" w:rsidTr="00A369A1">
        <w:trPr>
          <w:trHeight w:val="255"/>
        </w:trPr>
        <w:tc>
          <w:tcPr>
            <w:tcW w:w="3196" w:type="dxa"/>
            <w:tcBorders>
              <w:top w:val="nil"/>
              <w:left w:val="nil"/>
              <w:bottom w:val="nil"/>
              <w:right w:val="nil"/>
            </w:tcBorders>
            <w:shd w:val="clear" w:color="auto" w:fill="auto"/>
            <w:noWrap/>
            <w:hideMark/>
          </w:tcPr>
          <w:p w14:paraId="1C25FA62" w14:textId="77777777" w:rsidR="007C5B19" w:rsidRPr="00806B7F" w:rsidRDefault="007C5B19" w:rsidP="00A369A1">
            <w:pPr>
              <w:rPr>
                <w:rFonts w:ascii="Arial" w:hAnsi="Arial" w:cs="Arial"/>
                <w:sz w:val="20"/>
              </w:rPr>
            </w:pPr>
            <w:r w:rsidRPr="00806B7F">
              <w:rPr>
                <w:rFonts w:ascii="Arial" w:hAnsi="Arial" w:cs="Arial"/>
                <w:sz w:val="20"/>
              </w:rPr>
              <w:t xml:space="preserve"> Catering </w:t>
            </w:r>
          </w:p>
        </w:tc>
        <w:tc>
          <w:tcPr>
            <w:tcW w:w="1117" w:type="dxa"/>
            <w:tcBorders>
              <w:top w:val="nil"/>
              <w:left w:val="nil"/>
              <w:bottom w:val="nil"/>
              <w:right w:val="nil"/>
            </w:tcBorders>
            <w:shd w:val="clear" w:color="auto" w:fill="auto"/>
            <w:noWrap/>
            <w:hideMark/>
          </w:tcPr>
          <w:p w14:paraId="78033EAA" w14:textId="77777777" w:rsidR="007C5B19" w:rsidRPr="00806B7F" w:rsidRDefault="007C5B19" w:rsidP="00A369A1">
            <w:pPr>
              <w:jc w:val="center"/>
              <w:rPr>
                <w:rFonts w:ascii="Arial" w:hAnsi="Arial" w:cs="Arial"/>
                <w:sz w:val="20"/>
              </w:rPr>
            </w:pPr>
            <w:r w:rsidRPr="00806B7F">
              <w:rPr>
                <w:rFonts w:ascii="Arial" w:hAnsi="Arial" w:cs="Arial"/>
                <w:sz w:val="20"/>
              </w:rPr>
              <w:t>0.094</w:t>
            </w:r>
          </w:p>
        </w:tc>
        <w:tc>
          <w:tcPr>
            <w:tcW w:w="1296" w:type="dxa"/>
            <w:tcBorders>
              <w:top w:val="nil"/>
              <w:left w:val="nil"/>
              <w:bottom w:val="nil"/>
              <w:right w:val="nil"/>
            </w:tcBorders>
            <w:shd w:val="clear" w:color="auto" w:fill="auto"/>
            <w:noWrap/>
            <w:hideMark/>
          </w:tcPr>
          <w:p w14:paraId="2F880163" w14:textId="77777777" w:rsidR="007C5B19" w:rsidRPr="00806B7F" w:rsidRDefault="007C5B19" w:rsidP="00A369A1">
            <w:pPr>
              <w:jc w:val="center"/>
              <w:rPr>
                <w:rFonts w:ascii="Arial" w:hAnsi="Arial" w:cs="Arial"/>
                <w:sz w:val="20"/>
              </w:rPr>
            </w:pPr>
            <w:r w:rsidRPr="00806B7F">
              <w:rPr>
                <w:rFonts w:ascii="Arial" w:hAnsi="Arial" w:cs="Arial"/>
                <w:sz w:val="20"/>
              </w:rPr>
              <w:t>0.097</w:t>
            </w:r>
          </w:p>
        </w:tc>
        <w:tc>
          <w:tcPr>
            <w:tcW w:w="1117" w:type="dxa"/>
            <w:tcBorders>
              <w:top w:val="nil"/>
              <w:left w:val="nil"/>
              <w:bottom w:val="nil"/>
              <w:right w:val="nil"/>
            </w:tcBorders>
            <w:shd w:val="clear" w:color="auto" w:fill="auto"/>
            <w:noWrap/>
            <w:hideMark/>
          </w:tcPr>
          <w:p w14:paraId="0FA9EFBC" w14:textId="77777777" w:rsidR="007C5B19" w:rsidRPr="00806B7F" w:rsidRDefault="007C5B19" w:rsidP="00A369A1">
            <w:pPr>
              <w:jc w:val="center"/>
              <w:rPr>
                <w:rFonts w:ascii="Arial" w:hAnsi="Arial" w:cs="Arial"/>
                <w:sz w:val="20"/>
              </w:rPr>
            </w:pPr>
            <w:r w:rsidRPr="00806B7F">
              <w:rPr>
                <w:rFonts w:ascii="Arial" w:hAnsi="Arial" w:cs="Arial"/>
                <w:sz w:val="20"/>
              </w:rPr>
              <w:t>0.099</w:t>
            </w:r>
          </w:p>
        </w:tc>
        <w:tc>
          <w:tcPr>
            <w:tcW w:w="1117" w:type="dxa"/>
            <w:tcBorders>
              <w:top w:val="nil"/>
              <w:left w:val="nil"/>
              <w:bottom w:val="nil"/>
              <w:right w:val="nil"/>
            </w:tcBorders>
            <w:shd w:val="clear" w:color="auto" w:fill="auto"/>
            <w:noWrap/>
            <w:hideMark/>
          </w:tcPr>
          <w:p w14:paraId="055EBEB1" w14:textId="77777777" w:rsidR="007C5B19" w:rsidRPr="00806B7F" w:rsidRDefault="007C5B19" w:rsidP="00A369A1">
            <w:pPr>
              <w:jc w:val="center"/>
              <w:rPr>
                <w:rFonts w:ascii="Arial" w:hAnsi="Arial" w:cs="Arial"/>
                <w:sz w:val="20"/>
              </w:rPr>
            </w:pPr>
            <w:r w:rsidRPr="00806B7F">
              <w:rPr>
                <w:rFonts w:ascii="Arial" w:hAnsi="Arial" w:cs="Arial"/>
                <w:sz w:val="20"/>
              </w:rPr>
              <w:t>0.102</w:t>
            </w:r>
          </w:p>
        </w:tc>
        <w:tc>
          <w:tcPr>
            <w:tcW w:w="1117" w:type="dxa"/>
            <w:tcBorders>
              <w:top w:val="nil"/>
              <w:left w:val="nil"/>
              <w:bottom w:val="nil"/>
              <w:right w:val="nil"/>
            </w:tcBorders>
            <w:shd w:val="clear" w:color="auto" w:fill="auto"/>
            <w:noWrap/>
            <w:hideMark/>
          </w:tcPr>
          <w:p w14:paraId="1EC6330B" w14:textId="77777777" w:rsidR="007C5B19" w:rsidRPr="00806B7F" w:rsidRDefault="007C5B19" w:rsidP="00A369A1">
            <w:pPr>
              <w:jc w:val="center"/>
              <w:rPr>
                <w:rFonts w:ascii="Arial" w:hAnsi="Arial" w:cs="Arial"/>
                <w:sz w:val="20"/>
              </w:rPr>
            </w:pPr>
            <w:r w:rsidRPr="00806B7F">
              <w:rPr>
                <w:rFonts w:ascii="Arial" w:hAnsi="Arial" w:cs="Arial"/>
                <w:sz w:val="20"/>
              </w:rPr>
              <w:t>0.104</w:t>
            </w:r>
          </w:p>
        </w:tc>
      </w:tr>
      <w:tr w:rsidR="007C5B19" w:rsidRPr="00806B7F" w14:paraId="26072EF3" w14:textId="77777777" w:rsidTr="00A369A1">
        <w:trPr>
          <w:trHeight w:val="255"/>
        </w:trPr>
        <w:tc>
          <w:tcPr>
            <w:tcW w:w="3196" w:type="dxa"/>
            <w:tcBorders>
              <w:top w:val="nil"/>
              <w:left w:val="nil"/>
              <w:bottom w:val="nil"/>
              <w:right w:val="nil"/>
            </w:tcBorders>
            <w:shd w:val="clear" w:color="auto" w:fill="auto"/>
            <w:noWrap/>
            <w:hideMark/>
          </w:tcPr>
          <w:p w14:paraId="1A4939B6" w14:textId="77777777" w:rsidR="007C5B19" w:rsidRPr="00806B7F" w:rsidRDefault="007C5B19" w:rsidP="00A369A1">
            <w:pPr>
              <w:rPr>
                <w:rFonts w:ascii="Arial" w:hAnsi="Arial" w:cs="Arial"/>
                <w:sz w:val="20"/>
              </w:rPr>
            </w:pPr>
            <w:r w:rsidRPr="00806B7F">
              <w:rPr>
                <w:rFonts w:ascii="Arial" w:hAnsi="Arial" w:cs="Arial"/>
                <w:sz w:val="20"/>
              </w:rPr>
              <w:t xml:space="preserve"> PTV Residential </w:t>
            </w:r>
          </w:p>
        </w:tc>
        <w:tc>
          <w:tcPr>
            <w:tcW w:w="1117" w:type="dxa"/>
            <w:tcBorders>
              <w:top w:val="nil"/>
              <w:left w:val="nil"/>
              <w:bottom w:val="nil"/>
              <w:right w:val="nil"/>
            </w:tcBorders>
            <w:shd w:val="clear" w:color="auto" w:fill="auto"/>
            <w:noWrap/>
            <w:hideMark/>
          </w:tcPr>
          <w:p w14:paraId="0637B005" w14:textId="77777777" w:rsidR="007C5B19" w:rsidRPr="00806B7F" w:rsidRDefault="007C5B19" w:rsidP="00A369A1">
            <w:pPr>
              <w:jc w:val="center"/>
              <w:rPr>
                <w:rFonts w:ascii="Arial" w:hAnsi="Arial" w:cs="Arial"/>
                <w:sz w:val="20"/>
              </w:rPr>
            </w:pPr>
            <w:r w:rsidRPr="00806B7F">
              <w:rPr>
                <w:rFonts w:ascii="Arial" w:hAnsi="Arial" w:cs="Arial"/>
                <w:sz w:val="20"/>
              </w:rPr>
              <w:t>0.108</w:t>
            </w:r>
          </w:p>
        </w:tc>
        <w:tc>
          <w:tcPr>
            <w:tcW w:w="1296" w:type="dxa"/>
            <w:tcBorders>
              <w:top w:val="nil"/>
              <w:left w:val="nil"/>
              <w:bottom w:val="nil"/>
              <w:right w:val="nil"/>
            </w:tcBorders>
            <w:shd w:val="clear" w:color="auto" w:fill="auto"/>
            <w:noWrap/>
            <w:hideMark/>
          </w:tcPr>
          <w:p w14:paraId="21686C70" w14:textId="77777777" w:rsidR="007C5B19" w:rsidRPr="00806B7F" w:rsidRDefault="007C5B19" w:rsidP="00A369A1">
            <w:pPr>
              <w:jc w:val="center"/>
              <w:rPr>
                <w:rFonts w:ascii="Arial" w:hAnsi="Arial" w:cs="Arial"/>
                <w:sz w:val="20"/>
              </w:rPr>
            </w:pPr>
            <w:r w:rsidRPr="00806B7F">
              <w:rPr>
                <w:rFonts w:ascii="Arial" w:hAnsi="Arial" w:cs="Arial"/>
                <w:sz w:val="20"/>
              </w:rPr>
              <w:t>0.110</w:t>
            </w:r>
          </w:p>
        </w:tc>
        <w:tc>
          <w:tcPr>
            <w:tcW w:w="1117" w:type="dxa"/>
            <w:tcBorders>
              <w:top w:val="nil"/>
              <w:left w:val="nil"/>
              <w:bottom w:val="nil"/>
              <w:right w:val="nil"/>
            </w:tcBorders>
            <w:shd w:val="clear" w:color="auto" w:fill="auto"/>
            <w:noWrap/>
            <w:hideMark/>
          </w:tcPr>
          <w:p w14:paraId="3E14B624" w14:textId="77777777" w:rsidR="007C5B19" w:rsidRPr="00806B7F" w:rsidRDefault="007C5B19" w:rsidP="00A369A1">
            <w:pPr>
              <w:jc w:val="center"/>
              <w:rPr>
                <w:rFonts w:ascii="Arial" w:hAnsi="Arial" w:cs="Arial"/>
                <w:sz w:val="20"/>
              </w:rPr>
            </w:pPr>
            <w:r w:rsidRPr="00806B7F">
              <w:rPr>
                <w:rFonts w:ascii="Arial" w:hAnsi="Arial" w:cs="Arial"/>
                <w:sz w:val="20"/>
              </w:rPr>
              <w:t>0.113</w:t>
            </w:r>
          </w:p>
        </w:tc>
        <w:tc>
          <w:tcPr>
            <w:tcW w:w="1117" w:type="dxa"/>
            <w:tcBorders>
              <w:top w:val="nil"/>
              <w:left w:val="nil"/>
              <w:bottom w:val="nil"/>
              <w:right w:val="nil"/>
            </w:tcBorders>
            <w:shd w:val="clear" w:color="auto" w:fill="auto"/>
            <w:noWrap/>
            <w:hideMark/>
          </w:tcPr>
          <w:p w14:paraId="3B9C586C" w14:textId="77777777" w:rsidR="007C5B19" w:rsidRPr="00806B7F" w:rsidRDefault="007C5B19" w:rsidP="00A369A1">
            <w:pPr>
              <w:jc w:val="center"/>
              <w:rPr>
                <w:rFonts w:ascii="Arial" w:hAnsi="Arial" w:cs="Arial"/>
                <w:sz w:val="20"/>
              </w:rPr>
            </w:pPr>
            <w:r w:rsidRPr="00806B7F">
              <w:rPr>
                <w:rFonts w:ascii="Arial" w:hAnsi="Arial" w:cs="Arial"/>
                <w:sz w:val="20"/>
              </w:rPr>
              <w:t>0.116</w:t>
            </w:r>
          </w:p>
        </w:tc>
        <w:tc>
          <w:tcPr>
            <w:tcW w:w="1117" w:type="dxa"/>
            <w:tcBorders>
              <w:top w:val="nil"/>
              <w:left w:val="nil"/>
              <w:bottom w:val="nil"/>
              <w:right w:val="nil"/>
            </w:tcBorders>
            <w:shd w:val="clear" w:color="auto" w:fill="auto"/>
            <w:noWrap/>
            <w:hideMark/>
          </w:tcPr>
          <w:p w14:paraId="77F8FCCD" w14:textId="77777777" w:rsidR="007C5B19" w:rsidRPr="00806B7F" w:rsidRDefault="007C5B19" w:rsidP="00A369A1">
            <w:pPr>
              <w:jc w:val="center"/>
              <w:rPr>
                <w:rFonts w:ascii="Arial" w:hAnsi="Arial" w:cs="Arial"/>
                <w:sz w:val="20"/>
              </w:rPr>
            </w:pPr>
            <w:r w:rsidRPr="00806B7F">
              <w:rPr>
                <w:rFonts w:ascii="Arial" w:hAnsi="Arial" w:cs="Arial"/>
                <w:sz w:val="20"/>
              </w:rPr>
              <w:t>0.119</w:t>
            </w:r>
          </w:p>
        </w:tc>
      </w:tr>
      <w:tr w:rsidR="007C5B19" w:rsidRPr="00806B7F" w14:paraId="358D0F0D" w14:textId="77777777" w:rsidTr="00A369A1">
        <w:trPr>
          <w:trHeight w:val="255"/>
        </w:trPr>
        <w:tc>
          <w:tcPr>
            <w:tcW w:w="3196" w:type="dxa"/>
            <w:tcBorders>
              <w:top w:val="nil"/>
              <w:left w:val="nil"/>
              <w:bottom w:val="nil"/>
              <w:right w:val="nil"/>
            </w:tcBorders>
            <w:shd w:val="clear" w:color="auto" w:fill="auto"/>
            <w:noWrap/>
            <w:hideMark/>
          </w:tcPr>
          <w:p w14:paraId="7CA0D818" w14:textId="77777777" w:rsidR="007C5B19" w:rsidRPr="00806B7F" w:rsidRDefault="007C5B19" w:rsidP="00A369A1">
            <w:pPr>
              <w:jc w:val="right"/>
              <w:rPr>
                <w:rFonts w:ascii="Arial" w:hAnsi="Arial" w:cs="Arial"/>
                <w:sz w:val="20"/>
              </w:rPr>
            </w:pPr>
          </w:p>
        </w:tc>
        <w:tc>
          <w:tcPr>
            <w:tcW w:w="1117" w:type="dxa"/>
            <w:tcBorders>
              <w:top w:val="single" w:sz="4" w:space="0" w:color="auto"/>
              <w:left w:val="nil"/>
              <w:bottom w:val="single" w:sz="4" w:space="0" w:color="auto"/>
              <w:right w:val="nil"/>
            </w:tcBorders>
            <w:shd w:val="clear" w:color="auto" w:fill="auto"/>
            <w:noWrap/>
            <w:hideMark/>
          </w:tcPr>
          <w:p w14:paraId="418F1D49" w14:textId="77777777" w:rsidR="007C5B19" w:rsidRPr="00806B7F" w:rsidRDefault="007C5B19" w:rsidP="00A369A1">
            <w:pPr>
              <w:jc w:val="center"/>
              <w:rPr>
                <w:rFonts w:ascii="Arial" w:hAnsi="Arial" w:cs="Arial"/>
                <w:sz w:val="20"/>
              </w:rPr>
            </w:pPr>
            <w:r w:rsidRPr="00806B7F">
              <w:rPr>
                <w:rFonts w:ascii="Arial" w:hAnsi="Arial" w:cs="Arial"/>
                <w:sz w:val="20"/>
              </w:rPr>
              <w:t>8.074</w:t>
            </w:r>
          </w:p>
        </w:tc>
        <w:tc>
          <w:tcPr>
            <w:tcW w:w="1296" w:type="dxa"/>
            <w:tcBorders>
              <w:top w:val="single" w:sz="4" w:space="0" w:color="auto"/>
              <w:left w:val="nil"/>
              <w:bottom w:val="single" w:sz="4" w:space="0" w:color="auto"/>
              <w:right w:val="nil"/>
            </w:tcBorders>
            <w:shd w:val="clear" w:color="auto" w:fill="auto"/>
            <w:noWrap/>
            <w:hideMark/>
          </w:tcPr>
          <w:p w14:paraId="2A634A12" w14:textId="77777777" w:rsidR="007C5B19" w:rsidRPr="00806B7F" w:rsidRDefault="007C5B19" w:rsidP="00A369A1">
            <w:pPr>
              <w:jc w:val="center"/>
              <w:rPr>
                <w:rFonts w:ascii="Arial" w:hAnsi="Arial" w:cs="Arial"/>
                <w:sz w:val="20"/>
              </w:rPr>
            </w:pPr>
            <w:r w:rsidRPr="00806B7F">
              <w:rPr>
                <w:rFonts w:ascii="Arial" w:hAnsi="Arial" w:cs="Arial"/>
                <w:sz w:val="20"/>
              </w:rPr>
              <w:t>8.431</w:t>
            </w:r>
          </w:p>
        </w:tc>
        <w:tc>
          <w:tcPr>
            <w:tcW w:w="1117" w:type="dxa"/>
            <w:tcBorders>
              <w:top w:val="single" w:sz="4" w:space="0" w:color="auto"/>
              <w:left w:val="nil"/>
              <w:bottom w:val="single" w:sz="4" w:space="0" w:color="auto"/>
              <w:right w:val="nil"/>
            </w:tcBorders>
            <w:shd w:val="clear" w:color="auto" w:fill="auto"/>
            <w:noWrap/>
            <w:hideMark/>
          </w:tcPr>
          <w:p w14:paraId="3E1D5221" w14:textId="77777777" w:rsidR="007C5B19" w:rsidRPr="00806B7F" w:rsidRDefault="007C5B19" w:rsidP="00A369A1">
            <w:pPr>
              <w:jc w:val="center"/>
              <w:rPr>
                <w:rFonts w:ascii="Arial" w:hAnsi="Arial" w:cs="Arial"/>
                <w:sz w:val="20"/>
              </w:rPr>
            </w:pPr>
            <w:r w:rsidRPr="00806B7F">
              <w:rPr>
                <w:rFonts w:ascii="Arial" w:hAnsi="Arial" w:cs="Arial"/>
                <w:sz w:val="20"/>
              </w:rPr>
              <w:t>8.950</w:t>
            </w:r>
          </w:p>
        </w:tc>
        <w:tc>
          <w:tcPr>
            <w:tcW w:w="1117" w:type="dxa"/>
            <w:tcBorders>
              <w:top w:val="single" w:sz="4" w:space="0" w:color="auto"/>
              <w:left w:val="nil"/>
              <w:bottom w:val="single" w:sz="4" w:space="0" w:color="auto"/>
              <w:right w:val="nil"/>
            </w:tcBorders>
            <w:shd w:val="clear" w:color="auto" w:fill="auto"/>
            <w:noWrap/>
            <w:hideMark/>
          </w:tcPr>
          <w:p w14:paraId="05E4A1AB" w14:textId="77777777" w:rsidR="007C5B19" w:rsidRPr="00806B7F" w:rsidRDefault="007C5B19" w:rsidP="00A369A1">
            <w:pPr>
              <w:jc w:val="center"/>
              <w:rPr>
                <w:rFonts w:ascii="Arial" w:hAnsi="Arial" w:cs="Arial"/>
                <w:sz w:val="20"/>
              </w:rPr>
            </w:pPr>
            <w:r w:rsidRPr="00806B7F">
              <w:rPr>
                <w:rFonts w:ascii="Arial" w:hAnsi="Arial" w:cs="Arial"/>
                <w:sz w:val="20"/>
              </w:rPr>
              <w:t>9.537</w:t>
            </w:r>
          </w:p>
        </w:tc>
        <w:tc>
          <w:tcPr>
            <w:tcW w:w="1117" w:type="dxa"/>
            <w:tcBorders>
              <w:top w:val="single" w:sz="4" w:space="0" w:color="auto"/>
              <w:left w:val="nil"/>
              <w:bottom w:val="single" w:sz="4" w:space="0" w:color="auto"/>
              <w:right w:val="nil"/>
            </w:tcBorders>
            <w:shd w:val="clear" w:color="auto" w:fill="auto"/>
            <w:noWrap/>
            <w:hideMark/>
          </w:tcPr>
          <w:p w14:paraId="2F1AE341" w14:textId="77777777" w:rsidR="007C5B19" w:rsidRPr="00806B7F" w:rsidRDefault="007C5B19" w:rsidP="00A369A1">
            <w:pPr>
              <w:jc w:val="center"/>
              <w:rPr>
                <w:rFonts w:ascii="Arial" w:hAnsi="Arial" w:cs="Arial"/>
                <w:sz w:val="20"/>
              </w:rPr>
            </w:pPr>
            <w:r w:rsidRPr="00806B7F">
              <w:rPr>
                <w:rFonts w:ascii="Arial" w:hAnsi="Arial" w:cs="Arial"/>
                <w:sz w:val="20"/>
              </w:rPr>
              <w:t>9.787</w:t>
            </w:r>
          </w:p>
        </w:tc>
      </w:tr>
      <w:tr w:rsidR="007C5B19" w:rsidRPr="00806B7F" w14:paraId="731667D3" w14:textId="77777777" w:rsidTr="00A369A1">
        <w:trPr>
          <w:trHeight w:val="255"/>
        </w:trPr>
        <w:tc>
          <w:tcPr>
            <w:tcW w:w="3196" w:type="dxa"/>
            <w:tcBorders>
              <w:top w:val="nil"/>
              <w:left w:val="nil"/>
              <w:bottom w:val="nil"/>
              <w:right w:val="nil"/>
            </w:tcBorders>
            <w:shd w:val="clear" w:color="auto" w:fill="auto"/>
            <w:noWrap/>
            <w:hideMark/>
          </w:tcPr>
          <w:p w14:paraId="7F8748C6" w14:textId="77777777" w:rsidR="007C5B19" w:rsidRPr="00806B7F" w:rsidRDefault="007C5B19" w:rsidP="00A369A1">
            <w:pPr>
              <w:rPr>
                <w:rFonts w:ascii="Arial" w:hAnsi="Arial" w:cs="Arial"/>
                <w:b/>
                <w:bCs/>
                <w:sz w:val="20"/>
              </w:rPr>
            </w:pPr>
            <w:r w:rsidRPr="00806B7F">
              <w:rPr>
                <w:rFonts w:ascii="Arial" w:hAnsi="Arial" w:cs="Arial"/>
                <w:sz w:val="20"/>
              </w:rPr>
              <w:t xml:space="preserve"> Other </w:t>
            </w:r>
          </w:p>
        </w:tc>
        <w:tc>
          <w:tcPr>
            <w:tcW w:w="1117" w:type="dxa"/>
            <w:tcBorders>
              <w:top w:val="nil"/>
              <w:left w:val="nil"/>
              <w:bottom w:val="nil"/>
              <w:right w:val="nil"/>
            </w:tcBorders>
            <w:shd w:val="clear" w:color="auto" w:fill="auto"/>
            <w:noWrap/>
            <w:hideMark/>
          </w:tcPr>
          <w:p w14:paraId="03FFD915" w14:textId="77777777" w:rsidR="007C5B19" w:rsidRPr="00806B7F" w:rsidRDefault="007C5B19" w:rsidP="00A369A1">
            <w:pPr>
              <w:jc w:val="center"/>
              <w:rPr>
                <w:rFonts w:ascii="Arial" w:hAnsi="Arial" w:cs="Arial"/>
                <w:b/>
                <w:bCs/>
                <w:sz w:val="20"/>
              </w:rPr>
            </w:pPr>
          </w:p>
        </w:tc>
        <w:tc>
          <w:tcPr>
            <w:tcW w:w="1296" w:type="dxa"/>
            <w:tcBorders>
              <w:top w:val="nil"/>
              <w:left w:val="nil"/>
              <w:bottom w:val="nil"/>
              <w:right w:val="nil"/>
            </w:tcBorders>
            <w:shd w:val="clear" w:color="auto" w:fill="auto"/>
            <w:noWrap/>
            <w:hideMark/>
          </w:tcPr>
          <w:p w14:paraId="0937A591"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36D76239"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7FE00789" w14:textId="77777777" w:rsidR="007C5B19" w:rsidRPr="00806B7F" w:rsidRDefault="007C5B19" w:rsidP="00A369A1">
            <w:pPr>
              <w:jc w:val="center"/>
              <w:rPr>
                <w:rFonts w:ascii="Arial" w:hAnsi="Arial" w:cs="Arial"/>
                <w:sz w:val="20"/>
              </w:rPr>
            </w:pPr>
          </w:p>
        </w:tc>
        <w:tc>
          <w:tcPr>
            <w:tcW w:w="1117" w:type="dxa"/>
            <w:tcBorders>
              <w:top w:val="nil"/>
              <w:left w:val="nil"/>
              <w:bottom w:val="nil"/>
              <w:right w:val="nil"/>
            </w:tcBorders>
            <w:shd w:val="clear" w:color="auto" w:fill="auto"/>
            <w:noWrap/>
            <w:hideMark/>
          </w:tcPr>
          <w:p w14:paraId="508E0303" w14:textId="77777777" w:rsidR="007C5B19" w:rsidRPr="00806B7F" w:rsidRDefault="007C5B19" w:rsidP="00A369A1">
            <w:pPr>
              <w:jc w:val="center"/>
              <w:rPr>
                <w:rFonts w:ascii="Arial" w:hAnsi="Arial" w:cs="Arial"/>
                <w:sz w:val="20"/>
              </w:rPr>
            </w:pPr>
          </w:p>
        </w:tc>
      </w:tr>
      <w:tr w:rsidR="007C5B19" w:rsidRPr="00806B7F" w14:paraId="189877D2" w14:textId="77777777" w:rsidTr="00A369A1">
        <w:trPr>
          <w:trHeight w:val="255"/>
        </w:trPr>
        <w:tc>
          <w:tcPr>
            <w:tcW w:w="3196" w:type="dxa"/>
            <w:tcBorders>
              <w:top w:val="nil"/>
              <w:left w:val="nil"/>
              <w:bottom w:val="nil"/>
              <w:right w:val="nil"/>
            </w:tcBorders>
            <w:shd w:val="clear" w:color="auto" w:fill="auto"/>
            <w:noWrap/>
            <w:hideMark/>
          </w:tcPr>
          <w:p w14:paraId="3D99EC69" w14:textId="77777777" w:rsidR="007C5B19" w:rsidRPr="00806B7F" w:rsidRDefault="007C5B19" w:rsidP="00A369A1">
            <w:pPr>
              <w:rPr>
                <w:rFonts w:ascii="Arial" w:hAnsi="Arial" w:cs="Arial"/>
                <w:sz w:val="20"/>
              </w:rPr>
            </w:pPr>
            <w:r w:rsidRPr="00806B7F">
              <w:rPr>
                <w:rFonts w:ascii="Arial" w:hAnsi="Arial" w:cs="Arial"/>
                <w:sz w:val="20"/>
              </w:rPr>
              <w:t xml:space="preserve"> Contracted Services </w:t>
            </w:r>
          </w:p>
        </w:tc>
        <w:tc>
          <w:tcPr>
            <w:tcW w:w="1117" w:type="dxa"/>
            <w:tcBorders>
              <w:top w:val="nil"/>
              <w:left w:val="nil"/>
              <w:bottom w:val="nil"/>
              <w:right w:val="nil"/>
            </w:tcBorders>
            <w:shd w:val="clear" w:color="auto" w:fill="auto"/>
            <w:noWrap/>
            <w:hideMark/>
          </w:tcPr>
          <w:p w14:paraId="550F3B34" w14:textId="77777777" w:rsidR="007C5B19" w:rsidRPr="00806B7F" w:rsidRDefault="007C5B19" w:rsidP="00A369A1">
            <w:pPr>
              <w:jc w:val="center"/>
              <w:rPr>
                <w:rFonts w:ascii="Arial" w:hAnsi="Arial" w:cs="Arial"/>
                <w:sz w:val="20"/>
              </w:rPr>
            </w:pPr>
            <w:r w:rsidRPr="00806B7F">
              <w:rPr>
                <w:rFonts w:ascii="Arial" w:hAnsi="Arial" w:cs="Arial"/>
                <w:sz w:val="20"/>
              </w:rPr>
              <w:t>1.274</w:t>
            </w:r>
          </w:p>
        </w:tc>
        <w:tc>
          <w:tcPr>
            <w:tcW w:w="1296" w:type="dxa"/>
            <w:tcBorders>
              <w:top w:val="nil"/>
              <w:left w:val="nil"/>
              <w:bottom w:val="nil"/>
              <w:right w:val="nil"/>
            </w:tcBorders>
            <w:shd w:val="clear" w:color="auto" w:fill="auto"/>
            <w:noWrap/>
            <w:hideMark/>
          </w:tcPr>
          <w:p w14:paraId="445F2989" w14:textId="77777777" w:rsidR="007C5B19" w:rsidRPr="00806B7F" w:rsidRDefault="007C5B19" w:rsidP="00A369A1">
            <w:pPr>
              <w:jc w:val="center"/>
              <w:rPr>
                <w:rFonts w:ascii="Arial" w:hAnsi="Arial" w:cs="Arial"/>
                <w:sz w:val="20"/>
              </w:rPr>
            </w:pPr>
            <w:r w:rsidRPr="00806B7F">
              <w:rPr>
                <w:rFonts w:ascii="Arial" w:hAnsi="Arial" w:cs="Arial"/>
                <w:sz w:val="20"/>
              </w:rPr>
              <w:t>1.357</w:t>
            </w:r>
          </w:p>
        </w:tc>
        <w:tc>
          <w:tcPr>
            <w:tcW w:w="1117" w:type="dxa"/>
            <w:tcBorders>
              <w:top w:val="nil"/>
              <w:left w:val="nil"/>
              <w:bottom w:val="nil"/>
              <w:right w:val="nil"/>
            </w:tcBorders>
            <w:shd w:val="clear" w:color="auto" w:fill="auto"/>
            <w:noWrap/>
            <w:hideMark/>
          </w:tcPr>
          <w:p w14:paraId="11C938FA" w14:textId="77777777" w:rsidR="007C5B19" w:rsidRPr="00806B7F" w:rsidRDefault="007C5B19" w:rsidP="00A369A1">
            <w:pPr>
              <w:jc w:val="center"/>
              <w:rPr>
                <w:rFonts w:ascii="Arial" w:hAnsi="Arial" w:cs="Arial"/>
                <w:sz w:val="20"/>
              </w:rPr>
            </w:pPr>
            <w:r w:rsidRPr="00806B7F">
              <w:rPr>
                <w:rFonts w:ascii="Arial" w:hAnsi="Arial" w:cs="Arial"/>
                <w:sz w:val="20"/>
              </w:rPr>
              <w:t>1.380</w:t>
            </w:r>
          </w:p>
        </w:tc>
        <w:tc>
          <w:tcPr>
            <w:tcW w:w="1117" w:type="dxa"/>
            <w:tcBorders>
              <w:top w:val="nil"/>
              <w:left w:val="nil"/>
              <w:bottom w:val="nil"/>
              <w:right w:val="nil"/>
            </w:tcBorders>
            <w:shd w:val="clear" w:color="auto" w:fill="auto"/>
            <w:noWrap/>
            <w:hideMark/>
          </w:tcPr>
          <w:p w14:paraId="6F9B77E1" w14:textId="77777777" w:rsidR="007C5B19" w:rsidRPr="00806B7F" w:rsidRDefault="007C5B19" w:rsidP="00A369A1">
            <w:pPr>
              <w:jc w:val="center"/>
              <w:rPr>
                <w:rFonts w:ascii="Arial" w:hAnsi="Arial" w:cs="Arial"/>
                <w:sz w:val="20"/>
              </w:rPr>
            </w:pPr>
            <w:r w:rsidRPr="00806B7F">
              <w:rPr>
                <w:rFonts w:ascii="Arial" w:hAnsi="Arial" w:cs="Arial"/>
                <w:sz w:val="20"/>
              </w:rPr>
              <w:t>1.311</w:t>
            </w:r>
          </w:p>
        </w:tc>
        <w:tc>
          <w:tcPr>
            <w:tcW w:w="1117" w:type="dxa"/>
            <w:tcBorders>
              <w:top w:val="nil"/>
              <w:left w:val="nil"/>
              <w:bottom w:val="nil"/>
              <w:right w:val="nil"/>
            </w:tcBorders>
            <w:shd w:val="clear" w:color="auto" w:fill="auto"/>
            <w:noWrap/>
            <w:hideMark/>
          </w:tcPr>
          <w:p w14:paraId="3A52E142" w14:textId="77777777" w:rsidR="007C5B19" w:rsidRPr="00806B7F" w:rsidRDefault="007C5B19" w:rsidP="00A369A1">
            <w:pPr>
              <w:jc w:val="center"/>
              <w:rPr>
                <w:rFonts w:ascii="Arial" w:hAnsi="Arial" w:cs="Arial"/>
                <w:sz w:val="20"/>
              </w:rPr>
            </w:pPr>
            <w:r w:rsidRPr="00806B7F">
              <w:rPr>
                <w:rFonts w:ascii="Arial" w:hAnsi="Arial" w:cs="Arial"/>
                <w:sz w:val="20"/>
              </w:rPr>
              <w:t>1.344</w:t>
            </w:r>
          </w:p>
        </w:tc>
      </w:tr>
      <w:tr w:rsidR="007C5B19" w:rsidRPr="00806B7F" w14:paraId="01AC2485" w14:textId="77777777" w:rsidTr="00A369A1">
        <w:trPr>
          <w:trHeight w:val="255"/>
        </w:trPr>
        <w:tc>
          <w:tcPr>
            <w:tcW w:w="3196" w:type="dxa"/>
            <w:tcBorders>
              <w:top w:val="nil"/>
              <w:left w:val="nil"/>
              <w:bottom w:val="nil"/>
              <w:right w:val="nil"/>
            </w:tcBorders>
            <w:shd w:val="clear" w:color="auto" w:fill="auto"/>
            <w:noWrap/>
            <w:hideMark/>
          </w:tcPr>
          <w:p w14:paraId="2C397AC6" w14:textId="77777777" w:rsidR="007C5B19" w:rsidRPr="00806B7F" w:rsidRDefault="007C5B19" w:rsidP="00A369A1">
            <w:pPr>
              <w:rPr>
                <w:rFonts w:ascii="Arial" w:hAnsi="Arial" w:cs="Arial"/>
                <w:sz w:val="20"/>
              </w:rPr>
            </w:pPr>
            <w:r w:rsidRPr="00806B7F">
              <w:rPr>
                <w:rFonts w:ascii="Arial" w:hAnsi="Arial" w:cs="Arial"/>
                <w:sz w:val="20"/>
              </w:rPr>
              <w:t xml:space="preserve"> Other </w:t>
            </w:r>
          </w:p>
        </w:tc>
        <w:tc>
          <w:tcPr>
            <w:tcW w:w="1117" w:type="dxa"/>
            <w:tcBorders>
              <w:top w:val="nil"/>
              <w:left w:val="nil"/>
              <w:bottom w:val="nil"/>
              <w:right w:val="nil"/>
            </w:tcBorders>
            <w:shd w:val="clear" w:color="auto" w:fill="auto"/>
            <w:noWrap/>
            <w:hideMark/>
          </w:tcPr>
          <w:p w14:paraId="3427BC59" w14:textId="77777777" w:rsidR="007C5B19" w:rsidRPr="00806B7F" w:rsidRDefault="007C5B19" w:rsidP="00A369A1">
            <w:pPr>
              <w:jc w:val="center"/>
              <w:rPr>
                <w:rFonts w:ascii="Arial" w:hAnsi="Arial" w:cs="Arial"/>
                <w:sz w:val="20"/>
              </w:rPr>
            </w:pPr>
            <w:r w:rsidRPr="00806B7F">
              <w:rPr>
                <w:rFonts w:ascii="Arial" w:hAnsi="Arial" w:cs="Arial"/>
                <w:sz w:val="20"/>
              </w:rPr>
              <w:t>0.004</w:t>
            </w:r>
          </w:p>
        </w:tc>
        <w:tc>
          <w:tcPr>
            <w:tcW w:w="1296" w:type="dxa"/>
            <w:tcBorders>
              <w:top w:val="nil"/>
              <w:left w:val="nil"/>
              <w:bottom w:val="nil"/>
              <w:right w:val="nil"/>
            </w:tcBorders>
            <w:shd w:val="clear" w:color="auto" w:fill="auto"/>
            <w:noWrap/>
            <w:hideMark/>
          </w:tcPr>
          <w:p w14:paraId="73716192" w14:textId="77777777" w:rsidR="007C5B19" w:rsidRPr="00806B7F" w:rsidRDefault="007C5B19" w:rsidP="00A369A1">
            <w:pPr>
              <w:jc w:val="center"/>
              <w:rPr>
                <w:rFonts w:ascii="Arial" w:hAnsi="Arial" w:cs="Arial"/>
                <w:sz w:val="20"/>
              </w:rPr>
            </w:pPr>
            <w:r w:rsidRPr="00806B7F">
              <w:rPr>
                <w:rFonts w:ascii="Arial" w:hAnsi="Arial" w:cs="Arial"/>
                <w:sz w:val="20"/>
              </w:rPr>
              <w:t>0.004</w:t>
            </w:r>
          </w:p>
        </w:tc>
        <w:tc>
          <w:tcPr>
            <w:tcW w:w="1117" w:type="dxa"/>
            <w:tcBorders>
              <w:top w:val="nil"/>
              <w:left w:val="nil"/>
              <w:bottom w:val="nil"/>
              <w:right w:val="nil"/>
            </w:tcBorders>
            <w:shd w:val="clear" w:color="auto" w:fill="auto"/>
            <w:noWrap/>
            <w:hideMark/>
          </w:tcPr>
          <w:p w14:paraId="5FB90391" w14:textId="77777777" w:rsidR="007C5B19" w:rsidRPr="00806B7F" w:rsidRDefault="007C5B19" w:rsidP="00A369A1">
            <w:pPr>
              <w:jc w:val="center"/>
              <w:rPr>
                <w:rFonts w:ascii="Arial" w:hAnsi="Arial" w:cs="Arial"/>
                <w:sz w:val="20"/>
              </w:rPr>
            </w:pPr>
            <w:r w:rsidRPr="00806B7F">
              <w:rPr>
                <w:rFonts w:ascii="Arial" w:hAnsi="Arial" w:cs="Arial"/>
                <w:sz w:val="20"/>
              </w:rPr>
              <w:t>0.005</w:t>
            </w:r>
          </w:p>
        </w:tc>
        <w:tc>
          <w:tcPr>
            <w:tcW w:w="1117" w:type="dxa"/>
            <w:tcBorders>
              <w:top w:val="nil"/>
              <w:left w:val="nil"/>
              <w:bottom w:val="nil"/>
              <w:right w:val="nil"/>
            </w:tcBorders>
            <w:shd w:val="clear" w:color="auto" w:fill="auto"/>
            <w:noWrap/>
            <w:hideMark/>
          </w:tcPr>
          <w:p w14:paraId="57CAB04F" w14:textId="77777777" w:rsidR="007C5B19" w:rsidRPr="00806B7F" w:rsidRDefault="007C5B19" w:rsidP="00A369A1">
            <w:pPr>
              <w:jc w:val="center"/>
              <w:rPr>
                <w:rFonts w:ascii="Arial" w:hAnsi="Arial" w:cs="Arial"/>
                <w:sz w:val="20"/>
              </w:rPr>
            </w:pPr>
            <w:r w:rsidRPr="00806B7F">
              <w:rPr>
                <w:rFonts w:ascii="Arial" w:hAnsi="Arial" w:cs="Arial"/>
                <w:sz w:val="20"/>
              </w:rPr>
              <w:t>0.005</w:t>
            </w:r>
          </w:p>
        </w:tc>
        <w:tc>
          <w:tcPr>
            <w:tcW w:w="1117" w:type="dxa"/>
            <w:tcBorders>
              <w:top w:val="nil"/>
              <w:left w:val="nil"/>
              <w:bottom w:val="nil"/>
              <w:right w:val="nil"/>
            </w:tcBorders>
            <w:shd w:val="clear" w:color="auto" w:fill="auto"/>
            <w:noWrap/>
            <w:hideMark/>
          </w:tcPr>
          <w:p w14:paraId="15DAB05A" w14:textId="77777777" w:rsidR="007C5B19" w:rsidRPr="00806B7F" w:rsidRDefault="007C5B19" w:rsidP="00A369A1">
            <w:pPr>
              <w:jc w:val="center"/>
              <w:rPr>
                <w:rFonts w:ascii="Arial" w:hAnsi="Arial" w:cs="Arial"/>
                <w:sz w:val="20"/>
              </w:rPr>
            </w:pPr>
            <w:r w:rsidRPr="00806B7F">
              <w:rPr>
                <w:rFonts w:ascii="Arial" w:hAnsi="Arial" w:cs="Arial"/>
                <w:sz w:val="20"/>
              </w:rPr>
              <w:t>0.005</w:t>
            </w:r>
          </w:p>
        </w:tc>
      </w:tr>
      <w:tr w:rsidR="007C5B19" w:rsidRPr="00806B7F" w14:paraId="316EB8B6" w14:textId="77777777" w:rsidTr="00A369A1">
        <w:trPr>
          <w:trHeight w:val="255"/>
        </w:trPr>
        <w:tc>
          <w:tcPr>
            <w:tcW w:w="3196" w:type="dxa"/>
            <w:tcBorders>
              <w:top w:val="nil"/>
              <w:left w:val="nil"/>
              <w:bottom w:val="nil"/>
              <w:right w:val="nil"/>
            </w:tcBorders>
            <w:shd w:val="clear" w:color="auto" w:fill="auto"/>
            <w:noWrap/>
            <w:hideMark/>
          </w:tcPr>
          <w:p w14:paraId="4401C228" w14:textId="77777777" w:rsidR="007C5B19" w:rsidRPr="00806B7F" w:rsidRDefault="007C5B19" w:rsidP="00A369A1">
            <w:pPr>
              <w:jc w:val="right"/>
              <w:rPr>
                <w:rFonts w:ascii="Arial" w:hAnsi="Arial" w:cs="Arial"/>
                <w:sz w:val="20"/>
              </w:rPr>
            </w:pPr>
          </w:p>
        </w:tc>
        <w:tc>
          <w:tcPr>
            <w:tcW w:w="1117" w:type="dxa"/>
            <w:tcBorders>
              <w:top w:val="single" w:sz="4" w:space="0" w:color="auto"/>
              <w:left w:val="nil"/>
              <w:bottom w:val="single" w:sz="4" w:space="0" w:color="auto"/>
              <w:right w:val="nil"/>
            </w:tcBorders>
            <w:shd w:val="clear" w:color="auto" w:fill="auto"/>
            <w:noWrap/>
            <w:hideMark/>
          </w:tcPr>
          <w:p w14:paraId="12824916" w14:textId="77777777" w:rsidR="007C5B19" w:rsidRPr="00806B7F" w:rsidRDefault="007C5B19" w:rsidP="00A369A1">
            <w:pPr>
              <w:jc w:val="center"/>
              <w:rPr>
                <w:rFonts w:ascii="Arial" w:hAnsi="Arial" w:cs="Arial"/>
                <w:sz w:val="20"/>
              </w:rPr>
            </w:pPr>
            <w:r w:rsidRPr="00806B7F">
              <w:rPr>
                <w:rFonts w:ascii="Arial" w:hAnsi="Arial" w:cs="Arial"/>
                <w:sz w:val="20"/>
              </w:rPr>
              <w:t>1.278</w:t>
            </w:r>
          </w:p>
        </w:tc>
        <w:tc>
          <w:tcPr>
            <w:tcW w:w="1296" w:type="dxa"/>
            <w:tcBorders>
              <w:top w:val="single" w:sz="4" w:space="0" w:color="auto"/>
              <w:left w:val="nil"/>
              <w:bottom w:val="single" w:sz="4" w:space="0" w:color="auto"/>
              <w:right w:val="nil"/>
            </w:tcBorders>
            <w:shd w:val="clear" w:color="auto" w:fill="auto"/>
            <w:noWrap/>
            <w:hideMark/>
          </w:tcPr>
          <w:p w14:paraId="2B3A7F39" w14:textId="77777777" w:rsidR="007C5B19" w:rsidRPr="00806B7F" w:rsidRDefault="007C5B19" w:rsidP="00A369A1">
            <w:pPr>
              <w:jc w:val="center"/>
              <w:rPr>
                <w:rFonts w:ascii="Arial" w:hAnsi="Arial" w:cs="Arial"/>
                <w:sz w:val="20"/>
              </w:rPr>
            </w:pPr>
            <w:r w:rsidRPr="00806B7F">
              <w:rPr>
                <w:rFonts w:ascii="Arial" w:hAnsi="Arial" w:cs="Arial"/>
                <w:sz w:val="20"/>
              </w:rPr>
              <w:t>1.362</w:t>
            </w:r>
          </w:p>
        </w:tc>
        <w:tc>
          <w:tcPr>
            <w:tcW w:w="1117" w:type="dxa"/>
            <w:tcBorders>
              <w:top w:val="single" w:sz="4" w:space="0" w:color="auto"/>
              <w:left w:val="nil"/>
              <w:bottom w:val="single" w:sz="4" w:space="0" w:color="auto"/>
              <w:right w:val="nil"/>
            </w:tcBorders>
            <w:shd w:val="clear" w:color="auto" w:fill="auto"/>
            <w:noWrap/>
            <w:hideMark/>
          </w:tcPr>
          <w:p w14:paraId="7E2F8A51" w14:textId="77777777" w:rsidR="007C5B19" w:rsidRPr="00806B7F" w:rsidRDefault="007C5B19" w:rsidP="00A369A1">
            <w:pPr>
              <w:jc w:val="center"/>
              <w:rPr>
                <w:rFonts w:ascii="Arial" w:hAnsi="Arial" w:cs="Arial"/>
                <w:sz w:val="20"/>
              </w:rPr>
            </w:pPr>
            <w:r w:rsidRPr="00806B7F">
              <w:rPr>
                <w:rFonts w:ascii="Arial" w:hAnsi="Arial" w:cs="Arial"/>
                <w:sz w:val="20"/>
              </w:rPr>
              <w:t>1.384</w:t>
            </w:r>
          </w:p>
        </w:tc>
        <w:tc>
          <w:tcPr>
            <w:tcW w:w="1117" w:type="dxa"/>
            <w:tcBorders>
              <w:top w:val="single" w:sz="4" w:space="0" w:color="auto"/>
              <w:left w:val="nil"/>
              <w:bottom w:val="single" w:sz="4" w:space="0" w:color="auto"/>
              <w:right w:val="nil"/>
            </w:tcBorders>
            <w:shd w:val="clear" w:color="auto" w:fill="auto"/>
            <w:noWrap/>
            <w:hideMark/>
          </w:tcPr>
          <w:p w14:paraId="00DA32C0" w14:textId="77777777" w:rsidR="007C5B19" w:rsidRPr="00806B7F" w:rsidRDefault="007C5B19" w:rsidP="00A369A1">
            <w:pPr>
              <w:jc w:val="center"/>
              <w:rPr>
                <w:rFonts w:ascii="Arial" w:hAnsi="Arial" w:cs="Arial"/>
                <w:sz w:val="20"/>
              </w:rPr>
            </w:pPr>
            <w:r w:rsidRPr="00806B7F">
              <w:rPr>
                <w:rFonts w:ascii="Arial" w:hAnsi="Arial" w:cs="Arial"/>
                <w:sz w:val="20"/>
              </w:rPr>
              <w:t>1.316</w:t>
            </w:r>
          </w:p>
        </w:tc>
        <w:tc>
          <w:tcPr>
            <w:tcW w:w="1117" w:type="dxa"/>
            <w:tcBorders>
              <w:top w:val="single" w:sz="4" w:space="0" w:color="auto"/>
              <w:left w:val="nil"/>
              <w:bottom w:val="single" w:sz="4" w:space="0" w:color="auto"/>
              <w:right w:val="nil"/>
            </w:tcBorders>
            <w:shd w:val="clear" w:color="auto" w:fill="auto"/>
            <w:noWrap/>
            <w:hideMark/>
          </w:tcPr>
          <w:p w14:paraId="4DD9A3D3" w14:textId="77777777" w:rsidR="007C5B19" w:rsidRPr="00806B7F" w:rsidRDefault="007C5B19" w:rsidP="00A369A1">
            <w:pPr>
              <w:jc w:val="center"/>
              <w:rPr>
                <w:rFonts w:ascii="Arial" w:hAnsi="Arial" w:cs="Arial"/>
                <w:sz w:val="20"/>
              </w:rPr>
            </w:pPr>
            <w:r w:rsidRPr="00806B7F">
              <w:rPr>
                <w:rFonts w:ascii="Arial" w:hAnsi="Arial" w:cs="Arial"/>
                <w:sz w:val="20"/>
              </w:rPr>
              <w:t>1.348</w:t>
            </w:r>
          </w:p>
        </w:tc>
      </w:tr>
      <w:tr w:rsidR="007C5B19" w:rsidRPr="00806B7F" w14:paraId="23BC3949" w14:textId="77777777" w:rsidTr="00A369A1">
        <w:trPr>
          <w:trHeight w:val="255"/>
        </w:trPr>
        <w:tc>
          <w:tcPr>
            <w:tcW w:w="3196" w:type="dxa"/>
            <w:tcBorders>
              <w:top w:val="nil"/>
              <w:left w:val="nil"/>
              <w:bottom w:val="nil"/>
              <w:right w:val="nil"/>
            </w:tcBorders>
            <w:shd w:val="clear" w:color="auto" w:fill="auto"/>
            <w:noWrap/>
            <w:hideMark/>
          </w:tcPr>
          <w:p w14:paraId="7FB0E200" w14:textId="77777777" w:rsidR="007C5B19" w:rsidRPr="00806B7F" w:rsidRDefault="007C5B19" w:rsidP="00A369A1">
            <w:pPr>
              <w:rPr>
                <w:rFonts w:ascii="Arial" w:hAnsi="Arial" w:cs="Arial"/>
                <w:sz w:val="20"/>
              </w:rPr>
            </w:pPr>
            <w:r w:rsidRPr="00806B7F">
              <w:rPr>
                <w:rFonts w:ascii="Arial" w:hAnsi="Arial" w:cs="Arial"/>
                <w:sz w:val="20"/>
              </w:rPr>
              <w:t xml:space="preserve"> Capital Financing Costs </w:t>
            </w:r>
          </w:p>
        </w:tc>
        <w:tc>
          <w:tcPr>
            <w:tcW w:w="1117" w:type="dxa"/>
            <w:tcBorders>
              <w:top w:val="nil"/>
              <w:left w:val="nil"/>
              <w:right w:val="nil"/>
            </w:tcBorders>
            <w:shd w:val="clear" w:color="auto" w:fill="auto"/>
            <w:noWrap/>
            <w:hideMark/>
          </w:tcPr>
          <w:p w14:paraId="3FDB0992" w14:textId="77777777" w:rsidR="007C5B19" w:rsidRPr="00806B7F" w:rsidRDefault="007C5B19" w:rsidP="00A369A1">
            <w:pPr>
              <w:jc w:val="center"/>
              <w:rPr>
                <w:rFonts w:ascii="Arial" w:hAnsi="Arial" w:cs="Arial"/>
                <w:sz w:val="20"/>
              </w:rPr>
            </w:pPr>
            <w:r w:rsidRPr="00806B7F">
              <w:rPr>
                <w:rFonts w:ascii="Arial" w:hAnsi="Arial" w:cs="Arial"/>
                <w:sz w:val="20"/>
              </w:rPr>
              <w:t>4.100</w:t>
            </w:r>
          </w:p>
        </w:tc>
        <w:tc>
          <w:tcPr>
            <w:tcW w:w="1296" w:type="dxa"/>
            <w:tcBorders>
              <w:top w:val="nil"/>
              <w:left w:val="nil"/>
              <w:right w:val="nil"/>
            </w:tcBorders>
            <w:shd w:val="clear" w:color="auto" w:fill="auto"/>
            <w:noWrap/>
            <w:hideMark/>
          </w:tcPr>
          <w:p w14:paraId="510AEB59" w14:textId="77777777" w:rsidR="007C5B19" w:rsidRPr="00806B7F" w:rsidRDefault="007C5B19" w:rsidP="00A369A1">
            <w:pPr>
              <w:jc w:val="center"/>
              <w:rPr>
                <w:rFonts w:ascii="Arial" w:hAnsi="Arial" w:cs="Arial"/>
                <w:sz w:val="20"/>
              </w:rPr>
            </w:pPr>
            <w:r w:rsidRPr="00806B7F">
              <w:rPr>
                <w:rFonts w:ascii="Arial" w:hAnsi="Arial" w:cs="Arial"/>
                <w:sz w:val="20"/>
              </w:rPr>
              <w:t>4.100</w:t>
            </w:r>
          </w:p>
        </w:tc>
        <w:tc>
          <w:tcPr>
            <w:tcW w:w="1117" w:type="dxa"/>
            <w:tcBorders>
              <w:top w:val="nil"/>
              <w:left w:val="nil"/>
              <w:right w:val="nil"/>
            </w:tcBorders>
            <w:shd w:val="clear" w:color="auto" w:fill="auto"/>
            <w:noWrap/>
            <w:hideMark/>
          </w:tcPr>
          <w:p w14:paraId="2AF38FD9" w14:textId="77777777" w:rsidR="007C5B19" w:rsidRPr="00806B7F" w:rsidRDefault="007C5B19" w:rsidP="00A369A1">
            <w:pPr>
              <w:jc w:val="center"/>
              <w:rPr>
                <w:rFonts w:ascii="Arial" w:hAnsi="Arial" w:cs="Arial"/>
                <w:sz w:val="20"/>
              </w:rPr>
            </w:pPr>
            <w:r w:rsidRPr="00806B7F">
              <w:rPr>
                <w:rFonts w:ascii="Arial" w:hAnsi="Arial" w:cs="Arial"/>
                <w:sz w:val="20"/>
              </w:rPr>
              <w:t>4.100</w:t>
            </w:r>
          </w:p>
        </w:tc>
        <w:tc>
          <w:tcPr>
            <w:tcW w:w="1117" w:type="dxa"/>
            <w:tcBorders>
              <w:top w:val="nil"/>
              <w:left w:val="nil"/>
              <w:right w:val="nil"/>
            </w:tcBorders>
            <w:shd w:val="clear" w:color="auto" w:fill="auto"/>
            <w:noWrap/>
            <w:hideMark/>
          </w:tcPr>
          <w:p w14:paraId="5CE23B7E" w14:textId="77777777" w:rsidR="007C5B19" w:rsidRPr="00806B7F" w:rsidRDefault="007C5B19" w:rsidP="00A369A1">
            <w:pPr>
              <w:jc w:val="center"/>
              <w:rPr>
                <w:rFonts w:ascii="Arial" w:hAnsi="Arial" w:cs="Arial"/>
                <w:sz w:val="20"/>
              </w:rPr>
            </w:pPr>
            <w:r w:rsidRPr="00806B7F">
              <w:rPr>
                <w:rFonts w:ascii="Arial" w:hAnsi="Arial" w:cs="Arial"/>
                <w:sz w:val="20"/>
              </w:rPr>
              <w:t>4.100</w:t>
            </w:r>
          </w:p>
        </w:tc>
        <w:tc>
          <w:tcPr>
            <w:tcW w:w="1117" w:type="dxa"/>
            <w:tcBorders>
              <w:top w:val="nil"/>
              <w:left w:val="nil"/>
              <w:right w:val="nil"/>
            </w:tcBorders>
            <w:shd w:val="clear" w:color="auto" w:fill="auto"/>
            <w:noWrap/>
            <w:hideMark/>
          </w:tcPr>
          <w:p w14:paraId="6E112B6F" w14:textId="77777777" w:rsidR="007C5B19" w:rsidRPr="00806B7F" w:rsidRDefault="007C5B19" w:rsidP="00A369A1">
            <w:pPr>
              <w:jc w:val="center"/>
              <w:rPr>
                <w:rFonts w:ascii="Arial" w:hAnsi="Arial" w:cs="Arial"/>
                <w:sz w:val="20"/>
              </w:rPr>
            </w:pPr>
            <w:r w:rsidRPr="00806B7F">
              <w:rPr>
                <w:rFonts w:ascii="Arial" w:hAnsi="Arial" w:cs="Arial"/>
                <w:sz w:val="20"/>
              </w:rPr>
              <w:t>4.400</w:t>
            </w:r>
          </w:p>
        </w:tc>
      </w:tr>
      <w:tr w:rsidR="007C5B19" w:rsidRPr="00806B7F" w14:paraId="59FF7D06" w14:textId="77777777" w:rsidTr="00A369A1">
        <w:trPr>
          <w:trHeight w:val="255"/>
        </w:trPr>
        <w:tc>
          <w:tcPr>
            <w:tcW w:w="3196" w:type="dxa"/>
            <w:tcBorders>
              <w:top w:val="nil"/>
              <w:left w:val="nil"/>
              <w:bottom w:val="nil"/>
              <w:right w:val="nil"/>
            </w:tcBorders>
            <w:shd w:val="clear" w:color="auto" w:fill="auto"/>
            <w:noWrap/>
            <w:hideMark/>
          </w:tcPr>
          <w:p w14:paraId="06EE7805" w14:textId="77777777" w:rsidR="007C5B19" w:rsidRPr="00806B7F" w:rsidRDefault="007C5B19" w:rsidP="00A369A1">
            <w:pPr>
              <w:rPr>
                <w:rFonts w:ascii="Arial" w:hAnsi="Arial" w:cs="Arial"/>
                <w:b/>
                <w:bCs/>
                <w:sz w:val="20"/>
              </w:rPr>
            </w:pPr>
            <w:r w:rsidRPr="00806B7F">
              <w:rPr>
                <w:rFonts w:ascii="Arial" w:hAnsi="Arial" w:cs="Arial"/>
                <w:sz w:val="20"/>
              </w:rPr>
              <w:t xml:space="preserve"> Income </w:t>
            </w:r>
          </w:p>
        </w:tc>
        <w:tc>
          <w:tcPr>
            <w:tcW w:w="1117" w:type="dxa"/>
            <w:tcBorders>
              <w:top w:val="nil"/>
              <w:left w:val="nil"/>
              <w:bottom w:val="single" w:sz="4" w:space="0" w:color="auto"/>
              <w:right w:val="nil"/>
            </w:tcBorders>
            <w:shd w:val="clear" w:color="auto" w:fill="auto"/>
            <w:noWrap/>
            <w:hideMark/>
          </w:tcPr>
          <w:p w14:paraId="057F0AC6" w14:textId="77777777" w:rsidR="007C5B19" w:rsidRPr="00806B7F" w:rsidRDefault="007C5B19" w:rsidP="00A369A1">
            <w:pPr>
              <w:jc w:val="center"/>
              <w:rPr>
                <w:rFonts w:ascii="Arial" w:hAnsi="Arial" w:cs="Arial"/>
                <w:sz w:val="20"/>
              </w:rPr>
            </w:pPr>
            <w:r w:rsidRPr="00806B7F">
              <w:rPr>
                <w:rFonts w:ascii="Arial" w:hAnsi="Arial" w:cs="Arial"/>
                <w:sz w:val="20"/>
              </w:rPr>
              <w:t>(6.882)</w:t>
            </w:r>
          </w:p>
        </w:tc>
        <w:tc>
          <w:tcPr>
            <w:tcW w:w="1296" w:type="dxa"/>
            <w:tcBorders>
              <w:top w:val="nil"/>
              <w:left w:val="nil"/>
              <w:bottom w:val="single" w:sz="4" w:space="0" w:color="auto"/>
              <w:right w:val="nil"/>
            </w:tcBorders>
            <w:shd w:val="clear" w:color="auto" w:fill="auto"/>
            <w:noWrap/>
            <w:hideMark/>
          </w:tcPr>
          <w:p w14:paraId="75CCEED2" w14:textId="77777777" w:rsidR="007C5B19" w:rsidRPr="00806B7F" w:rsidRDefault="007C5B19" w:rsidP="00A369A1">
            <w:pPr>
              <w:jc w:val="center"/>
              <w:rPr>
                <w:rFonts w:ascii="Arial" w:hAnsi="Arial" w:cs="Arial"/>
                <w:sz w:val="20"/>
              </w:rPr>
            </w:pPr>
            <w:r w:rsidRPr="00806B7F">
              <w:rPr>
                <w:rFonts w:ascii="Arial" w:hAnsi="Arial" w:cs="Arial"/>
                <w:sz w:val="20"/>
              </w:rPr>
              <w:t>(6.552)</w:t>
            </w:r>
          </w:p>
        </w:tc>
        <w:tc>
          <w:tcPr>
            <w:tcW w:w="1117" w:type="dxa"/>
            <w:tcBorders>
              <w:top w:val="nil"/>
              <w:left w:val="nil"/>
              <w:bottom w:val="single" w:sz="4" w:space="0" w:color="auto"/>
              <w:right w:val="nil"/>
            </w:tcBorders>
            <w:shd w:val="clear" w:color="auto" w:fill="auto"/>
            <w:noWrap/>
            <w:hideMark/>
          </w:tcPr>
          <w:p w14:paraId="51F2E486" w14:textId="77777777" w:rsidR="007C5B19" w:rsidRPr="00806B7F" w:rsidRDefault="007C5B19" w:rsidP="00A369A1">
            <w:pPr>
              <w:jc w:val="center"/>
              <w:rPr>
                <w:rFonts w:ascii="Arial" w:hAnsi="Arial" w:cs="Arial"/>
                <w:sz w:val="20"/>
              </w:rPr>
            </w:pPr>
            <w:r w:rsidRPr="00806B7F">
              <w:rPr>
                <w:rFonts w:ascii="Arial" w:hAnsi="Arial" w:cs="Arial"/>
                <w:sz w:val="20"/>
              </w:rPr>
              <w:t>(6.223)</w:t>
            </w:r>
          </w:p>
        </w:tc>
        <w:tc>
          <w:tcPr>
            <w:tcW w:w="1117" w:type="dxa"/>
            <w:tcBorders>
              <w:top w:val="nil"/>
              <w:left w:val="nil"/>
              <w:bottom w:val="single" w:sz="4" w:space="0" w:color="auto"/>
              <w:right w:val="nil"/>
            </w:tcBorders>
            <w:shd w:val="clear" w:color="auto" w:fill="auto"/>
            <w:noWrap/>
            <w:hideMark/>
          </w:tcPr>
          <w:p w14:paraId="6E35DACB" w14:textId="77777777" w:rsidR="007C5B19" w:rsidRPr="00806B7F" w:rsidRDefault="007C5B19" w:rsidP="00A369A1">
            <w:pPr>
              <w:jc w:val="center"/>
              <w:rPr>
                <w:rFonts w:ascii="Arial" w:hAnsi="Arial" w:cs="Arial"/>
                <w:sz w:val="20"/>
              </w:rPr>
            </w:pPr>
            <w:r w:rsidRPr="00806B7F">
              <w:rPr>
                <w:rFonts w:ascii="Arial" w:hAnsi="Arial" w:cs="Arial"/>
                <w:sz w:val="20"/>
              </w:rPr>
              <w:t>(6.046)</w:t>
            </w:r>
          </w:p>
        </w:tc>
        <w:tc>
          <w:tcPr>
            <w:tcW w:w="1117" w:type="dxa"/>
            <w:tcBorders>
              <w:top w:val="nil"/>
              <w:left w:val="nil"/>
              <w:bottom w:val="single" w:sz="4" w:space="0" w:color="auto"/>
              <w:right w:val="nil"/>
            </w:tcBorders>
            <w:shd w:val="clear" w:color="auto" w:fill="auto"/>
            <w:noWrap/>
            <w:hideMark/>
          </w:tcPr>
          <w:p w14:paraId="23179017" w14:textId="77777777" w:rsidR="007C5B19" w:rsidRPr="00806B7F" w:rsidRDefault="007C5B19" w:rsidP="00A369A1">
            <w:pPr>
              <w:jc w:val="center"/>
              <w:rPr>
                <w:rFonts w:ascii="Arial" w:hAnsi="Arial" w:cs="Arial"/>
                <w:sz w:val="20"/>
              </w:rPr>
            </w:pPr>
            <w:r w:rsidRPr="00806B7F">
              <w:rPr>
                <w:rFonts w:ascii="Arial" w:hAnsi="Arial" w:cs="Arial"/>
                <w:sz w:val="20"/>
              </w:rPr>
              <w:t>(6.007)</w:t>
            </w:r>
          </w:p>
        </w:tc>
      </w:tr>
      <w:tr w:rsidR="007C5B19" w:rsidRPr="00806B7F" w14:paraId="3EA82B3D" w14:textId="77777777" w:rsidTr="00A369A1">
        <w:trPr>
          <w:trHeight w:val="255"/>
        </w:trPr>
        <w:tc>
          <w:tcPr>
            <w:tcW w:w="3196" w:type="dxa"/>
            <w:tcBorders>
              <w:top w:val="nil"/>
              <w:left w:val="nil"/>
              <w:bottom w:val="nil"/>
              <w:right w:val="nil"/>
            </w:tcBorders>
            <w:shd w:val="clear" w:color="auto" w:fill="auto"/>
            <w:noWrap/>
            <w:hideMark/>
          </w:tcPr>
          <w:p w14:paraId="396C31A3" w14:textId="77777777" w:rsidR="007C5B19" w:rsidRPr="00806B7F" w:rsidRDefault="007C5B19" w:rsidP="00A369A1">
            <w:pPr>
              <w:rPr>
                <w:rFonts w:ascii="Arial" w:hAnsi="Arial" w:cs="Arial"/>
                <w:b/>
                <w:bCs/>
                <w:sz w:val="20"/>
              </w:rPr>
            </w:pPr>
            <w:r w:rsidRPr="00806B7F">
              <w:rPr>
                <w:rFonts w:ascii="Arial" w:hAnsi="Arial" w:cs="Arial"/>
                <w:b/>
                <w:bCs/>
                <w:sz w:val="20"/>
              </w:rPr>
              <w:t>Gross Budget Requirement</w:t>
            </w:r>
          </w:p>
        </w:tc>
        <w:tc>
          <w:tcPr>
            <w:tcW w:w="1117" w:type="dxa"/>
            <w:tcBorders>
              <w:top w:val="single" w:sz="4" w:space="0" w:color="auto"/>
              <w:left w:val="nil"/>
              <w:bottom w:val="single" w:sz="4" w:space="0" w:color="auto"/>
              <w:right w:val="nil"/>
            </w:tcBorders>
            <w:shd w:val="clear" w:color="auto" w:fill="auto"/>
            <w:noWrap/>
            <w:hideMark/>
          </w:tcPr>
          <w:p w14:paraId="06B9079F" w14:textId="77777777" w:rsidR="007C5B19" w:rsidRPr="00806B7F" w:rsidRDefault="007C5B19" w:rsidP="00A369A1">
            <w:pPr>
              <w:jc w:val="center"/>
              <w:rPr>
                <w:rFonts w:ascii="Arial" w:hAnsi="Arial" w:cs="Arial"/>
                <w:b/>
                <w:bCs/>
                <w:sz w:val="20"/>
              </w:rPr>
            </w:pPr>
            <w:r w:rsidRPr="00806B7F">
              <w:rPr>
                <w:rFonts w:ascii="Arial" w:hAnsi="Arial" w:cs="Arial"/>
                <w:b/>
                <w:bCs/>
                <w:sz w:val="20"/>
              </w:rPr>
              <w:t>68.493</w:t>
            </w:r>
          </w:p>
        </w:tc>
        <w:tc>
          <w:tcPr>
            <w:tcW w:w="1296" w:type="dxa"/>
            <w:tcBorders>
              <w:top w:val="single" w:sz="4" w:space="0" w:color="auto"/>
              <w:left w:val="nil"/>
              <w:bottom w:val="single" w:sz="4" w:space="0" w:color="auto"/>
              <w:right w:val="nil"/>
            </w:tcBorders>
            <w:shd w:val="clear" w:color="auto" w:fill="auto"/>
            <w:noWrap/>
            <w:hideMark/>
          </w:tcPr>
          <w:p w14:paraId="0366043B" w14:textId="77777777" w:rsidR="007C5B19" w:rsidRPr="00806B7F" w:rsidRDefault="007C5B19" w:rsidP="00A369A1">
            <w:pPr>
              <w:jc w:val="center"/>
              <w:rPr>
                <w:rFonts w:ascii="Arial" w:hAnsi="Arial" w:cs="Arial"/>
                <w:b/>
                <w:bCs/>
                <w:sz w:val="20"/>
              </w:rPr>
            </w:pPr>
            <w:r w:rsidRPr="00806B7F">
              <w:rPr>
                <w:rFonts w:ascii="Arial" w:hAnsi="Arial" w:cs="Arial"/>
                <w:b/>
                <w:bCs/>
                <w:sz w:val="20"/>
              </w:rPr>
              <w:t>71.757</w:t>
            </w:r>
          </w:p>
        </w:tc>
        <w:tc>
          <w:tcPr>
            <w:tcW w:w="1117" w:type="dxa"/>
            <w:tcBorders>
              <w:top w:val="single" w:sz="4" w:space="0" w:color="auto"/>
              <w:left w:val="nil"/>
              <w:bottom w:val="single" w:sz="4" w:space="0" w:color="auto"/>
              <w:right w:val="nil"/>
            </w:tcBorders>
            <w:shd w:val="clear" w:color="auto" w:fill="auto"/>
            <w:noWrap/>
            <w:hideMark/>
          </w:tcPr>
          <w:p w14:paraId="7BBCF803" w14:textId="77777777" w:rsidR="007C5B19" w:rsidRPr="00806B7F" w:rsidRDefault="007C5B19" w:rsidP="00A369A1">
            <w:pPr>
              <w:jc w:val="center"/>
              <w:rPr>
                <w:rFonts w:ascii="Arial" w:hAnsi="Arial" w:cs="Arial"/>
                <w:b/>
                <w:bCs/>
                <w:sz w:val="20"/>
              </w:rPr>
            </w:pPr>
            <w:r w:rsidRPr="00806B7F">
              <w:rPr>
                <w:rFonts w:ascii="Arial" w:hAnsi="Arial" w:cs="Arial"/>
                <w:b/>
                <w:bCs/>
                <w:sz w:val="20"/>
              </w:rPr>
              <w:t>74.548</w:t>
            </w:r>
          </w:p>
        </w:tc>
        <w:tc>
          <w:tcPr>
            <w:tcW w:w="1117" w:type="dxa"/>
            <w:tcBorders>
              <w:top w:val="single" w:sz="4" w:space="0" w:color="auto"/>
              <w:left w:val="nil"/>
              <w:bottom w:val="single" w:sz="4" w:space="0" w:color="auto"/>
              <w:right w:val="nil"/>
            </w:tcBorders>
            <w:shd w:val="clear" w:color="auto" w:fill="auto"/>
            <w:noWrap/>
            <w:hideMark/>
          </w:tcPr>
          <w:p w14:paraId="1B838E38" w14:textId="77777777" w:rsidR="007C5B19" w:rsidRPr="00806B7F" w:rsidRDefault="007C5B19" w:rsidP="00A369A1">
            <w:pPr>
              <w:jc w:val="center"/>
              <w:rPr>
                <w:rFonts w:ascii="Arial" w:hAnsi="Arial" w:cs="Arial"/>
                <w:b/>
                <w:bCs/>
                <w:sz w:val="20"/>
              </w:rPr>
            </w:pPr>
            <w:r w:rsidRPr="00806B7F">
              <w:rPr>
                <w:rFonts w:ascii="Arial" w:hAnsi="Arial" w:cs="Arial"/>
                <w:b/>
                <w:bCs/>
                <w:sz w:val="20"/>
              </w:rPr>
              <w:t>76.642</w:t>
            </w:r>
          </w:p>
        </w:tc>
        <w:tc>
          <w:tcPr>
            <w:tcW w:w="1117" w:type="dxa"/>
            <w:tcBorders>
              <w:top w:val="single" w:sz="4" w:space="0" w:color="auto"/>
              <w:left w:val="nil"/>
              <w:bottom w:val="single" w:sz="4" w:space="0" w:color="auto"/>
              <w:right w:val="nil"/>
            </w:tcBorders>
            <w:shd w:val="clear" w:color="auto" w:fill="auto"/>
            <w:noWrap/>
            <w:hideMark/>
          </w:tcPr>
          <w:p w14:paraId="20F3A907" w14:textId="77777777" w:rsidR="007C5B19" w:rsidRPr="00806B7F" w:rsidRDefault="007C5B19" w:rsidP="00A369A1">
            <w:pPr>
              <w:jc w:val="center"/>
              <w:rPr>
                <w:rFonts w:ascii="Arial" w:hAnsi="Arial" w:cs="Arial"/>
                <w:b/>
                <w:bCs/>
                <w:sz w:val="20"/>
              </w:rPr>
            </w:pPr>
            <w:r w:rsidRPr="00806B7F">
              <w:rPr>
                <w:rFonts w:ascii="Arial" w:hAnsi="Arial" w:cs="Arial"/>
                <w:b/>
                <w:bCs/>
                <w:sz w:val="20"/>
              </w:rPr>
              <w:t>78.876</w:t>
            </w:r>
          </w:p>
        </w:tc>
      </w:tr>
      <w:tr w:rsidR="007C5B19" w:rsidRPr="00806B7F" w14:paraId="06BCD270" w14:textId="77777777" w:rsidTr="00A369A1">
        <w:trPr>
          <w:trHeight w:val="70"/>
        </w:trPr>
        <w:tc>
          <w:tcPr>
            <w:tcW w:w="3196" w:type="dxa"/>
            <w:tcBorders>
              <w:top w:val="nil"/>
              <w:left w:val="nil"/>
              <w:bottom w:val="nil"/>
              <w:right w:val="nil"/>
            </w:tcBorders>
            <w:shd w:val="clear" w:color="auto" w:fill="auto"/>
            <w:hideMark/>
          </w:tcPr>
          <w:p w14:paraId="548F97C1" w14:textId="77777777" w:rsidR="007C5B19" w:rsidRPr="00806B7F" w:rsidRDefault="007C5B19" w:rsidP="00A369A1">
            <w:pPr>
              <w:rPr>
                <w:rFonts w:ascii="Arial" w:hAnsi="Arial" w:cs="Arial"/>
                <w:sz w:val="20"/>
              </w:rPr>
            </w:pPr>
            <w:r w:rsidRPr="00806B7F">
              <w:rPr>
                <w:rFonts w:ascii="Arial" w:hAnsi="Arial" w:cs="Arial"/>
                <w:sz w:val="20"/>
              </w:rPr>
              <w:t>Unidentified Savings/Use of Reserves</w:t>
            </w:r>
          </w:p>
        </w:tc>
        <w:tc>
          <w:tcPr>
            <w:tcW w:w="1117" w:type="dxa"/>
            <w:tcBorders>
              <w:top w:val="nil"/>
              <w:left w:val="nil"/>
              <w:bottom w:val="nil"/>
              <w:right w:val="nil"/>
            </w:tcBorders>
            <w:shd w:val="clear" w:color="auto" w:fill="auto"/>
            <w:hideMark/>
          </w:tcPr>
          <w:p w14:paraId="23BDA3BA" w14:textId="77777777" w:rsidR="007C5B19" w:rsidRPr="00806B7F" w:rsidRDefault="007C5B19" w:rsidP="00A369A1">
            <w:pPr>
              <w:jc w:val="center"/>
              <w:rPr>
                <w:rFonts w:ascii="Arial" w:hAnsi="Arial" w:cs="Arial"/>
                <w:sz w:val="20"/>
              </w:rPr>
            </w:pPr>
            <w:r w:rsidRPr="00806B7F">
              <w:rPr>
                <w:rFonts w:ascii="Arial" w:hAnsi="Arial" w:cs="Arial"/>
                <w:sz w:val="20"/>
              </w:rPr>
              <w:t>(0.310)</w:t>
            </w:r>
          </w:p>
        </w:tc>
        <w:tc>
          <w:tcPr>
            <w:tcW w:w="1296" w:type="dxa"/>
            <w:tcBorders>
              <w:top w:val="nil"/>
              <w:left w:val="nil"/>
              <w:bottom w:val="nil"/>
              <w:right w:val="nil"/>
            </w:tcBorders>
            <w:shd w:val="clear" w:color="auto" w:fill="auto"/>
            <w:hideMark/>
          </w:tcPr>
          <w:p w14:paraId="3D3EDD87" w14:textId="77777777" w:rsidR="007C5B19" w:rsidRPr="00806B7F" w:rsidRDefault="007C5B19" w:rsidP="00A369A1">
            <w:pPr>
              <w:jc w:val="center"/>
              <w:rPr>
                <w:rFonts w:ascii="Arial" w:hAnsi="Arial" w:cs="Arial"/>
                <w:sz w:val="20"/>
              </w:rPr>
            </w:pPr>
            <w:r w:rsidRPr="00806B7F">
              <w:rPr>
                <w:rFonts w:ascii="Arial" w:hAnsi="Arial" w:cs="Arial"/>
                <w:sz w:val="20"/>
              </w:rPr>
              <w:t>0.000</w:t>
            </w:r>
          </w:p>
        </w:tc>
        <w:tc>
          <w:tcPr>
            <w:tcW w:w="1117" w:type="dxa"/>
            <w:tcBorders>
              <w:top w:val="nil"/>
              <w:left w:val="nil"/>
              <w:bottom w:val="nil"/>
              <w:right w:val="nil"/>
            </w:tcBorders>
            <w:shd w:val="clear" w:color="auto" w:fill="auto"/>
            <w:hideMark/>
          </w:tcPr>
          <w:p w14:paraId="2FC55E68" w14:textId="77777777" w:rsidR="007C5B19" w:rsidRPr="00806B7F" w:rsidRDefault="007C5B19" w:rsidP="00A369A1">
            <w:pPr>
              <w:jc w:val="center"/>
              <w:rPr>
                <w:rFonts w:ascii="Arial" w:hAnsi="Arial" w:cs="Arial"/>
                <w:sz w:val="20"/>
              </w:rPr>
            </w:pPr>
            <w:r w:rsidRPr="00806B7F">
              <w:rPr>
                <w:rFonts w:ascii="Arial" w:hAnsi="Arial" w:cs="Arial"/>
                <w:sz w:val="20"/>
              </w:rPr>
              <w:t>0.000</w:t>
            </w:r>
          </w:p>
        </w:tc>
        <w:tc>
          <w:tcPr>
            <w:tcW w:w="1117" w:type="dxa"/>
            <w:tcBorders>
              <w:top w:val="nil"/>
              <w:left w:val="nil"/>
              <w:bottom w:val="nil"/>
              <w:right w:val="nil"/>
            </w:tcBorders>
            <w:shd w:val="clear" w:color="auto" w:fill="auto"/>
            <w:hideMark/>
          </w:tcPr>
          <w:p w14:paraId="41C397DE" w14:textId="77777777" w:rsidR="007C5B19" w:rsidRPr="00806B7F" w:rsidRDefault="007C5B19" w:rsidP="00A369A1">
            <w:pPr>
              <w:jc w:val="center"/>
              <w:rPr>
                <w:rFonts w:ascii="Arial" w:hAnsi="Arial" w:cs="Arial"/>
                <w:sz w:val="20"/>
              </w:rPr>
            </w:pPr>
            <w:r w:rsidRPr="00806B7F">
              <w:rPr>
                <w:rFonts w:ascii="Arial" w:hAnsi="Arial" w:cs="Arial"/>
                <w:sz w:val="20"/>
              </w:rPr>
              <w:t>0.000</w:t>
            </w:r>
          </w:p>
        </w:tc>
        <w:tc>
          <w:tcPr>
            <w:tcW w:w="1117" w:type="dxa"/>
            <w:tcBorders>
              <w:top w:val="nil"/>
              <w:left w:val="nil"/>
              <w:bottom w:val="nil"/>
              <w:right w:val="nil"/>
            </w:tcBorders>
            <w:shd w:val="clear" w:color="auto" w:fill="auto"/>
            <w:hideMark/>
          </w:tcPr>
          <w:p w14:paraId="07A6028F" w14:textId="77777777" w:rsidR="007C5B19" w:rsidRPr="00806B7F" w:rsidRDefault="007C5B19" w:rsidP="00A369A1">
            <w:pPr>
              <w:jc w:val="center"/>
              <w:rPr>
                <w:rFonts w:ascii="Arial" w:hAnsi="Arial" w:cs="Arial"/>
                <w:sz w:val="20"/>
              </w:rPr>
            </w:pPr>
            <w:r w:rsidRPr="00806B7F">
              <w:rPr>
                <w:rFonts w:ascii="Arial" w:hAnsi="Arial" w:cs="Arial"/>
                <w:sz w:val="20"/>
              </w:rPr>
              <w:t>0.000</w:t>
            </w:r>
          </w:p>
        </w:tc>
      </w:tr>
      <w:tr w:rsidR="007C5B19" w:rsidRPr="00806B7F" w14:paraId="19922B78" w14:textId="77777777" w:rsidTr="00A369A1">
        <w:trPr>
          <w:trHeight w:val="255"/>
        </w:trPr>
        <w:tc>
          <w:tcPr>
            <w:tcW w:w="3196" w:type="dxa"/>
            <w:tcBorders>
              <w:top w:val="nil"/>
              <w:left w:val="nil"/>
              <w:bottom w:val="nil"/>
              <w:right w:val="nil"/>
            </w:tcBorders>
            <w:shd w:val="clear" w:color="auto" w:fill="auto"/>
            <w:noWrap/>
            <w:hideMark/>
          </w:tcPr>
          <w:p w14:paraId="14E1C5CB" w14:textId="77777777" w:rsidR="007C5B19" w:rsidRPr="00806B7F" w:rsidRDefault="007C5B19" w:rsidP="00A369A1">
            <w:pPr>
              <w:rPr>
                <w:rFonts w:ascii="Arial" w:hAnsi="Arial" w:cs="Arial"/>
                <w:b/>
                <w:bCs/>
                <w:sz w:val="20"/>
              </w:rPr>
            </w:pPr>
            <w:r w:rsidRPr="00806B7F">
              <w:rPr>
                <w:rFonts w:ascii="Arial" w:hAnsi="Arial" w:cs="Arial"/>
                <w:b/>
                <w:bCs/>
                <w:sz w:val="20"/>
              </w:rPr>
              <w:t>Net Budget Requirement</w:t>
            </w:r>
          </w:p>
        </w:tc>
        <w:tc>
          <w:tcPr>
            <w:tcW w:w="1117" w:type="dxa"/>
            <w:tcBorders>
              <w:top w:val="single" w:sz="4" w:space="0" w:color="auto"/>
              <w:left w:val="nil"/>
              <w:bottom w:val="single" w:sz="4" w:space="0" w:color="auto"/>
              <w:right w:val="nil"/>
            </w:tcBorders>
            <w:shd w:val="clear" w:color="auto" w:fill="auto"/>
            <w:noWrap/>
            <w:hideMark/>
          </w:tcPr>
          <w:p w14:paraId="346DAB94" w14:textId="77777777" w:rsidR="007C5B19" w:rsidRPr="00806B7F" w:rsidRDefault="007C5B19" w:rsidP="00A369A1">
            <w:pPr>
              <w:jc w:val="center"/>
              <w:rPr>
                <w:rFonts w:ascii="Arial" w:hAnsi="Arial" w:cs="Arial"/>
                <w:b/>
                <w:bCs/>
                <w:sz w:val="20"/>
              </w:rPr>
            </w:pPr>
            <w:r w:rsidRPr="00806B7F">
              <w:rPr>
                <w:rFonts w:ascii="Arial" w:hAnsi="Arial" w:cs="Arial"/>
                <w:b/>
                <w:bCs/>
                <w:sz w:val="20"/>
              </w:rPr>
              <w:t>68.183</w:t>
            </w:r>
          </w:p>
        </w:tc>
        <w:tc>
          <w:tcPr>
            <w:tcW w:w="1296" w:type="dxa"/>
            <w:tcBorders>
              <w:top w:val="single" w:sz="4" w:space="0" w:color="auto"/>
              <w:left w:val="nil"/>
              <w:bottom w:val="single" w:sz="4" w:space="0" w:color="auto"/>
              <w:right w:val="nil"/>
            </w:tcBorders>
            <w:shd w:val="clear" w:color="auto" w:fill="auto"/>
            <w:noWrap/>
            <w:hideMark/>
          </w:tcPr>
          <w:p w14:paraId="6E5C1465" w14:textId="77777777" w:rsidR="007C5B19" w:rsidRPr="00806B7F" w:rsidRDefault="007C5B19" w:rsidP="00A369A1">
            <w:pPr>
              <w:jc w:val="center"/>
              <w:rPr>
                <w:rFonts w:ascii="Arial" w:hAnsi="Arial" w:cs="Arial"/>
                <w:b/>
                <w:bCs/>
                <w:sz w:val="20"/>
              </w:rPr>
            </w:pPr>
            <w:r w:rsidRPr="00806B7F">
              <w:rPr>
                <w:rFonts w:ascii="Arial" w:hAnsi="Arial" w:cs="Arial"/>
                <w:b/>
                <w:bCs/>
                <w:sz w:val="20"/>
              </w:rPr>
              <w:t>71.757</w:t>
            </w:r>
          </w:p>
        </w:tc>
        <w:tc>
          <w:tcPr>
            <w:tcW w:w="1117" w:type="dxa"/>
            <w:tcBorders>
              <w:top w:val="single" w:sz="4" w:space="0" w:color="auto"/>
              <w:left w:val="nil"/>
              <w:bottom w:val="single" w:sz="4" w:space="0" w:color="auto"/>
              <w:right w:val="nil"/>
            </w:tcBorders>
            <w:shd w:val="clear" w:color="auto" w:fill="auto"/>
            <w:noWrap/>
            <w:hideMark/>
          </w:tcPr>
          <w:p w14:paraId="5D875968" w14:textId="77777777" w:rsidR="007C5B19" w:rsidRPr="00806B7F" w:rsidRDefault="007C5B19" w:rsidP="00A369A1">
            <w:pPr>
              <w:jc w:val="center"/>
              <w:rPr>
                <w:rFonts w:ascii="Arial" w:hAnsi="Arial" w:cs="Arial"/>
                <w:b/>
                <w:bCs/>
                <w:sz w:val="20"/>
              </w:rPr>
            </w:pPr>
            <w:r w:rsidRPr="00806B7F">
              <w:rPr>
                <w:rFonts w:ascii="Arial" w:hAnsi="Arial" w:cs="Arial"/>
                <w:b/>
                <w:bCs/>
                <w:sz w:val="20"/>
              </w:rPr>
              <w:t>74.548</w:t>
            </w:r>
          </w:p>
        </w:tc>
        <w:tc>
          <w:tcPr>
            <w:tcW w:w="1117" w:type="dxa"/>
            <w:tcBorders>
              <w:top w:val="single" w:sz="4" w:space="0" w:color="auto"/>
              <w:left w:val="nil"/>
              <w:bottom w:val="single" w:sz="4" w:space="0" w:color="auto"/>
              <w:right w:val="nil"/>
            </w:tcBorders>
            <w:shd w:val="clear" w:color="auto" w:fill="auto"/>
            <w:noWrap/>
            <w:hideMark/>
          </w:tcPr>
          <w:p w14:paraId="2C7DC838" w14:textId="77777777" w:rsidR="007C5B19" w:rsidRPr="00806B7F" w:rsidRDefault="007C5B19" w:rsidP="00A369A1">
            <w:pPr>
              <w:jc w:val="center"/>
              <w:rPr>
                <w:rFonts w:ascii="Arial" w:hAnsi="Arial" w:cs="Arial"/>
                <w:b/>
                <w:bCs/>
                <w:sz w:val="20"/>
              </w:rPr>
            </w:pPr>
            <w:r w:rsidRPr="00806B7F">
              <w:rPr>
                <w:rFonts w:ascii="Arial" w:hAnsi="Arial" w:cs="Arial"/>
                <w:b/>
                <w:bCs/>
                <w:sz w:val="20"/>
              </w:rPr>
              <w:t>76.642</w:t>
            </w:r>
          </w:p>
        </w:tc>
        <w:tc>
          <w:tcPr>
            <w:tcW w:w="1117" w:type="dxa"/>
            <w:tcBorders>
              <w:top w:val="single" w:sz="4" w:space="0" w:color="auto"/>
              <w:left w:val="nil"/>
              <w:bottom w:val="single" w:sz="4" w:space="0" w:color="auto"/>
              <w:right w:val="nil"/>
            </w:tcBorders>
            <w:shd w:val="clear" w:color="auto" w:fill="auto"/>
            <w:noWrap/>
            <w:hideMark/>
          </w:tcPr>
          <w:p w14:paraId="7076D339" w14:textId="77777777" w:rsidR="007C5B19" w:rsidRPr="00806B7F" w:rsidRDefault="007C5B19" w:rsidP="00A369A1">
            <w:pPr>
              <w:jc w:val="center"/>
              <w:rPr>
                <w:rFonts w:ascii="Arial" w:hAnsi="Arial" w:cs="Arial"/>
                <w:b/>
                <w:bCs/>
                <w:sz w:val="20"/>
              </w:rPr>
            </w:pPr>
            <w:r w:rsidRPr="00806B7F">
              <w:rPr>
                <w:rFonts w:ascii="Arial" w:hAnsi="Arial" w:cs="Arial"/>
                <w:b/>
                <w:bCs/>
                <w:sz w:val="20"/>
              </w:rPr>
              <w:t>78.876</w:t>
            </w:r>
          </w:p>
        </w:tc>
      </w:tr>
    </w:tbl>
    <w:p w14:paraId="25BF1155" w14:textId="77777777" w:rsidR="00DB42BE" w:rsidRPr="00806B7F" w:rsidRDefault="00DB42BE" w:rsidP="003038E2">
      <w:pPr>
        <w:suppressAutoHyphens/>
        <w:jc w:val="both"/>
        <w:rPr>
          <w:rFonts w:ascii="Arial" w:hAnsi="Arial" w:cs="Arial"/>
          <w:b/>
          <w:sz w:val="20"/>
        </w:rPr>
      </w:pPr>
      <w:r w:rsidRPr="00806B7F">
        <w:rPr>
          <w:rFonts w:ascii="Arial" w:hAnsi="Arial" w:cs="Arial"/>
          <w:b/>
          <w:sz w:val="20"/>
        </w:rPr>
        <w:br w:type="page"/>
      </w:r>
    </w:p>
    <w:p w14:paraId="24AFFDE3" w14:textId="273AACBB" w:rsidR="00625087" w:rsidRPr="00806B7F" w:rsidRDefault="0086734E" w:rsidP="003038E2">
      <w:pPr>
        <w:suppressAutoHyphens/>
        <w:jc w:val="both"/>
        <w:rPr>
          <w:rFonts w:ascii="Arial" w:hAnsi="Arial" w:cs="Arial"/>
          <w:b/>
          <w:sz w:val="20"/>
          <w:u w:val="single"/>
        </w:rPr>
      </w:pPr>
      <w:r w:rsidRPr="00806B7F">
        <w:rPr>
          <w:rFonts w:ascii="Arial" w:hAnsi="Arial" w:cs="Arial"/>
          <w:b/>
          <w:sz w:val="20"/>
          <w:u w:val="single"/>
        </w:rPr>
        <w:t>Revenue Funding 20</w:t>
      </w:r>
      <w:r w:rsidR="00A515AB" w:rsidRPr="00806B7F">
        <w:rPr>
          <w:rFonts w:ascii="Arial" w:hAnsi="Arial" w:cs="Arial"/>
          <w:b/>
          <w:sz w:val="20"/>
          <w:u w:val="single"/>
        </w:rPr>
        <w:t>2</w:t>
      </w:r>
      <w:r w:rsidR="007C5B19" w:rsidRPr="00806B7F">
        <w:rPr>
          <w:rFonts w:ascii="Arial" w:hAnsi="Arial" w:cs="Arial"/>
          <w:b/>
          <w:sz w:val="20"/>
          <w:u w:val="single"/>
        </w:rPr>
        <w:t>3/24</w:t>
      </w:r>
      <w:r w:rsidRPr="00806B7F">
        <w:rPr>
          <w:rFonts w:ascii="Arial" w:hAnsi="Arial" w:cs="Arial"/>
          <w:b/>
          <w:sz w:val="20"/>
          <w:u w:val="single"/>
        </w:rPr>
        <w:t>-202</w:t>
      </w:r>
      <w:r w:rsidR="007C5B19" w:rsidRPr="00806B7F">
        <w:rPr>
          <w:rFonts w:ascii="Arial" w:hAnsi="Arial" w:cs="Arial"/>
          <w:b/>
          <w:sz w:val="20"/>
          <w:u w:val="single"/>
        </w:rPr>
        <w:t>7/28</w:t>
      </w:r>
    </w:p>
    <w:p w14:paraId="0EABAB0F" w14:textId="77777777" w:rsidR="00625087" w:rsidRPr="00806B7F" w:rsidRDefault="00625087" w:rsidP="00625087">
      <w:pPr>
        <w:jc w:val="both"/>
        <w:rPr>
          <w:rFonts w:ascii="Arial" w:hAnsi="Arial" w:cs="Arial"/>
          <w:sz w:val="20"/>
        </w:rPr>
      </w:pPr>
    </w:p>
    <w:p w14:paraId="18F27514" w14:textId="77777777" w:rsidR="007C5B19" w:rsidRPr="00806B7F" w:rsidRDefault="007C5B19" w:rsidP="007C5B19">
      <w:pPr>
        <w:jc w:val="both"/>
        <w:rPr>
          <w:rFonts w:ascii="Arial" w:hAnsi="Arial" w:cs="Arial"/>
          <w:sz w:val="20"/>
        </w:rPr>
      </w:pPr>
    </w:p>
    <w:p w14:paraId="28824115" w14:textId="77777777" w:rsidR="007C5B19" w:rsidRPr="00806B7F" w:rsidRDefault="007C5B19" w:rsidP="007C5B19">
      <w:pPr>
        <w:spacing w:after="200" w:line="276" w:lineRule="auto"/>
        <w:rPr>
          <w:rFonts w:ascii="Arial" w:hAnsi="Arial" w:cs="Arial"/>
          <w:b/>
          <w:sz w:val="20"/>
        </w:rPr>
      </w:pPr>
      <w:r w:rsidRPr="00806B7F">
        <w:rPr>
          <w:rFonts w:ascii="Arial" w:hAnsi="Arial" w:cs="Arial"/>
          <w:b/>
          <w:sz w:val="20"/>
        </w:rPr>
        <w:t>Grant Funding</w:t>
      </w:r>
    </w:p>
    <w:p w14:paraId="28077AAD" w14:textId="77777777" w:rsidR="007C5B19" w:rsidRPr="00806B7F" w:rsidRDefault="007C5B19" w:rsidP="00BF6550">
      <w:pPr>
        <w:jc w:val="both"/>
        <w:rPr>
          <w:rFonts w:ascii="Arial" w:hAnsi="Arial" w:cs="Arial"/>
          <w:sz w:val="20"/>
        </w:rPr>
      </w:pPr>
      <w:r w:rsidRPr="00806B7F">
        <w:rPr>
          <w:rFonts w:ascii="Arial" w:hAnsi="Arial" w:cs="Arial"/>
          <w:sz w:val="20"/>
        </w:rPr>
        <w:t xml:space="preserve">The Government’s Budget will set the overall total for public sector spending which will then be allocated out to departments as part of the Spending Review, and these are then allocated out to individual Authorities as part of the Local Government Finance Settlement, the final version being announced on 6 February. </w:t>
      </w:r>
    </w:p>
    <w:p w14:paraId="41FA1397" w14:textId="77777777" w:rsidR="007C5B19" w:rsidRPr="00806B7F" w:rsidRDefault="007C5B19" w:rsidP="00BF6550">
      <w:pPr>
        <w:jc w:val="both"/>
        <w:rPr>
          <w:rFonts w:ascii="Arial" w:hAnsi="Arial" w:cs="Arial"/>
          <w:sz w:val="20"/>
        </w:rPr>
      </w:pPr>
    </w:p>
    <w:p w14:paraId="31CE7268" w14:textId="77777777" w:rsidR="007C5B19" w:rsidRPr="00806B7F" w:rsidRDefault="007C5B19" w:rsidP="00BF6550">
      <w:pPr>
        <w:jc w:val="both"/>
        <w:rPr>
          <w:rFonts w:ascii="Arial" w:hAnsi="Arial" w:cs="Arial"/>
          <w:sz w:val="20"/>
        </w:rPr>
      </w:pPr>
      <w:r w:rsidRPr="00806B7F">
        <w:rPr>
          <w:rFonts w:ascii="Arial" w:hAnsi="Arial" w:cs="Arial"/>
          <w:sz w:val="20"/>
        </w:rPr>
        <w:t>Due to economic uncertainty the anticipated multi-year settlement has been postponed again, hence the draft settlement only covers 23/24.</w:t>
      </w:r>
    </w:p>
    <w:p w14:paraId="5807BE7F" w14:textId="77777777" w:rsidR="007C5B19" w:rsidRPr="00806B7F" w:rsidRDefault="007C5B19" w:rsidP="00BF6550">
      <w:pPr>
        <w:jc w:val="both"/>
        <w:rPr>
          <w:rFonts w:ascii="Arial" w:hAnsi="Arial" w:cs="Arial"/>
          <w:sz w:val="20"/>
        </w:rPr>
      </w:pPr>
    </w:p>
    <w:p w14:paraId="3C23E940" w14:textId="77777777" w:rsidR="007C5B19" w:rsidRPr="00806B7F" w:rsidRDefault="007C5B19" w:rsidP="00BF6550">
      <w:pPr>
        <w:jc w:val="both"/>
        <w:rPr>
          <w:rFonts w:ascii="Arial" w:hAnsi="Arial" w:cs="Arial"/>
          <w:sz w:val="20"/>
        </w:rPr>
      </w:pPr>
      <w:r w:rsidRPr="00806B7F">
        <w:rPr>
          <w:rFonts w:ascii="Arial" w:hAnsi="Arial" w:cs="Arial"/>
          <w:sz w:val="20"/>
        </w:rPr>
        <w:t xml:space="preserve">Similarly, the Fair Funding review, which looked to re-assess the methodology under which funding was allocated to individual authorities, and the implementation of a revised Business Rates Retention Scheme, have both been put on hold for at least a further 12 months. </w:t>
      </w:r>
    </w:p>
    <w:p w14:paraId="48B8114B" w14:textId="77777777" w:rsidR="007C5B19" w:rsidRPr="00806B7F" w:rsidRDefault="007C5B19" w:rsidP="00BF6550">
      <w:pPr>
        <w:jc w:val="both"/>
        <w:rPr>
          <w:rFonts w:ascii="Arial" w:hAnsi="Arial" w:cs="Arial"/>
          <w:sz w:val="20"/>
        </w:rPr>
      </w:pPr>
    </w:p>
    <w:p w14:paraId="587C4A4E" w14:textId="77777777" w:rsidR="007C5B19" w:rsidRPr="00806B7F" w:rsidRDefault="007C5B19" w:rsidP="00BF6550">
      <w:pPr>
        <w:jc w:val="both"/>
        <w:rPr>
          <w:rFonts w:ascii="Arial" w:hAnsi="Arial" w:cs="Arial"/>
          <w:sz w:val="20"/>
        </w:rPr>
      </w:pPr>
      <w:r w:rsidRPr="00806B7F">
        <w:rPr>
          <w:rFonts w:ascii="Arial" w:hAnsi="Arial" w:cs="Arial"/>
          <w:sz w:val="20"/>
        </w:rPr>
        <w:t>The 2023/24 Local Government Finance Settlement showed an increase in the Government’s Settlement Funding Assessment of 6.05%. The Settlement Funding Assessment comprises:-</w:t>
      </w:r>
    </w:p>
    <w:p w14:paraId="333B66EE" w14:textId="77777777" w:rsidR="007C5B19" w:rsidRPr="00806B7F" w:rsidRDefault="007C5B19" w:rsidP="00BF6550">
      <w:pPr>
        <w:jc w:val="both"/>
        <w:rPr>
          <w:rFonts w:ascii="Arial" w:hAnsi="Arial" w:cs="Arial"/>
          <w:sz w:val="20"/>
        </w:rPr>
      </w:pPr>
    </w:p>
    <w:p w14:paraId="08E89513"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11 Details of Settlement Funding Assessment 2023/24</w:t>
      </w:r>
    </w:p>
    <w:tbl>
      <w:tblPr>
        <w:tblStyle w:val="TableGrid"/>
        <w:tblW w:w="0" w:type="auto"/>
        <w:tblLook w:val="04A0" w:firstRow="1" w:lastRow="0" w:firstColumn="1" w:lastColumn="0" w:noHBand="0" w:noVBand="1"/>
      </w:tblPr>
      <w:tblGrid>
        <w:gridCol w:w="6232"/>
        <w:gridCol w:w="884"/>
      </w:tblGrid>
      <w:tr w:rsidR="007C5B19" w:rsidRPr="00806B7F" w14:paraId="6082D69B" w14:textId="77777777" w:rsidTr="00A369A1">
        <w:tc>
          <w:tcPr>
            <w:tcW w:w="6232" w:type="dxa"/>
          </w:tcPr>
          <w:p w14:paraId="5DABC0DC" w14:textId="77777777" w:rsidR="007C5B19" w:rsidRPr="00806B7F" w:rsidRDefault="007C5B19" w:rsidP="00A369A1">
            <w:pPr>
              <w:jc w:val="both"/>
              <w:rPr>
                <w:rFonts w:ascii="Arial" w:hAnsi="Arial" w:cs="Arial"/>
                <w:sz w:val="20"/>
              </w:rPr>
            </w:pPr>
            <w:r w:rsidRPr="00806B7F">
              <w:rPr>
                <w:rFonts w:ascii="Arial" w:hAnsi="Arial" w:cs="Arial"/>
                <w:sz w:val="20"/>
              </w:rPr>
              <w:t>Revenue Support Grant (from the Government)</w:t>
            </w:r>
          </w:p>
        </w:tc>
        <w:tc>
          <w:tcPr>
            <w:tcW w:w="884" w:type="dxa"/>
          </w:tcPr>
          <w:p w14:paraId="2112924A" w14:textId="77777777" w:rsidR="007C5B19" w:rsidRPr="00806B7F" w:rsidRDefault="007C5B19" w:rsidP="00A369A1">
            <w:pPr>
              <w:jc w:val="center"/>
              <w:rPr>
                <w:rFonts w:ascii="Arial" w:hAnsi="Arial" w:cs="Arial"/>
                <w:sz w:val="20"/>
              </w:rPr>
            </w:pPr>
            <w:r w:rsidRPr="00806B7F">
              <w:rPr>
                <w:rFonts w:ascii="Arial" w:hAnsi="Arial" w:cs="Arial"/>
                <w:sz w:val="20"/>
              </w:rPr>
              <w:t>£9.7m</w:t>
            </w:r>
          </w:p>
        </w:tc>
      </w:tr>
      <w:tr w:rsidR="007C5B19" w:rsidRPr="00806B7F" w14:paraId="2968A77B" w14:textId="77777777" w:rsidTr="00A369A1">
        <w:tc>
          <w:tcPr>
            <w:tcW w:w="6232" w:type="dxa"/>
          </w:tcPr>
          <w:p w14:paraId="166FDB38" w14:textId="77777777" w:rsidR="007C5B19" w:rsidRPr="00806B7F" w:rsidRDefault="007C5B19" w:rsidP="00A369A1">
            <w:pPr>
              <w:jc w:val="both"/>
              <w:rPr>
                <w:rFonts w:ascii="Arial" w:hAnsi="Arial" w:cs="Arial"/>
                <w:sz w:val="20"/>
              </w:rPr>
            </w:pPr>
            <w:r w:rsidRPr="00806B7F">
              <w:rPr>
                <w:rFonts w:ascii="Arial" w:hAnsi="Arial" w:cs="Arial"/>
                <w:sz w:val="20"/>
              </w:rPr>
              <w:t>Business Rates (from local billing authorities)</w:t>
            </w:r>
          </w:p>
        </w:tc>
        <w:tc>
          <w:tcPr>
            <w:tcW w:w="884" w:type="dxa"/>
          </w:tcPr>
          <w:p w14:paraId="5C399DD4" w14:textId="77777777" w:rsidR="007C5B19" w:rsidRPr="00806B7F" w:rsidRDefault="007C5B19" w:rsidP="00A369A1">
            <w:pPr>
              <w:jc w:val="center"/>
              <w:rPr>
                <w:rFonts w:ascii="Arial" w:hAnsi="Arial" w:cs="Arial"/>
                <w:sz w:val="20"/>
              </w:rPr>
            </w:pPr>
            <w:r w:rsidRPr="00806B7F">
              <w:rPr>
                <w:rFonts w:ascii="Arial" w:hAnsi="Arial" w:cs="Arial"/>
                <w:sz w:val="20"/>
              </w:rPr>
              <w:t>£11.6m</w:t>
            </w:r>
          </w:p>
        </w:tc>
      </w:tr>
      <w:tr w:rsidR="007C5B19" w:rsidRPr="00806B7F" w14:paraId="755F09DC" w14:textId="77777777" w:rsidTr="00A369A1">
        <w:tc>
          <w:tcPr>
            <w:tcW w:w="6232" w:type="dxa"/>
          </w:tcPr>
          <w:p w14:paraId="2EEDEEE1" w14:textId="77777777" w:rsidR="007C5B19" w:rsidRPr="00806B7F" w:rsidRDefault="007C5B19" w:rsidP="00A369A1">
            <w:pPr>
              <w:jc w:val="both"/>
              <w:rPr>
                <w:rFonts w:ascii="Arial" w:hAnsi="Arial" w:cs="Arial"/>
                <w:sz w:val="20"/>
              </w:rPr>
            </w:pPr>
            <w:r w:rsidRPr="00806B7F">
              <w:rPr>
                <w:rFonts w:ascii="Arial" w:hAnsi="Arial" w:cs="Arial"/>
                <w:sz w:val="20"/>
              </w:rPr>
              <w:t>Business Rates Top-Up (from the Government)</w:t>
            </w:r>
          </w:p>
        </w:tc>
        <w:tc>
          <w:tcPr>
            <w:tcW w:w="884" w:type="dxa"/>
          </w:tcPr>
          <w:p w14:paraId="78F1F55E" w14:textId="77777777" w:rsidR="007C5B19" w:rsidRPr="00806B7F" w:rsidRDefault="007C5B19" w:rsidP="00A369A1">
            <w:pPr>
              <w:jc w:val="center"/>
              <w:rPr>
                <w:rFonts w:ascii="Arial" w:hAnsi="Arial" w:cs="Arial"/>
                <w:sz w:val="20"/>
              </w:rPr>
            </w:pPr>
            <w:r w:rsidRPr="00806B7F">
              <w:rPr>
                <w:rFonts w:ascii="Arial" w:hAnsi="Arial" w:cs="Arial"/>
                <w:sz w:val="20"/>
              </w:rPr>
              <w:t>£4.7m</w:t>
            </w:r>
          </w:p>
        </w:tc>
      </w:tr>
      <w:tr w:rsidR="007C5B19" w:rsidRPr="00806B7F" w14:paraId="7F15E59E" w14:textId="77777777" w:rsidTr="00A369A1">
        <w:tc>
          <w:tcPr>
            <w:tcW w:w="6232" w:type="dxa"/>
          </w:tcPr>
          <w:p w14:paraId="5A0A40B8" w14:textId="77777777" w:rsidR="007C5B19" w:rsidRPr="00806B7F" w:rsidRDefault="007C5B19" w:rsidP="00A369A1">
            <w:pPr>
              <w:pStyle w:val="ListParagraph"/>
              <w:jc w:val="both"/>
              <w:rPr>
                <w:rFonts w:ascii="Arial" w:hAnsi="Arial" w:cs="Arial"/>
                <w:sz w:val="20"/>
                <w:szCs w:val="20"/>
              </w:rPr>
            </w:pPr>
          </w:p>
        </w:tc>
        <w:tc>
          <w:tcPr>
            <w:tcW w:w="884" w:type="dxa"/>
          </w:tcPr>
          <w:p w14:paraId="5661C02A" w14:textId="77777777" w:rsidR="007C5B19" w:rsidRPr="00806B7F" w:rsidRDefault="007C5B19" w:rsidP="00A369A1">
            <w:pPr>
              <w:jc w:val="center"/>
              <w:rPr>
                <w:rFonts w:ascii="Arial" w:hAnsi="Arial" w:cs="Arial"/>
                <w:sz w:val="20"/>
              </w:rPr>
            </w:pPr>
            <w:r w:rsidRPr="00806B7F">
              <w:rPr>
                <w:rFonts w:ascii="Arial" w:hAnsi="Arial" w:cs="Arial"/>
                <w:sz w:val="20"/>
              </w:rPr>
              <w:t>£26.0m</w:t>
            </w:r>
          </w:p>
        </w:tc>
      </w:tr>
    </w:tbl>
    <w:p w14:paraId="0616E0DA" w14:textId="77777777" w:rsidR="007C5B19" w:rsidRPr="00806B7F" w:rsidRDefault="007C5B19" w:rsidP="007C5B19">
      <w:pPr>
        <w:jc w:val="both"/>
        <w:rPr>
          <w:rFonts w:ascii="Arial" w:hAnsi="Arial" w:cs="Arial"/>
          <w:sz w:val="20"/>
        </w:rPr>
      </w:pPr>
    </w:p>
    <w:p w14:paraId="36BCC7D0" w14:textId="77777777" w:rsidR="007C5B19" w:rsidRPr="00806B7F" w:rsidRDefault="007C5B19" w:rsidP="00BF6550">
      <w:pPr>
        <w:jc w:val="both"/>
        <w:rPr>
          <w:rFonts w:ascii="Arial" w:hAnsi="Arial" w:cs="Arial"/>
          <w:sz w:val="20"/>
        </w:rPr>
      </w:pPr>
      <w:r w:rsidRPr="00806B7F">
        <w:rPr>
          <w:rFonts w:ascii="Arial" w:hAnsi="Arial" w:cs="Arial"/>
          <w:sz w:val="20"/>
        </w:rPr>
        <w:t>Looking beyond 23/24, the policy statement that accompanied the finance settlement stated “The core settlement will continue in a similar manner for 2024-25. The major grants will continue as set out for 2023-24: Revenue Support Grant will continue and be uplifted in line with Baseline Funding Levels”. We have therefore assumed that the settlement funding assessment will grow in line with inflation in 24/25 (assumed to be 5.0%) and thereafter by 2.0% (the Governments inflation target). The table below sets out our assumed level of funding (Settlement Funding Assessment) over the next 5 years: -</w:t>
      </w:r>
    </w:p>
    <w:p w14:paraId="034A4E62" w14:textId="77777777" w:rsidR="007C5B19" w:rsidRPr="00806B7F" w:rsidRDefault="007C5B19" w:rsidP="007C5B19">
      <w:pPr>
        <w:jc w:val="both"/>
        <w:rPr>
          <w:rFonts w:ascii="Arial" w:hAnsi="Arial" w:cs="Arial"/>
          <w:sz w:val="20"/>
        </w:rPr>
      </w:pPr>
    </w:p>
    <w:p w14:paraId="54ADB495"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12 Forecast Settlement Funding Assessment 2023/24-2027/28</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3DD010B8" w14:textId="77777777" w:rsidTr="00A369A1">
        <w:tc>
          <w:tcPr>
            <w:tcW w:w="4390" w:type="dxa"/>
          </w:tcPr>
          <w:p w14:paraId="26F58DB4" w14:textId="77777777" w:rsidR="007C5B19" w:rsidRPr="00806B7F" w:rsidRDefault="007C5B19" w:rsidP="00A369A1">
            <w:pPr>
              <w:jc w:val="both"/>
              <w:rPr>
                <w:rFonts w:ascii="Arial" w:hAnsi="Arial" w:cs="Arial"/>
                <w:sz w:val="20"/>
              </w:rPr>
            </w:pPr>
          </w:p>
        </w:tc>
        <w:tc>
          <w:tcPr>
            <w:tcW w:w="1134" w:type="dxa"/>
          </w:tcPr>
          <w:p w14:paraId="3549E724"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6F35251F"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64DDF651"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323F7C89"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489957F4"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1001BF55" w14:textId="77777777" w:rsidTr="00A369A1">
        <w:tc>
          <w:tcPr>
            <w:tcW w:w="4390" w:type="dxa"/>
          </w:tcPr>
          <w:p w14:paraId="721E3DF4" w14:textId="77777777" w:rsidR="007C5B19" w:rsidRPr="00806B7F" w:rsidRDefault="007C5B19" w:rsidP="00A369A1">
            <w:pPr>
              <w:jc w:val="both"/>
              <w:rPr>
                <w:rFonts w:ascii="Arial" w:hAnsi="Arial" w:cs="Arial"/>
                <w:sz w:val="20"/>
              </w:rPr>
            </w:pPr>
          </w:p>
        </w:tc>
        <w:tc>
          <w:tcPr>
            <w:tcW w:w="1134" w:type="dxa"/>
          </w:tcPr>
          <w:p w14:paraId="0D3BB50D"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469D6D7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207E5657"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29C2F9B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37F368A1"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189A0560" w14:textId="77777777" w:rsidTr="00A369A1">
        <w:tc>
          <w:tcPr>
            <w:tcW w:w="4390" w:type="dxa"/>
          </w:tcPr>
          <w:p w14:paraId="2E15E75D" w14:textId="77777777" w:rsidR="007C5B19" w:rsidRPr="00806B7F" w:rsidRDefault="007C5B19" w:rsidP="00A369A1">
            <w:pPr>
              <w:rPr>
                <w:rFonts w:ascii="Arial" w:hAnsi="Arial" w:cs="Arial"/>
                <w:snapToGrid w:val="0"/>
                <w:color w:val="000000"/>
                <w:sz w:val="20"/>
                <w:lang w:eastAsia="en-US"/>
              </w:rPr>
            </w:pPr>
            <w:r w:rsidRPr="00806B7F">
              <w:rPr>
                <w:rFonts w:ascii="Arial" w:hAnsi="Arial" w:cs="Arial"/>
                <w:snapToGrid w:val="0"/>
                <w:color w:val="000000"/>
                <w:sz w:val="20"/>
                <w:lang w:eastAsia="en-US"/>
              </w:rPr>
              <w:t xml:space="preserve">Estimated </w:t>
            </w:r>
            <w:r w:rsidRPr="00806B7F">
              <w:rPr>
                <w:rFonts w:ascii="Arial" w:hAnsi="Arial" w:cs="Arial"/>
                <w:sz w:val="20"/>
              </w:rPr>
              <w:t>Settlement Funding Assessment</w:t>
            </w:r>
          </w:p>
        </w:tc>
        <w:tc>
          <w:tcPr>
            <w:tcW w:w="1134" w:type="dxa"/>
          </w:tcPr>
          <w:p w14:paraId="19599934" w14:textId="77777777" w:rsidR="007C5B19" w:rsidRPr="00806B7F" w:rsidRDefault="007C5B19" w:rsidP="00A369A1">
            <w:pPr>
              <w:jc w:val="center"/>
              <w:rPr>
                <w:rFonts w:ascii="Arial" w:hAnsi="Arial" w:cs="Arial"/>
                <w:sz w:val="20"/>
              </w:rPr>
            </w:pPr>
            <w:r w:rsidRPr="00806B7F">
              <w:rPr>
                <w:rFonts w:ascii="Arial" w:hAnsi="Arial" w:cs="Arial"/>
                <w:sz w:val="20"/>
              </w:rPr>
              <w:t>26.0</w:t>
            </w:r>
          </w:p>
        </w:tc>
        <w:tc>
          <w:tcPr>
            <w:tcW w:w="1134" w:type="dxa"/>
          </w:tcPr>
          <w:p w14:paraId="1D571F22" w14:textId="77777777" w:rsidR="007C5B19" w:rsidRPr="00806B7F" w:rsidRDefault="007C5B19" w:rsidP="00A369A1">
            <w:pPr>
              <w:jc w:val="center"/>
              <w:rPr>
                <w:rFonts w:ascii="Arial" w:hAnsi="Arial" w:cs="Arial"/>
                <w:sz w:val="20"/>
              </w:rPr>
            </w:pPr>
            <w:r w:rsidRPr="00806B7F">
              <w:rPr>
                <w:rFonts w:ascii="Arial" w:hAnsi="Arial" w:cs="Arial"/>
                <w:sz w:val="20"/>
              </w:rPr>
              <w:t>27.3</w:t>
            </w:r>
          </w:p>
        </w:tc>
        <w:tc>
          <w:tcPr>
            <w:tcW w:w="1134" w:type="dxa"/>
          </w:tcPr>
          <w:p w14:paraId="32521A84" w14:textId="77777777" w:rsidR="007C5B19" w:rsidRPr="00806B7F" w:rsidRDefault="007C5B19" w:rsidP="00A369A1">
            <w:pPr>
              <w:jc w:val="center"/>
              <w:rPr>
                <w:rFonts w:ascii="Arial" w:hAnsi="Arial" w:cs="Arial"/>
                <w:sz w:val="20"/>
              </w:rPr>
            </w:pPr>
            <w:r w:rsidRPr="00806B7F">
              <w:rPr>
                <w:rFonts w:ascii="Arial" w:hAnsi="Arial" w:cs="Arial"/>
                <w:sz w:val="20"/>
              </w:rPr>
              <w:t>27.8</w:t>
            </w:r>
          </w:p>
        </w:tc>
        <w:tc>
          <w:tcPr>
            <w:tcW w:w="1134" w:type="dxa"/>
          </w:tcPr>
          <w:p w14:paraId="12D01884" w14:textId="77777777" w:rsidR="007C5B19" w:rsidRPr="00806B7F" w:rsidRDefault="007C5B19" w:rsidP="00A369A1">
            <w:pPr>
              <w:jc w:val="center"/>
              <w:rPr>
                <w:rFonts w:ascii="Arial" w:hAnsi="Arial" w:cs="Arial"/>
                <w:sz w:val="20"/>
              </w:rPr>
            </w:pPr>
            <w:r w:rsidRPr="00806B7F">
              <w:rPr>
                <w:rFonts w:ascii="Arial" w:hAnsi="Arial" w:cs="Arial"/>
                <w:sz w:val="20"/>
              </w:rPr>
              <w:t>28.4</w:t>
            </w:r>
          </w:p>
        </w:tc>
        <w:tc>
          <w:tcPr>
            <w:tcW w:w="1134" w:type="dxa"/>
          </w:tcPr>
          <w:p w14:paraId="54493C45" w14:textId="77777777" w:rsidR="007C5B19" w:rsidRPr="00806B7F" w:rsidRDefault="007C5B19" w:rsidP="00A369A1">
            <w:pPr>
              <w:jc w:val="center"/>
              <w:rPr>
                <w:rFonts w:ascii="Arial" w:hAnsi="Arial" w:cs="Arial"/>
                <w:sz w:val="20"/>
              </w:rPr>
            </w:pPr>
            <w:r w:rsidRPr="00806B7F">
              <w:rPr>
                <w:rFonts w:ascii="Arial" w:hAnsi="Arial" w:cs="Arial"/>
                <w:sz w:val="20"/>
              </w:rPr>
              <w:t>29.0</w:t>
            </w:r>
          </w:p>
        </w:tc>
      </w:tr>
      <w:tr w:rsidR="007C5B19" w:rsidRPr="00806B7F" w14:paraId="2188D8E6" w14:textId="77777777" w:rsidTr="00A369A1">
        <w:tc>
          <w:tcPr>
            <w:tcW w:w="4390" w:type="dxa"/>
          </w:tcPr>
          <w:p w14:paraId="67CCF356" w14:textId="77777777" w:rsidR="007C5B19" w:rsidRPr="00806B7F" w:rsidRDefault="007C5B19" w:rsidP="00A369A1">
            <w:pPr>
              <w:jc w:val="both"/>
              <w:rPr>
                <w:rFonts w:ascii="Arial" w:hAnsi="Arial" w:cs="Arial"/>
                <w:sz w:val="20"/>
              </w:rPr>
            </w:pPr>
            <w:r w:rsidRPr="00806B7F">
              <w:rPr>
                <w:rFonts w:ascii="Arial" w:hAnsi="Arial" w:cs="Arial"/>
                <w:snapToGrid w:val="0"/>
                <w:color w:val="000000"/>
                <w:sz w:val="20"/>
                <w:lang w:eastAsia="en-US"/>
              </w:rPr>
              <w:t>Growth</w:t>
            </w:r>
          </w:p>
        </w:tc>
        <w:tc>
          <w:tcPr>
            <w:tcW w:w="1134" w:type="dxa"/>
            <w:vAlign w:val="bottom"/>
          </w:tcPr>
          <w:p w14:paraId="3CA024AD" w14:textId="77777777" w:rsidR="007C5B19" w:rsidRPr="00806B7F" w:rsidRDefault="007C5B19" w:rsidP="00A369A1">
            <w:pPr>
              <w:jc w:val="center"/>
              <w:rPr>
                <w:rFonts w:ascii="Arial" w:hAnsi="Arial" w:cs="Arial"/>
                <w:sz w:val="20"/>
              </w:rPr>
            </w:pPr>
            <w:r w:rsidRPr="00806B7F">
              <w:rPr>
                <w:rFonts w:ascii="Arial" w:hAnsi="Arial" w:cs="Arial"/>
                <w:sz w:val="20"/>
              </w:rPr>
              <w:t>6.0%</w:t>
            </w:r>
          </w:p>
        </w:tc>
        <w:tc>
          <w:tcPr>
            <w:tcW w:w="1134" w:type="dxa"/>
            <w:vAlign w:val="bottom"/>
          </w:tcPr>
          <w:p w14:paraId="66ABD30B" w14:textId="77777777" w:rsidR="007C5B19" w:rsidRPr="00806B7F" w:rsidRDefault="007C5B19" w:rsidP="00A369A1">
            <w:pPr>
              <w:jc w:val="center"/>
              <w:rPr>
                <w:rFonts w:ascii="Arial" w:hAnsi="Arial" w:cs="Arial"/>
                <w:sz w:val="20"/>
              </w:rPr>
            </w:pPr>
            <w:r w:rsidRPr="00806B7F">
              <w:rPr>
                <w:rFonts w:ascii="Arial" w:hAnsi="Arial" w:cs="Arial"/>
                <w:sz w:val="20"/>
              </w:rPr>
              <w:t>5.0%</w:t>
            </w:r>
          </w:p>
        </w:tc>
        <w:tc>
          <w:tcPr>
            <w:tcW w:w="1134" w:type="dxa"/>
            <w:vAlign w:val="bottom"/>
          </w:tcPr>
          <w:p w14:paraId="68CC30CC" w14:textId="77777777" w:rsidR="007C5B19" w:rsidRPr="00806B7F" w:rsidRDefault="007C5B19" w:rsidP="00A369A1">
            <w:pPr>
              <w:jc w:val="center"/>
              <w:rPr>
                <w:rFonts w:ascii="Arial" w:hAnsi="Arial" w:cs="Arial"/>
                <w:sz w:val="20"/>
              </w:rPr>
            </w:pPr>
            <w:r w:rsidRPr="00806B7F">
              <w:rPr>
                <w:rFonts w:ascii="Arial" w:hAnsi="Arial" w:cs="Arial"/>
                <w:sz w:val="20"/>
              </w:rPr>
              <w:t>2.0%</w:t>
            </w:r>
          </w:p>
        </w:tc>
        <w:tc>
          <w:tcPr>
            <w:tcW w:w="1134" w:type="dxa"/>
            <w:vAlign w:val="bottom"/>
          </w:tcPr>
          <w:p w14:paraId="7C790036" w14:textId="77777777" w:rsidR="007C5B19" w:rsidRPr="00806B7F" w:rsidRDefault="007C5B19" w:rsidP="00A369A1">
            <w:pPr>
              <w:jc w:val="center"/>
              <w:rPr>
                <w:rFonts w:ascii="Arial" w:hAnsi="Arial" w:cs="Arial"/>
                <w:sz w:val="20"/>
              </w:rPr>
            </w:pPr>
            <w:r w:rsidRPr="00806B7F">
              <w:rPr>
                <w:rFonts w:ascii="Arial" w:hAnsi="Arial" w:cs="Arial"/>
                <w:sz w:val="20"/>
              </w:rPr>
              <w:t>2.0%</w:t>
            </w:r>
          </w:p>
        </w:tc>
        <w:tc>
          <w:tcPr>
            <w:tcW w:w="1134" w:type="dxa"/>
            <w:vAlign w:val="bottom"/>
          </w:tcPr>
          <w:p w14:paraId="490A0C5B" w14:textId="77777777" w:rsidR="007C5B19" w:rsidRPr="00806B7F" w:rsidRDefault="007C5B19" w:rsidP="00A369A1">
            <w:pPr>
              <w:jc w:val="center"/>
              <w:rPr>
                <w:rFonts w:ascii="Arial" w:hAnsi="Arial" w:cs="Arial"/>
                <w:sz w:val="20"/>
              </w:rPr>
            </w:pPr>
            <w:r w:rsidRPr="00806B7F">
              <w:rPr>
                <w:rFonts w:ascii="Arial" w:hAnsi="Arial" w:cs="Arial"/>
                <w:sz w:val="20"/>
              </w:rPr>
              <w:t>2.0%</w:t>
            </w:r>
          </w:p>
        </w:tc>
      </w:tr>
    </w:tbl>
    <w:p w14:paraId="19F5C13B" w14:textId="77777777" w:rsidR="007C5B19" w:rsidRPr="00806B7F" w:rsidRDefault="007C5B19" w:rsidP="007C5B19">
      <w:pPr>
        <w:jc w:val="both"/>
        <w:rPr>
          <w:rFonts w:ascii="Arial" w:hAnsi="Arial" w:cs="Arial"/>
          <w:sz w:val="20"/>
        </w:rPr>
      </w:pPr>
    </w:p>
    <w:p w14:paraId="0402A777" w14:textId="77777777" w:rsidR="007C5B19" w:rsidRPr="00806B7F" w:rsidRDefault="007C5B19" w:rsidP="007C5B19">
      <w:pPr>
        <w:rPr>
          <w:rFonts w:ascii="Arial" w:hAnsi="Arial" w:cs="Arial"/>
          <w:b/>
          <w:sz w:val="20"/>
        </w:rPr>
      </w:pPr>
      <w:r w:rsidRPr="00806B7F">
        <w:rPr>
          <w:rFonts w:ascii="Arial" w:hAnsi="Arial" w:cs="Arial"/>
          <w:b/>
          <w:sz w:val="20"/>
        </w:rPr>
        <w:t>Service Grant</w:t>
      </w:r>
    </w:p>
    <w:p w14:paraId="74DF2817" w14:textId="77777777" w:rsidR="007C5B19" w:rsidRPr="00806B7F" w:rsidRDefault="007C5B19" w:rsidP="00BF6550">
      <w:pPr>
        <w:jc w:val="both"/>
        <w:rPr>
          <w:rFonts w:ascii="Arial" w:hAnsi="Arial" w:cs="Arial"/>
          <w:bCs/>
          <w:sz w:val="20"/>
        </w:rPr>
      </w:pPr>
    </w:p>
    <w:p w14:paraId="3011EC79" w14:textId="77777777" w:rsidR="007C5B19" w:rsidRPr="00806B7F" w:rsidRDefault="007C5B19" w:rsidP="00BF6550">
      <w:pPr>
        <w:jc w:val="both"/>
        <w:rPr>
          <w:rFonts w:ascii="Arial" w:hAnsi="Arial" w:cs="Arial"/>
          <w:sz w:val="20"/>
        </w:rPr>
      </w:pPr>
      <w:r w:rsidRPr="00806B7F">
        <w:rPr>
          <w:rFonts w:ascii="Arial" w:hAnsi="Arial" w:cs="Arial"/>
          <w:sz w:val="20"/>
        </w:rPr>
        <w:t>The Service Grant has been reduced to 0.6m, reflecting the removal of the elements relating to the increase in employer National Insurance Contributions identified last year, but which has now been reversed.</w:t>
      </w:r>
    </w:p>
    <w:p w14:paraId="3AA9AA03" w14:textId="77777777" w:rsidR="007C5B19" w:rsidRPr="00806B7F" w:rsidRDefault="007C5B19" w:rsidP="00BF6550">
      <w:pPr>
        <w:jc w:val="both"/>
        <w:rPr>
          <w:rFonts w:ascii="Arial" w:hAnsi="Arial" w:cs="Arial"/>
          <w:sz w:val="20"/>
        </w:rPr>
      </w:pPr>
    </w:p>
    <w:p w14:paraId="19EBF694"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13 Forecast Service Grant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1134"/>
        <w:gridCol w:w="1134"/>
        <w:gridCol w:w="1134"/>
        <w:gridCol w:w="1134"/>
        <w:gridCol w:w="1134"/>
      </w:tblGrid>
      <w:tr w:rsidR="007C5B19" w:rsidRPr="00806B7F" w14:paraId="1D0530CB" w14:textId="77777777" w:rsidTr="00A369A1">
        <w:tc>
          <w:tcPr>
            <w:tcW w:w="4390" w:type="dxa"/>
          </w:tcPr>
          <w:p w14:paraId="0C5F5C2B" w14:textId="77777777" w:rsidR="007C5B19" w:rsidRPr="00806B7F" w:rsidRDefault="007C5B19" w:rsidP="00A369A1">
            <w:pPr>
              <w:jc w:val="both"/>
              <w:rPr>
                <w:rFonts w:ascii="Arial" w:hAnsi="Arial" w:cs="Arial"/>
                <w:sz w:val="20"/>
              </w:rPr>
            </w:pPr>
          </w:p>
        </w:tc>
        <w:tc>
          <w:tcPr>
            <w:tcW w:w="1134" w:type="dxa"/>
          </w:tcPr>
          <w:p w14:paraId="415F8D47"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Pr>
          <w:p w14:paraId="09BBA45A"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Pr>
          <w:p w14:paraId="7E9CD613"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Pr>
          <w:p w14:paraId="61CD9EBF"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Pr>
          <w:p w14:paraId="284FEB5E"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45D431E3" w14:textId="77777777" w:rsidTr="00A369A1">
        <w:tc>
          <w:tcPr>
            <w:tcW w:w="4390" w:type="dxa"/>
          </w:tcPr>
          <w:p w14:paraId="6B2DA5B3" w14:textId="77777777" w:rsidR="007C5B19" w:rsidRPr="00806B7F" w:rsidRDefault="007C5B19" w:rsidP="00A369A1">
            <w:pPr>
              <w:jc w:val="both"/>
              <w:rPr>
                <w:rFonts w:ascii="Arial" w:hAnsi="Arial" w:cs="Arial"/>
                <w:sz w:val="20"/>
              </w:rPr>
            </w:pPr>
          </w:p>
        </w:tc>
        <w:tc>
          <w:tcPr>
            <w:tcW w:w="1134" w:type="dxa"/>
          </w:tcPr>
          <w:p w14:paraId="513AA895"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52622CF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1B644C4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71CF61B6"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Pr>
          <w:p w14:paraId="3BE4711D"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5518DB74" w14:textId="77777777" w:rsidTr="00A369A1">
        <w:tc>
          <w:tcPr>
            <w:tcW w:w="4390" w:type="dxa"/>
          </w:tcPr>
          <w:p w14:paraId="788AAED3" w14:textId="77777777" w:rsidR="007C5B19" w:rsidRPr="00806B7F" w:rsidRDefault="007C5B19" w:rsidP="00A369A1">
            <w:pPr>
              <w:rPr>
                <w:rFonts w:ascii="Arial" w:hAnsi="Arial" w:cs="Arial"/>
                <w:snapToGrid w:val="0"/>
                <w:color w:val="000000"/>
                <w:sz w:val="20"/>
                <w:lang w:eastAsia="en-US"/>
              </w:rPr>
            </w:pPr>
            <w:r w:rsidRPr="00806B7F">
              <w:rPr>
                <w:rFonts w:ascii="Arial" w:hAnsi="Arial" w:cs="Arial"/>
                <w:snapToGrid w:val="0"/>
                <w:color w:val="000000"/>
                <w:sz w:val="20"/>
                <w:lang w:eastAsia="en-US"/>
              </w:rPr>
              <w:t>Service Grant</w:t>
            </w:r>
          </w:p>
        </w:tc>
        <w:tc>
          <w:tcPr>
            <w:tcW w:w="1134" w:type="dxa"/>
          </w:tcPr>
          <w:p w14:paraId="7B61BAED"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6F4D140D"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7B071D99"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5B075F8E"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Pr>
          <w:p w14:paraId="44E9B6DB" w14:textId="77777777" w:rsidR="007C5B19" w:rsidRPr="00806B7F" w:rsidRDefault="007C5B19" w:rsidP="00A369A1">
            <w:pPr>
              <w:jc w:val="center"/>
              <w:rPr>
                <w:rFonts w:ascii="Arial" w:hAnsi="Arial" w:cs="Arial"/>
                <w:sz w:val="20"/>
              </w:rPr>
            </w:pPr>
            <w:r w:rsidRPr="00806B7F">
              <w:rPr>
                <w:rFonts w:ascii="Arial" w:hAnsi="Arial" w:cs="Arial"/>
                <w:sz w:val="20"/>
              </w:rPr>
              <w:t>0.6</w:t>
            </w:r>
          </w:p>
        </w:tc>
      </w:tr>
    </w:tbl>
    <w:p w14:paraId="35A7E08F" w14:textId="77777777" w:rsidR="007C5B19" w:rsidRPr="00806B7F" w:rsidRDefault="007C5B19" w:rsidP="007C5B19">
      <w:pPr>
        <w:jc w:val="both"/>
        <w:rPr>
          <w:rFonts w:ascii="Arial" w:hAnsi="Arial" w:cs="Arial"/>
          <w:bCs/>
          <w:sz w:val="20"/>
        </w:rPr>
      </w:pPr>
    </w:p>
    <w:p w14:paraId="045EAB9D" w14:textId="77777777" w:rsidR="007C5B19" w:rsidRPr="00806B7F" w:rsidRDefault="007C5B19" w:rsidP="007C5B19">
      <w:pPr>
        <w:rPr>
          <w:rFonts w:ascii="Arial" w:hAnsi="Arial" w:cs="Arial"/>
          <w:b/>
          <w:sz w:val="20"/>
        </w:rPr>
      </w:pPr>
      <w:r w:rsidRPr="00806B7F">
        <w:rPr>
          <w:rFonts w:ascii="Arial" w:hAnsi="Arial" w:cs="Arial"/>
          <w:b/>
          <w:sz w:val="20"/>
        </w:rPr>
        <w:t>Business Rates Adjustments</w:t>
      </w:r>
    </w:p>
    <w:p w14:paraId="3EEA5B76" w14:textId="77777777" w:rsidR="007C5B19" w:rsidRPr="00806B7F" w:rsidRDefault="007C5B19" w:rsidP="007C5B19">
      <w:pPr>
        <w:rPr>
          <w:rFonts w:ascii="Arial" w:hAnsi="Arial" w:cs="Arial"/>
          <w:sz w:val="20"/>
        </w:rPr>
      </w:pPr>
    </w:p>
    <w:p w14:paraId="3FC384E6" w14:textId="77777777" w:rsidR="007C5B19" w:rsidRPr="00806B7F" w:rsidRDefault="007C5B19" w:rsidP="00BF6550">
      <w:pPr>
        <w:jc w:val="both"/>
        <w:rPr>
          <w:rFonts w:ascii="Arial" w:hAnsi="Arial" w:cs="Arial"/>
          <w:sz w:val="20"/>
        </w:rPr>
      </w:pPr>
      <w:r w:rsidRPr="00806B7F">
        <w:rPr>
          <w:rFonts w:ascii="Arial" w:hAnsi="Arial" w:cs="Arial"/>
          <w:sz w:val="20"/>
        </w:rPr>
        <w:t>We have received final details of Business Rates from billing authorities, confirming that our local retention of business rates at £4.3m, £0.4m than allowed for in the settlement above.</w:t>
      </w:r>
    </w:p>
    <w:p w14:paraId="4ACE4CE3" w14:textId="77777777" w:rsidR="007C5B19" w:rsidRPr="00806B7F" w:rsidRDefault="007C5B19" w:rsidP="00BF6550">
      <w:pPr>
        <w:jc w:val="both"/>
        <w:rPr>
          <w:rFonts w:ascii="Arial" w:hAnsi="Arial" w:cs="Arial"/>
          <w:sz w:val="20"/>
        </w:rPr>
      </w:pPr>
    </w:p>
    <w:p w14:paraId="6768786E" w14:textId="77777777" w:rsidR="007C5B19" w:rsidRPr="00806B7F" w:rsidRDefault="007C5B19" w:rsidP="00BF6550">
      <w:pPr>
        <w:jc w:val="both"/>
        <w:rPr>
          <w:rFonts w:ascii="Arial" w:hAnsi="Arial" w:cs="Arial"/>
          <w:sz w:val="20"/>
        </w:rPr>
      </w:pPr>
      <w:r w:rsidRPr="00806B7F">
        <w:rPr>
          <w:rFonts w:ascii="Arial" w:hAnsi="Arial" w:cs="Arial"/>
          <w:sz w:val="20"/>
        </w:rPr>
        <w:t>In addition to the above Business Rates the Authority receives Section 31 grant from the Government to compensate for specific reliefs it has agreed as part of policy decisions, i.e. small business relief etc. This year the anticipated grant has increased to £3.9m, reflecting the higher Government multiplier being applied this year. We have assumed these increases in line with inflation in future years.</w:t>
      </w:r>
    </w:p>
    <w:p w14:paraId="2DE0F73E" w14:textId="77777777" w:rsidR="007C5B19" w:rsidRPr="00806B7F" w:rsidRDefault="007C5B19" w:rsidP="00BF6550">
      <w:pPr>
        <w:jc w:val="both"/>
        <w:rPr>
          <w:rFonts w:ascii="Arial" w:hAnsi="Arial" w:cs="Arial"/>
          <w:sz w:val="20"/>
        </w:rPr>
      </w:pPr>
    </w:p>
    <w:p w14:paraId="2A79D2DA" w14:textId="77777777" w:rsidR="007C5B19" w:rsidRPr="00806B7F" w:rsidRDefault="007C5B19" w:rsidP="00BF6550">
      <w:pPr>
        <w:jc w:val="both"/>
        <w:rPr>
          <w:rFonts w:ascii="Arial" w:hAnsi="Arial" w:cs="Arial"/>
          <w:sz w:val="20"/>
        </w:rPr>
      </w:pPr>
      <w:r w:rsidRPr="00806B7F">
        <w:rPr>
          <w:rFonts w:ascii="Arial" w:hAnsi="Arial" w:cs="Arial"/>
          <w:sz w:val="20"/>
        </w:rPr>
        <w:t>Billing Authorities have conformed an overall surplus on the collection fund of £133k. Given the volatility of this we have assumed a breakeven position I future years.</w:t>
      </w:r>
    </w:p>
    <w:p w14:paraId="1E9ABA0F" w14:textId="77777777" w:rsidR="007C5B19" w:rsidRPr="00806B7F" w:rsidRDefault="007C5B19" w:rsidP="00BF6550">
      <w:pPr>
        <w:jc w:val="both"/>
        <w:rPr>
          <w:rFonts w:ascii="Arial" w:hAnsi="Arial" w:cs="Arial"/>
          <w:sz w:val="20"/>
        </w:rPr>
      </w:pPr>
    </w:p>
    <w:p w14:paraId="30E08227"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14 Forecast Business Rates Adjustments</w:t>
      </w:r>
    </w:p>
    <w:tbl>
      <w:tblPr>
        <w:tblW w:w="9957" w:type="dxa"/>
        <w:tblInd w:w="98" w:type="dxa"/>
        <w:tblLayout w:type="fixed"/>
        <w:tblLook w:val="04A0" w:firstRow="1" w:lastRow="0" w:firstColumn="1" w:lastColumn="0" w:noHBand="0" w:noVBand="1"/>
      </w:tblPr>
      <w:tblGrid>
        <w:gridCol w:w="4003"/>
        <w:gridCol w:w="1134"/>
        <w:gridCol w:w="1276"/>
        <w:gridCol w:w="1276"/>
        <w:gridCol w:w="1134"/>
        <w:gridCol w:w="1134"/>
      </w:tblGrid>
      <w:tr w:rsidR="007C5B19" w:rsidRPr="00806B7F" w14:paraId="379C39B1" w14:textId="77777777" w:rsidTr="00A369A1">
        <w:trPr>
          <w:trHeight w:val="270"/>
        </w:trPr>
        <w:tc>
          <w:tcPr>
            <w:tcW w:w="4003" w:type="dxa"/>
            <w:tcBorders>
              <w:top w:val="single" w:sz="8" w:space="0" w:color="auto"/>
              <w:left w:val="single" w:sz="8" w:space="0" w:color="auto"/>
              <w:bottom w:val="single" w:sz="8" w:space="0" w:color="auto"/>
              <w:right w:val="single" w:sz="8" w:space="0" w:color="auto"/>
            </w:tcBorders>
            <w:shd w:val="clear" w:color="auto" w:fill="auto"/>
          </w:tcPr>
          <w:p w14:paraId="2FEDEE8E" w14:textId="77777777" w:rsidR="007C5B19" w:rsidRPr="00806B7F" w:rsidRDefault="007C5B19" w:rsidP="00A369A1">
            <w:pPr>
              <w:rPr>
                <w:rFonts w:ascii="Arial" w:hAnsi="Arial" w:cs="Arial"/>
                <w:sz w:val="20"/>
              </w:rPr>
            </w:pPr>
            <w:r w:rsidRPr="00806B7F">
              <w:rPr>
                <w:rFonts w:ascii="Arial" w:hAnsi="Arial" w:cs="Arial"/>
                <w:sz w:val="20"/>
              </w:rPr>
              <w:t> </w:t>
            </w:r>
          </w:p>
        </w:tc>
        <w:tc>
          <w:tcPr>
            <w:tcW w:w="1134" w:type="dxa"/>
            <w:tcBorders>
              <w:top w:val="single" w:sz="8" w:space="0" w:color="auto"/>
              <w:left w:val="nil"/>
              <w:bottom w:val="single" w:sz="8" w:space="0" w:color="auto"/>
              <w:right w:val="single" w:sz="8" w:space="0" w:color="auto"/>
            </w:tcBorders>
            <w:shd w:val="clear" w:color="auto" w:fill="auto"/>
          </w:tcPr>
          <w:p w14:paraId="55E59600"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276" w:type="dxa"/>
            <w:tcBorders>
              <w:top w:val="single" w:sz="8" w:space="0" w:color="auto"/>
              <w:left w:val="nil"/>
              <w:bottom w:val="single" w:sz="8" w:space="0" w:color="auto"/>
              <w:right w:val="single" w:sz="8" w:space="0" w:color="auto"/>
            </w:tcBorders>
            <w:shd w:val="clear" w:color="auto" w:fill="auto"/>
          </w:tcPr>
          <w:p w14:paraId="63B864BA"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276" w:type="dxa"/>
            <w:tcBorders>
              <w:top w:val="single" w:sz="8" w:space="0" w:color="auto"/>
              <w:left w:val="nil"/>
              <w:bottom w:val="single" w:sz="8" w:space="0" w:color="auto"/>
              <w:right w:val="single" w:sz="8" w:space="0" w:color="auto"/>
            </w:tcBorders>
            <w:shd w:val="clear" w:color="auto" w:fill="auto"/>
          </w:tcPr>
          <w:p w14:paraId="33FD0E8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Borders>
              <w:top w:val="single" w:sz="8" w:space="0" w:color="auto"/>
              <w:left w:val="nil"/>
              <w:bottom w:val="single" w:sz="8" w:space="0" w:color="auto"/>
              <w:right w:val="single" w:sz="8" w:space="0" w:color="auto"/>
            </w:tcBorders>
          </w:tcPr>
          <w:p w14:paraId="0E2364E1"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Borders>
              <w:top w:val="single" w:sz="8" w:space="0" w:color="auto"/>
              <w:left w:val="nil"/>
              <w:bottom w:val="single" w:sz="8" w:space="0" w:color="auto"/>
              <w:right w:val="single" w:sz="8" w:space="0" w:color="auto"/>
            </w:tcBorders>
          </w:tcPr>
          <w:p w14:paraId="7EE1CDAC"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3CD91BE3" w14:textId="77777777" w:rsidTr="00A369A1">
        <w:trPr>
          <w:trHeight w:val="270"/>
        </w:trPr>
        <w:tc>
          <w:tcPr>
            <w:tcW w:w="4003" w:type="dxa"/>
            <w:tcBorders>
              <w:top w:val="nil"/>
              <w:left w:val="single" w:sz="8" w:space="0" w:color="auto"/>
              <w:bottom w:val="single" w:sz="8" w:space="0" w:color="auto"/>
              <w:right w:val="single" w:sz="8" w:space="0" w:color="auto"/>
            </w:tcBorders>
            <w:shd w:val="clear" w:color="auto" w:fill="auto"/>
          </w:tcPr>
          <w:p w14:paraId="7F5E1F07" w14:textId="77777777" w:rsidR="007C5B19" w:rsidRPr="00806B7F" w:rsidRDefault="007C5B19" w:rsidP="00A369A1">
            <w:pPr>
              <w:rPr>
                <w:rFonts w:ascii="Arial" w:hAnsi="Arial" w:cs="Arial"/>
                <w:sz w:val="20"/>
              </w:rPr>
            </w:pPr>
          </w:p>
        </w:tc>
        <w:tc>
          <w:tcPr>
            <w:tcW w:w="1134" w:type="dxa"/>
            <w:tcBorders>
              <w:top w:val="nil"/>
              <w:left w:val="nil"/>
              <w:bottom w:val="single" w:sz="8" w:space="0" w:color="auto"/>
              <w:right w:val="single" w:sz="8" w:space="0" w:color="auto"/>
            </w:tcBorders>
            <w:shd w:val="clear" w:color="auto" w:fill="auto"/>
          </w:tcPr>
          <w:p w14:paraId="58D946A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276" w:type="dxa"/>
            <w:tcBorders>
              <w:top w:val="nil"/>
              <w:left w:val="nil"/>
              <w:bottom w:val="single" w:sz="8" w:space="0" w:color="auto"/>
              <w:right w:val="single" w:sz="8" w:space="0" w:color="auto"/>
            </w:tcBorders>
            <w:shd w:val="clear" w:color="auto" w:fill="auto"/>
          </w:tcPr>
          <w:p w14:paraId="227953D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276" w:type="dxa"/>
            <w:tcBorders>
              <w:top w:val="nil"/>
              <w:left w:val="nil"/>
              <w:bottom w:val="single" w:sz="8" w:space="0" w:color="auto"/>
              <w:right w:val="single" w:sz="8" w:space="0" w:color="auto"/>
            </w:tcBorders>
            <w:shd w:val="clear" w:color="auto" w:fill="auto"/>
          </w:tcPr>
          <w:p w14:paraId="2392DFD0"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54A0ED94"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3CC71764"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17AA7C25" w14:textId="77777777" w:rsidTr="00A369A1">
        <w:trPr>
          <w:trHeight w:val="270"/>
        </w:trPr>
        <w:tc>
          <w:tcPr>
            <w:tcW w:w="4003" w:type="dxa"/>
            <w:tcBorders>
              <w:top w:val="nil"/>
              <w:left w:val="single" w:sz="8" w:space="0" w:color="auto"/>
              <w:bottom w:val="single" w:sz="8" w:space="0" w:color="auto"/>
              <w:right w:val="single" w:sz="8" w:space="0" w:color="auto"/>
            </w:tcBorders>
            <w:shd w:val="clear" w:color="auto" w:fill="auto"/>
          </w:tcPr>
          <w:p w14:paraId="700FB505" w14:textId="77777777" w:rsidR="007C5B19" w:rsidRPr="00806B7F" w:rsidRDefault="007C5B19" w:rsidP="00A369A1">
            <w:pPr>
              <w:rPr>
                <w:rFonts w:ascii="Arial" w:hAnsi="Arial" w:cs="Arial"/>
                <w:sz w:val="20"/>
              </w:rPr>
            </w:pPr>
            <w:r w:rsidRPr="00806B7F">
              <w:rPr>
                <w:rFonts w:ascii="Arial" w:hAnsi="Arial" w:cs="Arial"/>
                <w:sz w:val="20"/>
              </w:rPr>
              <w:t>Local Business Rate adjustment, as per Billing Authorities</w:t>
            </w:r>
          </w:p>
        </w:tc>
        <w:tc>
          <w:tcPr>
            <w:tcW w:w="1134" w:type="dxa"/>
            <w:tcBorders>
              <w:top w:val="nil"/>
              <w:left w:val="nil"/>
              <w:bottom w:val="single" w:sz="8" w:space="0" w:color="auto"/>
              <w:right w:val="single" w:sz="8" w:space="0" w:color="auto"/>
            </w:tcBorders>
            <w:shd w:val="clear" w:color="auto" w:fill="auto"/>
          </w:tcPr>
          <w:p w14:paraId="25A06DB0"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276" w:type="dxa"/>
            <w:tcBorders>
              <w:top w:val="nil"/>
              <w:left w:val="nil"/>
              <w:bottom w:val="single" w:sz="8" w:space="0" w:color="auto"/>
              <w:right w:val="single" w:sz="8" w:space="0" w:color="auto"/>
            </w:tcBorders>
            <w:shd w:val="clear" w:color="auto" w:fill="auto"/>
          </w:tcPr>
          <w:p w14:paraId="169CCFEF"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276" w:type="dxa"/>
            <w:tcBorders>
              <w:top w:val="nil"/>
              <w:left w:val="nil"/>
              <w:bottom w:val="single" w:sz="8" w:space="0" w:color="auto"/>
              <w:right w:val="single" w:sz="8" w:space="0" w:color="auto"/>
            </w:tcBorders>
            <w:shd w:val="clear" w:color="auto" w:fill="auto"/>
          </w:tcPr>
          <w:p w14:paraId="18E1B2E2"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25983E47"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5C99E9C8" w14:textId="77777777" w:rsidR="007C5B19" w:rsidRPr="00806B7F" w:rsidRDefault="007C5B19" w:rsidP="00A369A1">
            <w:pPr>
              <w:jc w:val="center"/>
              <w:rPr>
                <w:rFonts w:ascii="Arial" w:hAnsi="Arial" w:cs="Arial"/>
                <w:sz w:val="20"/>
              </w:rPr>
            </w:pPr>
            <w:r w:rsidRPr="00806B7F">
              <w:rPr>
                <w:rFonts w:ascii="Arial" w:hAnsi="Arial" w:cs="Arial"/>
                <w:sz w:val="20"/>
              </w:rPr>
              <w:t>(0.4)</w:t>
            </w:r>
          </w:p>
        </w:tc>
      </w:tr>
      <w:tr w:rsidR="007C5B19" w:rsidRPr="00806B7F" w14:paraId="1E9C3B75" w14:textId="77777777" w:rsidTr="00A369A1">
        <w:trPr>
          <w:trHeight w:val="270"/>
        </w:trPr>
        <w:tc>
          <w:tcPr>
            <w:tcW w:w="4003" w:type="dxa"/>
            <w:tcBorders>
              <w:top w:val="nil"/>
              <w:left w:val="single" w:sz="8" w:space="0" w:color="auto"/>
              <w:bottom w:val="single" w:sz="8" w:space="0" w:color="auto"/>
              <w:right w:val="single" w:sz="8" w:space="0" w:color="auto"/>
            </w:tcBorders>
            <w:shd w:val="clear" w:color="auto" w:fill="auto"/>
          </w:tcPr>
          <w:p w14:paraId="02694CCB" w14:textId="77777777" w:rsidR="007C5B19" w:rsidRPr="00806B7F" w:rsidRDefault="007C5B19" w:rsidP="00A369A1">
            <w:pPr>
              <w:rPr>
                <w:rFonts w:ascii="Arial" w:hAnsi="Arial" w:cs="Arial"/>
                <w:sz w:val="20"/>
              </w:rPr>
            </w:pPr>
            <w:r w:rsidRPr="00806B7F">
              <w:rPr>
                <w:rFonts w:ascii="Arial" w:hAnsi="Arial" w:cs="Arial"/>
                <w:sz w:val="20"/>
              </w:rPr>
              <w:t>Section 31 Grant – Business Rates Reliefs</w:t>
            </w:r>
          </w:p>
        </w:tc>
        <w:tc>
          <w:tcPr>
            <w:tcW w:w="1134" w:type="dxa"/>
            <w:tcBorders>
              <w:top w:val="nil"/>
              <w:left w:val="nil"/>
              <w:bottom w:val="single" w:sz="8" w:space="0" w:color="auto"/>
              <w:right w:val="single" w:sz="8" w:space="0" w:color="auto"/>
            </w:tcBorders>
            <w:shd w:val="clear" w:color="auto" w:fill="auto"/>
          </w:tcPr>
          <w:p w14:paraId="1CB3C7D0" w14:textId="77777777" w:rsidR="007C5B19" w:rsidRPr="00806B7F" w:rsidRDefault="007C5B19" w:rsidP="00A369A1">
            <w:pPr>
              <w:jc w:val="center"/>
              <w:rPr>
                <w:rFonts w:ascii="Arial" w:hAnsi="Arial" w:cs="Arial"/>
                <w:sz w:val="20"/>
              </w:rPr>
            </w:pPr>
            <w:r w:rsidRPr="00806B7F">
              <w:rPr>
                <w:rFonts w:ascii="Arial" w:hAnsi="Arial" w:cs="Arial"/>
                <w:sz w:val="20"/>
              </w:rPr>
              <w:t>3.9</w:t>
            </w:r>
          </w:p>
        </w:tc>
        <w:tc>
          <w:tcPr>
            <w:tcW w:w="1276" w:type="dxa"/>
            <w:tcBorders>
              <w:top w:val="nil"/>
              <w:left w:val="nil"/>
              <w:bottom w:val="single" w:sz="8" w:space="0" w:color="auto"/>
              <w:right w:val="single" w:sz="8" w:space="0" w:color="auto"/>
            </w:tcBorders>
            <w:shd w:val="clear" w:color="auto" w:fill="auto"/>
          </w:tcPr>
          <w:p w14:paraId="380535A8" w14:textId="77777777" w:rsidR="007C5B19" w:rsidRPr="00806B7F" w:rsidRDefault="007C5B19" w:rsidP="00A369A1">
            <w:pPr>
              <w:jc w:val="center"/>
              <w:rPr>
                <w:rFonts w:ascii="Arial" w:hAnsi="Arial" w:cs="Arial"/>
                <w:sz w:val="20"/>
              </w:rPr>
            </w:pPr>
            <w:r w:rsidRPr="00806B7F">
              <w:rPr>
                <w:rFonts w:ascii="Arial" w:hAnsi="Arial" w:cs="Arial"/>
                <w:sz w:val="20"/>
              </w:rPr>
              <w:t>4.0</w:t>
            </w:r>
          </w:p>
        </w:tc>
        <w:tc>
          <w:tcPr>
            <w:tcW w:w="1276" w:type="dxa"/>
            <w:tcBorders>
              <w:top w:val="nil"/>
              <w:left w:val="nil"/>
              <w:bottom w:val="single" w:sz="8" w:space="0" w:color="auto"/>
              <w:right w:val="single" w:sz="8" w:space="0" w:color="auto"/>
            </w:tcBorders>
            <w:shd w:val="clear" w:color="auto" w:fill="auto"/>
          </w:tcPr>
          <w:p w14:paraId="3AE83643" w14:textId="77777777" w:rsidR="007C5B19" w:rsidRPr="00806B7F" w:rsidRDefault="007C5B19" w:rsidP="00A369A1">
            <w:pPr>
              <w:jc w:val="center"/>
              <w:rPr>
                <w:rFonts w:ascii="Arial" w:hAnsi="Arial" w:cs="Arial"/>
                <w:sz w:val="20"/>
              </w:rPr>
            </w:pPr>
            <w:r w:rsidRPr="00806B7F">
              <w:rPr>
                <w:rFonts w:ascii="Arial" w:hAnsi="Arial" w:cs="Arial"/>
                <w:sz w:val="20"/>
              </w:rPr>
              <w:t>4.1</w:t>
            </w:r>
          </w:p>
        </w:tc>
        <w:tc>
          <w:tcPr>
            <w:tcW w:w="1134" w:type="dxa"/>
            <w:tcBorders>
              <w:top w:val="nil"/>
              <w:left w:val="nil"/>
              <w:bottom w:val="single" w:sz="8" w:space="0" w:color="auto"/>
              <w:right w:val="single" w:sz="8" w:space="0" w:color="auto"/>
            </w:tcBorders>
          </w:tcPr>
          <w:p w14:paraId="79768612" w14:textId="77777777" w:rsidR="007C5B19" w:rsidRPr="00806B7F" w:rsidRDefault="007C5B19" w:rsidP="00A369A1">
            <w:pPr>
              <w:jc w:val="center"/>
              <w:rPr>
                <w:rFonts w:ascii="Arial" w:hAnsi="Arial" w:cs="Arial"/>
                <w:sz w:val="20"/>
              </w:rPr>
            </w:pPr>
            <w:r w:rsidRPr="00806B7F">
              <w:rPr>
                <w:rFonts w:ascii="Arial" w:hAnsi="Arial" w:cs="Arial"/>
                <w:sz w:val="20"/>
              </w:rPr>
              <w:t>4.2</w:t>
            </w:r>
          </w:p>
        </w:tc>
        <w:tc>
          <w:tcPr>
            <w:tcW w:w="1134" w:type="dxa"/>
            <w:tcBorders>
              <w:top w:val="nil"/>
              <w:left w:val="nil"/>
              <w:bottom w:val="single" w:sz="8" w:space="0" w:color="auto"/>
              <w:right w:val="single" w:sz="8" w:space="0" w:color="auto"/>
            </w:tcBorders>
          </w:tcPr>
          <w:p w14:paraId="530269A8" w14:textId="77777777" w:rsidR="007C5B19" w:rsidRPr="00806B7F" w:rsidRDefault="007C5B19" w:rsidP="00A369A1">
            <w:pPr>
              <w:jc w:val="center"/>
              <w:rPr>
                <w:rFonts w:ascii="Arial" w:hAnsi="Arial" w:cs="Arial"/>
                <w:sz w:val="20"/>
              </w:rPr>
            </w:pPr>
            <w:r w:rsidRPr="00806B7F">
              <w:rPr>
                <w:rFonts w:ascii="Arial" w:hAnsi="Arial" w:cs="Arial"/>
                <w:sz w:val="20"/>
              </w:rPr>
              <w:t>4.3</w:t>
            </w:r>
          </w:p>
        </w:tc>
      </w:tr>
      <w:tr w:rsidR="007C5B19" w:rsidRPr="00806B7F" w14:paraId="318617B5" w14:textId="77777777" w:rsidTr="00A369A1">
        <w:trPr>
          <w:trHeight w:val="270"/>
        </w:trPr>
        <w:tc>
          <w:tcPr>
            <w:tcW w:w="4003" w:type="dxa"/>
            <w:tcBorders>
              <w:top w:val="nil"/>
              <w:left w:val="single" w:sz="8" w:space="0" w:color="auto"/>
              <w:bottom w:val="single" w:sz="4" w:space="0" w:color="auto"/>
              <w:right w:val="single" w:sz="8" w:space="0" w:color="auto"/>
            </w:tcBorders>
            <w:shd w:val="clear" w:color="auto" w:fill="auto"/>
          </w:tcPr>
          <w:p w14:paraId="6AA1C0C8" w14:textId="77777777" w:rsidR="007C5B19" w:rsidRPr="00806B7F" w:rsidRDefault="007C5B19" w:rsidP="00A369A1">
            <w:pPr>
              <w:rPr>
                <w:rFonts w:ascii="Arial" w:hAnsi="Arial" w:cs="Arial"/>
                <w:sz w:val="20"/>
              </w:rPr>
            </w:pPr>
            <w:r w:rsidRPr="00806B7F">
              <w:rPr>
                <w:rFonts w:ascii="Arial" w:hAnsi="Arial" w:cs="Arial"/>
                <w:sz w:val="20"/>
              </w:rPr>
              <w:t>Business Rates Collection Fund Surplus</w:t>
            </w:r>
          </w:p>
        </w:tc>
        <w:tc>
          <w:tcPr>
            <w:tcW w:w="1134" w:type="dxa"/>
            <w:tcBorders>
              <w:top w:val="nil"/>
              <w:left w:val="nil"/>
              <w:bottom w:val="single" w:sz="4" w:space="0" w:color="auto"/>
              <w:right w:val="single" w:sz="8" w:space="0" w:color="auto"/>
            </w:tcBorders>
            <w:shd w:val="clear" w:color="auto" w:fill="auto"/>
          </w:tcPr>
          <w:p w14:paraId="5A6DAB38" w14:textId="77777777" w:rsidR="007C5B19" w:rsidRPr="00806B7F" w:rsidRDefault="007C5B19" w:rsidP="00A369A1">
            <w:pPr>
              <w:jc w:val="center"/>
              <w:rPr>
                <w:rFonts w:ascii="Arial" w:hAnsi="Arial" w:cs="Arial"/>
                <w:sz w:val="20"/>
              </w:rPr>
            </w:pPr>
            <w:r w:rsidRPr="00806B7F">
              <w:rPr>
                <w:rFonts w:ascii="Arial" w:hAnsi="Arial" w:cs="Arial"/>
                <w:sz w:val="20"/>
              </w:rPr>
              <w:t>0.1</w:t>
            </w:r>
          </w:p>
        </w:tc>
        <w:tc>
          <w:tcPr>
            <w:tcW w:w="1276" w:type="dxa"/>
            <w:tcBorders>
              <w:top w:val="nil"/>
              <w:left w:val="nil"/>
              <w:bottom w:val="single" w:sz="4" w:space="0" w:color="auto"/>
              <w:right w:val="single" w:sz="8" w:space="0" w:color="auto"/>
            </w:tcBorders>
            <w:shd w:val="clear" w:color="auto" w:fill="auto"/>
          </w:tcPr>
          <w:p w14:paraId="3C4E792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276" w:type="dxa"/>
            <w:tcBorders>
              <w:top w:val="nil"/>
              <w:left w:val="nil"/>
              <w:bottom w:val="single" w:sz="4" w:space="0" w:color="auto"/>
              <w:right w:val="single" w:sz="8" w:space="0" w:color="auto"/>
            </w:tcBorders>
            <w:shd w:val="clear" w:color="auto" w:fill="auto"/>
          </w:tcPr>
          <w:p w14:paraId="2989D582"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nil"/>
              <w:left w:val="nil"/>
              <w:bottom w:val="single" w:sz="4" w:space="0" w:color="auto"/>
              <w:right w:val="single" w:sz="8" w:space="0" w:color="auto"/>
            </w:tcBorders>
          </w:tcPr>
          <w:p w14:paraId="27D0B2FF" w14:textId="77777777" w:rsidR="007C5B19" w:rsidRPr="00806B7F" w:rsidRDefault="007C5B19" w:rsidP="00A369A1">
            <w:pPr>
              <w:jc w:val="center"/>
              <w:rPr>
                <w:rFonts w:ascii="Arial" w:hAnsi="Arial" w:cs="Arial"/>
                <w:sz w:val="20"/>
              </w:rPr>
            </w:pPr>
            <w:r w:rsidRPr="00806B7F">
              <w:rPr>
                <w:rFonts w:ascii="Arial" w:hAnsi="Arial" w:cs="Arial"/>
                <w:sz w:val="20"/>
              </w:rPr>
              <w:t>-</w:t>
            </w:r>
          </w:p>
        </w:tc>
        <w:tc>
          <w:tcPr>
            <w:tcW w:w="1134" w:type="dxa"/>
            <w:tcBorders>
              <w:top w:val="nil"/>
              <w:left w:val="nil"/>
              <w:bottom w:val="single" w:sz="4" w:space="0" w:color="auto"/>
              <w:right w:val="single" w:sz="8" w:space="0" w:color="auto"/>
            </w:tcBorders>
          </w:tcPr>
          <w:p w14:paraId="0C6FA127" w14:textId="77777777" w:rsidR="007C5B19" w:rsidRPr="00806B7F" w:rsidRDefault="007C5B19" w:rsidP="00A369A1">
            <w:pPr>
              <w:jc w:val="center"/>
              <w:rPr>
                <w:rFonts w:ascii="Arial" w:hAnsi="Arial" w:cs="Arial"/>
                <w:sz w:val="20"/>
              </w:rPr>
            </w:pPr>
            <w:r w:rsidRPr="00806B7F">
              <w:rPr>
                <w:rFonts w:ascii="Arial" w:hAnsi="Arial" w:cs="Arial"/>
                <w:sz w:val="20"/>
              </w:rPr>
              <w:t>-</w:t>
            </w:r>
          </w:p>
        </w:tc>
      </w:tr>
      <w:tr w:rsidR="007C5B19" w:rsidRPr="00806B7F" w14:paraId="60377482" w14:textId="77777777" w:rsidTr="00A369A1">
        <w:trPr>
          <w:trHeight w:val="270"/>
        </w:trPr>
        <w:tc>
          <w:tcPr>
            <w:tcW w:w="4003" w:type="dxa"/>
            <w:tcBorders>
              <w:top w:val="single" w:sz="4" w:space="0" w:color="auto"/>
              <w:left w:val="single" w:sz="4" w:space="0" w:color="auto"/>
              <w:bottom w:val="single" w:sz="4" w:space="0" w:color="auto"/>
              <w:right w:val="single" w:sz="4" w:space="0" w:color="auto"/>
            </w:tcBorders>
            <w:shd w:val="clear" w:color="auto" w:fill="auto"/>
          </w:tcPr>
          <w:p w14:paraId="0048399F" w14:textId="77777777" w:rsidR="007C5B19" w:rsidRPr="00806B7F" w:rsidRDefault="007C5B19" w:rsidP="00A369A1">
            <w:pPr>
              <w:rPr>
                <w:rFonts w:ascii="Arial" w:hAnsi="Arial" w:cs="Arial"/>
                <w:sz w:val="20"/>
              </w:rPr>
            </w:pPr>
            <w:r w:rsidRPr="00806B7F">
              <w:rPr>
                <w:rFonts w:ascii="Arial" w:hAnsi="Arial" w:cs="Arial"/>
                <w:sz w:val="20"/>
              </w:rPr>
              <w:t>Total Business Rates Adjustment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D74B72" w14:textId="77777777" w:rsidR="007C5B19" w:rsidRPr="00806B7F" w:rsidRDefault="007C5B19" w:rsidP="00A369A1">
            <w:pPr>
              <w:jc w:val="center"/>
              <w:rPr>
                <w:rFonts w:ascii="Arial" w:hAnsi="Arial" w:cs="Arial"/>
                <w:sz w:val="20"/>
              </w:rPr>
            </w:pPr>
            <w:r w:rsidRPr="00806B7F">
              <w:rPr>
                <w:rFonts w:ascii="Arial" w:hAnsi="Arial" w:cs="Arial"/>
                <w:sz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764794" w14:textId="77777777" w:rsidR="007C5B19" w:rsidRPr="00806B7F" w:rsidRDefault="007C5B19" w:rsidP="00A369A1">
            <w:pPr>
              <w:jc w:val="center"/>
              <w:rPr>
                <w:rFonts w:ascii="Arial" w:hAnsi="Arial" w:cs="Arial"/>
                <w:sz w:val="20"/>
              </w:rPr>
            </w:pPr>
            <w:r w:rsidRPr="00806B7F">
              <w:rPr>
                <w:rFonts w:ascii="Arial" w:hAnsi="Arial" w:cs="Arial"/>
                <w:sz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4E80A" w14:textId="77777777" w:rsidR="007C5B19" w:rsidRPr="00806B7F" w:rsidRDefault="007C5B19" w:rsidP="00A369A1">
            <w:pPr>
              <w:jc w:val="center"/>
              <w:rPr>
                <w:rFonts w:ascii="Arial" w:hAnsi="Arial" w:cs="Arial"/>
                <w:sz w:val="20"/>
              </w:rPr>
            </w:pPr>
            <w:r w:rsidRPr="00806B7F">
              <w:rPr>
                <w:rFonts w:ascii="Arial" w:hAnsi="Arial" w:cs="Arial"/>
                <w:sz w:val="20"/>
              </w:rPr>
              <w:t>3.7</w:t>
            </w:r>
          </w:p>
        </w:tc>
        <w:tc>
          <w:tcPr>
            <w:tcW w:w="1134" w:type="dxa"/>
            <w:tcBorders>
              <w:top w:val="single" w:sz="4" w:space="0" w:color="auto"/>
              <w:left w:val="single" w:sz="4" w:space="0" w:color="auto"/>
              <w:bottom w:val="single" w:sz="4" w:space="0" w:color="auto"/>
              <w:right w:val="single" w:sz="4" w:space="0" w:color="auto"/>
            </w:tcBorders>
          </w:tcPr>
          <w:p w14:paraId="44667111" w14:textId="77777777" w:rsidR="007C5B19" w:rsidRPr="00806B7F" w:rsidRDefault="007C5B19" w:rsidP="00A369A1">
            <w:pPr>
              <w:jc w:val="center"/>
              <w:rPr>
                <w:rFonts w:ascii="Arial" w:hAnsi="Arial" w:cs="Arial"/>
                <w:sz w:val="20"/>
              </w:rPr>
            </w:pPr>
            <w:r w:rsidRPr="00806B7F">
              <w:rPr>
                <w:rFonts w:ascii="Arial" w:hAnsi="Arial" w:cs="Arial"/>
                <w:sz w:val="20"/>
              </w:rPr>
              <w:t>3.8</w:t>
            </w:r>
          </w:p>
        </w:tc>
        <w:tc>
          <w:tcPr>
            <w:tcW w:w="1134" w:type="dxa"/>
            <w:tcBorders>
              <w:top w:val="single" w:sz="4" w:space="0" w:color="auto"/>
              <w:left w:val="single" w:sz="4" w:space="0" w:color="auto"/>
              <w:bottom w:val="single" w:sz="4" w:space="0" w:color="auto"/>
              <w:right w:val="single" w:sz="4" w:space="0" w:color="auto"/>
            </w:tcBorders>
          </w:tcPr>
          <w:p w14:paraId="290C842D" w14:textId="77777777" w:rsidR="007C5B19" w:rsidRPr="00806B7F" w:rsidRDefault="007C5B19" w:rsidP="00A369A1">
            <w:pPr>
              <w:jc w:val="center"/>
              <w:rPr>
                <w:rFonts w:ascii="Arial" w:hAnsi="Arial" w:cs="Arial"/>
                <w:sz w:val="20"/>
              </w:rPr>
            </w:pPr>
            <w:r w:rsidRPr="00806B7F">
              <w:rPr>
                <w:rFonts w:ascii="Arial" w:hAnsi="Arial" w:cs="Arial"/>
                <w:sz w:val="20"/>
              </w:rPr>
              <w:t>3.9</w:t>
            </w:r>
          </w:p>
        </w:tc>
      </w:tr>
    </w:tbl>
    <w:p w14:paraId="4A7D87FA" w14:textId="77777777" w:rsidR="007C5B19" w:rsidRPr="00806B7F" w:rsidRDefault="007C5B19" w:rsidP="007C5B19">
      <w:pPr>
        <w:jc w:val="both"/>
        <w:rPr>
          <w:rFonts w:ascii="Arial" w:hAnsi="Arial" w:cs="Arial"/>
          <w:sz w:val="20"/>
        </w:rPr>
      </w:pPr>
    </w:p>
    <w:p w14:paraId="4CD6591C" w14:textId="77777777" w:rsidR="007C5B19" w:rsidRPr="00DB5DCF" w:rsidRDefault="007C5B19" w:rsidP="00DB5DCF">
      <w:pPr>
        <w:jc w:val="both"/>
        <w:rPr>
          <w:rFonts w:ascii="Arial" w:hAnsi="Arial" w:cs="Arial"/>
          <w:b/>
          <w:bCs/>
          <w:sz w:val="20"/>
        </w:rPr>
      </w:pPr>
      <w:r w:rsidRPr="00DB5DCF">
        <w:rPr>
          <w:rFonts w:ascii="Arial" w:hAnsi="Arial" w:cs="Arial"/>
          <w:b/>
          <w:bCs/>
          <w:sz w:val="20"/>
        </w:rPr>
        <w:t>Council Tax</w:t>
      </w:r>
    </w:p>
    <w:p w14:paraId="56257876" w14:textId="77777777" w:rsidR="007C5B19" w:rsidRPr="00806B7F" w:rsidRDefault="007C5B19" w:rsidP="007C5B19">
      <w:pPr>
        <w:jc w:val="both"/>
        <w:rPr>
          <w:rFonts w:ascii="Arial" w:hAnsi="Arial" w:cs="Arial"/>
          <w:sz w:val="20"/>
        </w:rPr>
      </w:pPr>
    </w:p>
    <w:p w14:paraId="768B3948" w14:textId="77777777" w:rsidR="007C5B19" w:rsidRPr="00806B7F" w:rsidRDefault="007C5B19" w:rsidP="00BF6550">
      <w:pPr>
        <w:jc w:val="both"/>
        <w:rPr>
          <w:rFonts w:ascii="Arial" w:hAnsi="Arial" w:cs="Arial"/>
          <w:sz w:val="20"/>
        </w:rPr>
      </w:pPr>
      <w:r w:rsidRPr="00806B7F">
        <w:rPr>
          <w:rFonts w:ascii="Arial" w:hAnsi="Arial" w:cs="Arial"/>
          <w:sz w:val="20"/>
        </w:rPr>
        <w:t>In setting the council tax, the Authority aims to balance the public’s requirement for our services with the cost of providing this. As such the underlying principle of any increase in council tax is that this must be seen as reasonable within the context of service provision.</w:t>
      </w:r>
    </w:p>
    <w:p w14:paraId="56216701" w14:textId="77777777" w:rsidR="007C5B19" w:rsidRPr="00806B7F" w:rsidRDefault="007C5B19" w:rsidP="00BF6550">
      <w:pPr>
        <w:jc w:val="both"/>
        <w:rPr>
          <w:rFonts w:ascii="Arial" w:hAnsi="Arial" w:cs="Arial"/>
          <w:sz w:val="20"/>
        </w:rPr>
      </w:pPr>
    </w:p>
    <w:p w14:paraId="5A798846" w14:textId="77777777" w:rsidR="007C5B19" w:rsidRPr="00806B7F" w:rsidRDefault="007C5B19" w:rsidP="00BF6550">
      <w:pPr>
        <w:jc w:val="both"/>
        <w:rPr>
          <w:rFonts w:ascii="Arial" w:hAnsi="Arial" w:cs="Arial"/>
          <w:sz w:val="20"/>
        </w:rPr>
      </w:pPr>
      <w:r w:rsidRPr="00806B7F">
        <w:rPr>
          <w:rFonts w:ascii="Arial" w:hAnsi="Arial" w:cs="Arial"/>
          <w:sz w:val="20"/>
        </w:rPr>
        <w:t>The Authority became a precepting authority on 1 April 2004. Since this our council tax increases have been limited by either capping or the current referendum thresholds set by the Government. As such our council tax increases and hence budget increases have been constrained by these and our desire to deliver value for money services. Last year the Government allowed the 8 FRAs with the lowest precept levels to increase council tax by £5, with Lancashire being one of the Authorities that took advantage of this flexibility.  Despite this our council tax of £77.27 is still below the national average of £82.65, and our increase of just 21.4% since 2010/11 compares with an average increase of 25.5% over the same period.</w:t>
      </w:r>
    </w:p>
    <w:p w14:paraId="036DC963" w14:textId="77777777" w:rsidR="007C5B19" w:rsidRPr="00806B7F" w:rsidRDefault="007C5B19" w:rsidP="007C5B19">
      <w:pPr>
        <w:jc w:val="both"/>
        <w:rPr>
          <w:rFonts w:ascii="Arial" w:hAnsi="Arial" w:cs="Arial"/>
          <w:sz w:val="20"/>
        </w:rPr>
      </w:pPr>
    </w:p>
    <w:p w14:paraId="25D39A4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Graph 1 Comparative Council Tax 2022/23</w:t>
      </w:r>
    </w:p>
    <w:p w14:paraId="41D2824A" w14:textId="77777777" w:rsidR="007C5B19" w:rsidRPr="00806B7F" w:rsidRDefault="007C5B19" w:rsidP="007C5B19">
      <w:pPr>
        <w:jc w:val="both"/>
        <w:rPr>
          <w:rFonts w:ascii="Arial" w:hAnsi="Arial" w:cs="Arial"/>
          <w:noProof/>
          <w:sz w:val="20"/>
        </w:rPr>
      </w:pPr>
      <w:r w:rsidRPr="00806B7F">
        <w:rPr>
          <w:rFonts w:ascii="Arial" w:hAnsi="Arial" w:cs="Arial"/>
          <w:noProof/>
          <w:sz w:val="20"/>
        </w:rPr>
        <w:drawing>
          <wp:inline distT="0" distB="0" distL="0" distR="0" wp14:anchorId="016EBAF2" wp14:editId="10067935">
            <wp:extent cx="4584700" cy="2755900"/>
            <wp:effectExtent l="0" t="0" r="6350" b="635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3DD2B52" w14:textId="77777777" w:rsidR="007C5B19" w:rsidRPr="00806B7F" w:rsidRDefault="007C5B19" w:rsidP="007C5B19">
      <w:pPr>
        <w:keepNext/>
        <w:spacing w:after="200"/>
        <w:rPr>
          <w:rFonts w:ascii="Arial" w:eastAsia="Calibri" w:hAnsi="Arial" w:cs="Arial"/>
          <w:i/>
          <w:iCs/>
          <w:color w:val="44546A"/>
          <w:sz w:val="20"/>
          <w:lang w:eastAsia="en-US"/>
        </w:rPr>
      </w:pPr>
    </w:p>
    <w:p w14:paraId="16D3CBD9"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Graph 2 Comparative Council Tax Cumulative Increase 2011-2023</w:t>
      </w:r>
    </w:p>
    <w:p w14:paraId="563FFC41"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noProof/>
          <w:color w:val="44546A"/>
          <w:sz w:val="20"/>
          <w:lang w:eastAsia="en-US"/>
        </w:rPr>
        <w:drawing>
          <wp:inline distT="0" distB="0" distL="0" distR="0" wp14:anchorId="6364AEEF" wp14:editId="2897F382">
            <wp:extent cx="4584700" cy="2755900"/>
            <wp:effectExtent l="0" t="0" r="6350" b="635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FBD1AD5" w14:textId="77777777" w:rsidR="007C5B19" w:rsidRPr="00806B7F" w:rsidRDefault="007C5B19" w:rsidP="00BF6550">
      <w:pPr>
        <w:jc w:val="both"/>
        <w:rPr>
          <w:rFonts w:ascii="Arial" w:hAnsi="Arial" w:cs="Arial"/>
          <w:sz w:val="20"/>
        </w:rPr>
      </w:pPr>
      <w:r w:rsidRPr="00806B7F">
        <w:rPr>
          <w:rFonts w:ascii="Arial" w:hAnsi="Arial" w:cs="Arial"/>
          <w:sz w:val="20"/>
        </w:rPr>
        <w:t>The Local Government Settlement confirmed that the Government setting a 3% core referendum threshold, whilst allowing all Fire Authorities to increase council tax by £5 for one year only in 2023/24. It is worth highlighting that prior to last year this flexibility had not been granted since 2013/14. Furthermore, the Government has confirmed that  at the present time its intention is for the 3% referendum threshold to be applied in 24/25.</w:t>
      </w:r>
    </w:p>
    <w:p w14:paraId="44BB59AF" w14:textId="77777777" w:rsidR="007C5B19" w:rsidRPr="00806B7F" w:rsidRDefault="007C5B19" w:rsidP="00BF6550">
      <w:pPr>
        <w:jc w:val="both"/>
        <w:rPr>
          <w:rFonts w:ascii="Arial" w:hAnsi="Arial" w:cs="Arial"/>
          <w:sz w:val="20"/>
        </w:rPr>
      </w:pPr>
    </w:p>
    <w:p w14:paraId="626C7599" w14:textId="77777777" w:rsidR="007C5B19" w:rsidRPr="00806B7F" w:rsidRDefault="007C5B19" w:rsidP="00BF6550">
      <w:pPr>
        <w:jc w:val="both"/>
        <w:rPr>
          <w:rFonts w:ascii="Arial" w:hAnsi="Arial" w:cs="Arial"/>
          <w:sz w:val="20"/>
        </w:rPr>
      </w:pPr>
      <w:r w:rsidRPr="00806B7F">
        <w:rPr>
          <w:rFonts w:ascii="Arial" w:hAnsi="Arial" w:cs="Arial"/>
          <w:sz w:val="20"/>
        </w:rPr>
        <w:t xml:space="preserve">An increase of £5 would result in a council tax of £82.27 per band D property. Based on our estimated tax base this will generate £2.3m of funding compared with £1.1m from a 3% increase, an additional £1.2m. Furthermore, it should be emphasised that this additional funding will set a new council tax baseline and hence becomes a recurring increase. </w:t>
      </w:r>
    </w:p>
    <w:p w14:paraId="75E8656A" w14:textId="77777777" w:rsidR="007C5B19" w:rsidRPr="00806B7F" w:rsidRDefault="007C5B19" w:rsidP="00BF6550">
      <w:pPr>
        <w:jc w:val="both"/>
        <w:rPr>
          <w:rFonts w:ascii="Arial" w:hAnsi="Arial" w:cs="Arial"/>
          <w:sz w:val="20"/>
        </w:rPr>
      </w:pPr>
    </w:p>
    <w:p w14:paraId="6F8796DB" w14:textId="77777777" w:rsidR="007C5B19" w:rsidRPr="00806B7F" w:rsidRDefault="007C5B19" w:rsidP="00BF6550">
      <w:pPr>
        <w:jc w:val="both"/>
        <w:rPr>
          <w:rFonts w:ascii="Arial" w:hAnsi="Arial" w:cs="Arial"/>
          <w:b/>
          <w:sz w:val="20"/>
        </w:rPr>
      </w:pPr>
      <w:r w:rsidRPr="00806B7F">
        <w:rPr>
          <w:rFonts w:ascii="Arial" w:hAnsi="Arial" w:cs="Arial"/>
          <w:b/>
          <w:sz w:val="20"/>
        </w:rPr>
        <w:t>Council Tax-Base</w:t>
      </w:r>
    </w:p>
    <w:p w14:paraId="3FB3396F" w14:textId="77777777" w:rsidR="007C5B19" w:rsidRPr="00806B7F" w:rsidRDefault="007C5B19" w:rsidP="00BF6550">
      <w:pPr>
        <w:jc w:val="both"/>
        <w:rPr>
          <w:rFonts w:ascii="Arial" w:hAnsi="Arial" w:cs="Arial"/>
          <w:sz w:val="20"/>
        </w:rPr>
      </w:pPr>
    </w:p>
    <w:p w14:paraId="59AF2420" w14:textId="77777777" w:rsidR="007C5B19" w:rsidRPr="00806B7F" w:rsidRDefault="007C5B19" w:rsidP="00BF6550">
      <w:pPr>
        <w:jc w:val="both"/>
        <w:rPr>
          <w:rFonts w:ascii="Arial" w:hAnsi="Arial" w:cs="Arial"/>
          <w:sz w:val="20"/>
        </w:rPr>
      </w:pPr>
      <w:r w:rsidRPr="00806B7F">
        <w:rPr>
          <w:rFonts w:ascii="Arial" w:hAnsi="Arial" w:cs="Arial"/>
          <w:sz w:val="20"/>
        </w:rPr>
        <w:t xml:space="preserve">The Authorities council tax-base has increased by  1.8% in 23/24.  </w:t>
      </w:r>
      <w:proofErr w:type="gramStart"/>
      <w:r w:rsidRPr="00806B7F">
        <w:rPr>
          <w:rFonts w:ascii="Arial" w:hAnsi="Arial" w:cs="Arial"/>
          <w:sz w:val="20"/>
        </w:rPr>
        <w:t>For the purpose of</w:t>
      </w:r>
      <w:proofErr w:type="gramEnd"/>
      <w:r w:rsidRPr="00806B7F">
        <w:rPr>
          <w:rFonts w:ascii="Arial" w:hAnsi="Arial" w:cs="Arial"/>
          <w:sz w:val="20"/>
        </w:rPr>
        <w:t xml:space="preserve"> medium term forecasting we have assumed that the taxbase increases by 1.5% in subsequent years in line with historic averages.</w:t>
      </w:r>
    </w:p>
    <w:p w14:paraId="2F09C06F" w14:textId="77777777" w:rsidR="007C5B19" w:rsidRPr="00806B7F" w:rsidRDefault="007C5B19" w:rsidP="007C5B19">
      <w:pPr>
        <w:jc w:val="both"/>
        <w:rPr>
          <w:rFonts w:ascii="Arial" w:hAnsi="Arial" w:cs="Arial"/>
          <w:sz w:val="20"/>
        </w:rPr>
      </w:pPr>
    </w:p>
    <w:p w14:paraId="24282FE1"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15 Forecast Council Tax-Base</w:t>
      </w:r>
    </w:p>
    <w:tbl>
      <w:tblPr>
        <w:tblW w:w="10211" w:type="dxa"/>
        <w:tblInd w:w="98" w:type="dxa"/>
        <w:tblLayout w:type="fixed"/>
        <w:tblLook w:val="04A0" w:firstRow="1" w:lastRow="0" w:firstColumn="1" w:lastColumn="0" w:noHBand="0" w:noVBand="1"/>
      </w:tblPr>
      <w:tblGrid>
        <w:gridCol w:w="4570"/>
        <w:gridCol w:w="1134"/>
        <w:gridCol w:w="1134"/>
        <w:gridCol w:w="1105"/>
        <w:gridCol w:w="1134"/>
        <w:gridCol w:w="1134"/>
      </w:tblGrid>
      <w:tr w:rsidR="007C5B19" w:rsidRPr="00806B7F" w14:paraId="6309B55A" w14:textId="77777777" w:rsidTr="00A369A1">
        <w:trPr>
          <w:trHeight w:val="270"/>
        </w:trPr>
        <w:tc>
          <w:tcPr>
            <w:tcW w:w="4570" w:type="dxa"/>
            <w:tcBorders>
              <w:top w:val="single" w:sz="8" w:space="0" w:color="auto"/>
              <w:left w:val="single" w:sz="8" w:space="0" w:color="auto"/>
              <w:bottom w:val="single" w:sz="8" w:space="0" w:color="auto"/>
              <w:right w:val="single" w:sz="8" w:space="0" w:color="auto"/>
            </w:tcBorders>
            <w:shd w:val="clear" w:color="auto" w:fill="auto"/>
          </w:tcPr>
          <w:p w14:paraId="34C17E24" w14:textId="77777777" w:rsidR="007C5B19" w:rsidRPr="00806B7F" w:rsidRDefault="007C5B19" w:rsidP="00A369A1">
            <w:pPr>
              <w:jc w:val="both"/>
              <w:rPr>
                <w:rFonts w:ascii="Arial" w:hAnsi="Arial" w:cs="Arial"/>
                <w:sz w:val="20"/>
              </w:rPr>
            </w:pPr>
            <w:r w:rsidRPr="00806B7F">
              <w:rPr>
                <w:rFonts w:ascii="Arial" w:hAnsi="Arial" w:cs="Arial"/>
                <w:sz w:val="20"/>
              </w:rPr>
              <w:t> </w:t>
            </w:r>
          </w:p>
        </w:tc>
        <w:tc>
          <w:tcPr>
            <w:tcW w:w="1134" w:type="dxa"/>
            <w:tcBorders>
              <w:top w:val="single" w:sz="8" w:space="0" w:color="auto"/>
              <w:left w:val="nil"/>
              <w:bottom w:val="single" w:sz="8" w:space="0" w:color="auto"/>
              <w:right w:val="single" w:sz="8" w:space="0" w:color="auto"/>
            </w:tcBorders>
            <w:shd w:val="clear" w:color="auto" w:fill="auto"/>
          </w:tcPr>
          <w:p w14:paraId="7E10F5C7"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Borders>
              <w:top w:val="single" w:sz="8" w:space="0" w:color="auto"/>
              <w:left w:val="nil"/>
              <w:bottom w:val="single" w:sz="8" w:space="0" w:color="auto"/>
              <w:right w:val="single" w:sz="8" w:space="0" w:color="auto"/>
            </w:tcBorders>
            <w:shd w:val="clear" w:color="auto" w:fill="auto"/>
          </w:tcPr>
          <w:p w14:paraId="6BB1D72A"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05" w:type="dxa"/>
            <w:tcBorders>
              <w:top w:val="single" w:sz="8" w:space="0" w:color="auto"/>
              <w:left w:val="nil"/>
              <w:bottom w:val="single" w:sz="8" w:space="0" w:color="auto"/>
              <w:right w:val="single" w:sz="8" w:space="0" w:color="auto"/>
            </w:tcBorders>
            <w:shd w:val="clear" w:color="auto" w:fill="auto"/>
          </w:tcPr>
          <w:p w14:paraId="20985A79"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Borders>
              <w:top w:val="single" w:sz="8" w:space="0" w:color="auto"/>
              <w:left w:val="nil"/>
              <w:bottom w:val="single" w:sz="8" w:space="0" w:color="auto"/>
              <w:right w:val="single" w:sz="8" w:space="0" w:color="auto"/>
            </w:tcBorders>
          </w:tcPr>
          <w:p w14:paraId="0FD3A34F"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Borders>
              <w:top w:val="single" w:sz="8" w:space="0" w:color="auto"/>
              <w:left w:val="nil"/>
              <w:bottom w:val="single" w:sz="8" w:space="0" w:color="auto"/>
              <w:right w:val="single" w:sz="8" w:space="0" w:color="auto"/>
            </w:tcBorders>
          </w:tcPr>
          <w:p w14:paraId="452CCEE3"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383B7ECE"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067F2433" w14:textId="77777777" w:rsidR="007C5B19" w:rsidRPr="00806B7F" w:rsidRDefault="007C5B19" w:rsidP="00A369A1">
            <w:pPr>
              <w:rPr>
                <w:rFonts w:ascii="Arial" w:hAnsi="Arial" w:cs="Arial"/>
                <w:sz w:val="20"/>
              </w:rPr>
            </w:pPr>
            <w:r w:rsidRPr="00806B7F">
              <w:rPr>
                <w:rFonts w:ascii="Arial" w:hAnsi="Arial" w:cs="Arial"/>
                <w:sz w:val="20"/>
              </w:rPr>
              <w:t>Estimated Number of Band D equivalent properties</w:t>
            </w:r>
          </w:p>
        </w:tc>
        <w:tc>
          <w:tcPr>
            <w:tcW w:w="1134" w:type="dxa"/>
            <w:tcBorders>
              <w:top w:val="nil"/>
              <w:left w:val="nil"/>
              <w:bottom w:val="single" w:sz="8" w:space="0" w:color="auto"/>
              <w:right w:val="single" w:sz="8" w:space="0" w:color="auto"/>
            </w:tcBorders>
            <w:shd w:val="clear" w:color="auto" w:fill="auto"/>
            <w:vAlign w:val="bottom"/>
          </w:tcPr>
          <w:p w14:paraId="569C7E96" w14:textId="77777777" w:rsidR="007C5B19" w:rsidRPr="00806B7F" w:rsidRDefault="007C5B19" w:rsidP="00A369A1">
            <w:pPr>
              <w:jc w:val="right"/>
              <w:rPr>
                <w:rFonts w:ascii="Arial" w:hAnsi="Arial" w:cs="Arial"/>
                <w:sz w:val="20"/>
              </w:rPr>
            </w:pPr>
            <w:r w:rsidRPr="00806B7F">
              <w:rPr>
                <w:rFonts w:ascii="Arial" w:hAnsi="Arial" w:cs="Arial"/>
                <w:sz w:val="20"/>
              </w:rPr>
              <w:t>457,949</w:t>
            </w:r>
          </w:p>
        </w:tc>
        <w:tc>
          <w:tcPr>
            <w:tcW w:w="1134" w:type="dxa"/>
            <w:tcBorders>
              <w:top w:val="nil"/>
              <w:left w:val="nil"/>
              <w:bottom w:val="single" w:sz="8" w:space="0" w:color="auto"/>
              <w:right w:val="single" w:sz="8" w:space="0" w:color="auto"/>
            </w:tcBorders>
            <w:shd w:val="clear" w:color="auto" w:fill="auto"/>
            <w:vAlign w:val="bottom"/>
          </w:tcPr>
          <w:p w14:paraId="4CB113F6" w14:textId="77777777" w:rsidR="007C5B19" w:rsidRPr="00806B7F" w:rsidRDefault="007C5B19" w:rsidP="00A369A1">
            <w:pPr>
              <w:jc w:val="right"/>
              <w:rPr>
                <w:rFonts w:ascii="Arial" w:hAnsi="Arial" w:cs="Arial"/>
                <w:sz w:val="20"/>
              </w:rPr>
            </w:pPr>
            <w:r w:rsidRPr="00806B7F">
              <w:rPr>
                <w:rFonts w:ascii="Arial" w:hAnsi="Arial" w:cs="Arial"/>
                <w:sz w:val="20"/>
              </w:rPr>
              <w:t>464,819</w:t>
            </w:r>
          </w:p>
        </w:tc>
        <w:tc>
          <w:tcPr>
            <w:tcW w:w="1105" w:type="dxa"/>
            <w:tcBorders>
              <w:top w:val="nil"/>
              <w:left w:val="nil"/>
              <w:bottom w:val="single" w:sz="8" w:space="0" w:color="auto"/>
              <w:right w:val="single" w:sz="8" w:space="0" w:color="auto"/>
            </w:tcBorders>
            <w:shd w:val="clear" w:color="auto" w:fill="auto"/>
            <w:vAlign w:val="bottom"/>
          </w:tcPr>
          <w:p w14:paraId="4057AB8B" w14:textId="77777777" w:rsidR="007C5B19" w:rsidRPr="00806B7F" w:rsidRDefault="007C5B19" w:rsidP="00A369A1">
            <w:pPr>
              <w:jc w:val="right"/>
              <w:rPr>
                <w:rFonts w:ascii="Arial" w:hAnsi="Arial" w:cs="Arial"/>
                <w:sz w:val="20"/>
              </w:rPr>
            </w:pPr>
            <w:r w:rsidRPr="00806B7F">
              <w:rPr>
                <w:rFonts w:ascii="Arial" w:hAnsi="Arial" w:cs="Arial"/>
                <w:sz w:val="20"/>
              </w:rPr>
              <w:t>471,791</w:t>
            </w:r>
          </w:p>
        </w:tc>
        <w:tc>
          <w:tcPr>
            <w:tcW w:w="1134" w:type="dxa"/>
            <w:tcBorders>
              <w:top w:val="nil"/>
              <w:left w:val="nil"/>
              <w:bottom w:val="single" w:sz="8" w:space="0" w:color="auto"/>
              <w:right w:val="single" w:sz="8" w:space="0" w:color="auto"/>
            </w:tcBorders>
            <w:vAlign w:val="bottom"/>
          </w:tcPr>
          <w:p w14:paraId="7E5CD1E7" w14:textId="77777777" w:rsidR="007C5B19" w:rsidRPr="00806B7F" w:rsidRDefault="007C5B19" w:rsidP="00A369A1">
            <w:pPr>
              <w:jc w:val="right"/>
              <w:rPr>
                <w:rFonts w:ascii="Arial" w:hAnsi="Arial" w:cs="Arial"/>
                <w:sz w:val="20"/>
              </w:rPr>
            </w:pPr>
            <w:r w:rsidRPr="00806B7F">
              <w:rPr>
                <w:rFonts w:ascii="Arial" w:hAnsi="Arial" w:cs="Arial"/>
                <w:sz w:val="20"/>
              </w:rPr>
              <w:t>478,868</w:t>
            </w:r>
          </w:p>
        </w:tc>
        <w:tc>
          <w:tcPr>
            <w:tcW w:w="1134" w:type="dxa"/>
            <w:tcBorders>
              <w:top w:val="nil"/>
              <w:left w:val="nil"/>
              <w:bottom w:val="single" w:sz="8" w:space="0" w:color="auto"/>
              <w:right w:val="single" w:sz="8" w:space="0" w:color="auto"/>
            </w:tcBorders>
            <w:vAlign w:val="bottom"/>
          </w:tcPr>
          <w:p w14:paraId="49ED8606" w14:textId="77777777" w:rsidR="007C5B19" w:rsidRPr="00806B7F" w:rsidRDefault="007C5B19" w:rsidP="00A369A1">
            <w:pPr>
              <w:jc w:val="right"/>
              <w:rPr>
                <w:rFonts w:ascii="Arial" w:hAnsi="Arial" w:cs="Arial"/>
                <w:sz w:val="20"/>
              </w:rPr>
            </w:pPr>
            <w:r w:rsidRPr="00806B7F">
              <w:rPr>
                <w:rFonts w:ascii="Arial" w:hAnsi="Arial" w:cs="Arial"/>
                <w:sz w:val="20"/>
              </w:rPr>
              <w:t>486,051</w:t>
            </w:r>
          </w:p>
        </w:tc>
      </w:tr>
    </w:tbl>
    <w:p w14:paraId="5D7C6A85" w14:textId="77777777" w:rsidR="007C5B19" w:rsidRPr="00806B7F" w:rsidRDefault="007C5B19" w:rsidP="007C5B19">
      <w:pPr>
        <w:jc w:val="both"/>
        <w:rPr>
          <w:rFonts w:ascii="Arial" w:hAnsi="Arial" w:cs="Arial"/>
          <w:sz w:val="20"/>
        </w:rPr>
      </w:pPr>
    </w:p>
    <w:p w14:paraId="090F4750" w14:textId="77777777" w:rsidR="007C5B19" w:rsidRPr="00806B7F" w:rsidRDefault="007C5B19" w:rsidP="00BF6550">
      <w:pPr>
        <w:jc w:val="both"/>
        <w:rPr>
          <w:rFonts w:ascii="Arial" w:hAnsi="Arial" w:cs="Arial"/>
          <w:sz w:val="20"/>
        </w:rPr>
      </w:pPr>
      <w:r w:rsidRPr="00806B7F">
        <w:rPr>
          <w:rFonts w:ascii="Arial" w:hAnsi="Arial" w:cs="Arial"/>
          <w:sz w:val="20"/>
        </w:rPr>
        <w:t>Billing Authorities have now confirmed on overall collection fund surplus is £275k. We have assumed a £400k surplus on the collection fund each, in line with historic averages in future years:-</w:t>
      </w:r>
    </w:p>
    <w:p w14:paraId="2A2F771E" w14:textId="77777777" w:rsidR="007C5B19" w:rsidRPr="00806B7F" w:rsidRDefault="007C5B19" w:rsidP="00BF6550">
      <w:pPr>
        <w:jc w:val="both"/>
        <w:rPr>
          <w:rFonts w:ascii="Arial" w:hAnsi="Arial" w:cs="Arial"/>
          <w:sz w:val="20"/>
        </w:rPr>
      </w:pPr>
    </w:p>
    <w:p w14:paraId="79F9966F"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16 Forecast Council Tax Collection Fund</w:t>
      </w:r>
    </w:p>
    <w:tbl>
      <w:tblPr>
        <w:tblW w:w="10264" w:type="dxa"/>
        <w:tblInd w:w="98" w:type="dxa"/>
        <w:tblLayout w:type="fixed"/>
        <w:tblLook w:val="04A0" w:firstRow="1" w:lastRow="0" w:firstColumn="1" w:lastColumn="0" w:noHBand="0" w:noVBand="1"/>
      </w:tblPr>
      <w:tblGrid>
        <w:gridCol w:w="4570"/>
        <w:gridCol w:w="1158"/>
        <w:gridCol w:w="1134"/>
        <w:gridCol w:w="1134"/>
        <w:gridCol w:w="1134"/>
        <w:gridCol w:w="1134"/>
      </w:tblGrid>
      <w:tr w:rsidR="007C5B19" w:rsidRPr="00806B7F" w14:paraId="29252D32" w14:textId="77777777" w:rsidTr="00A369A1">
        <w:trPr>
          <w:trHeight w:val="270"/>
        </w:trPr>
        <w:tc>
          <w:tcPr>
            <w:tcW w:w="4570" w:type="dxa"/>
            <w:tcBorders>
              <w:top w:val="single" w:sz="8" w:space="0" w:color="auto"/>
              <w:left w:val="single" w:sz="8" w:space="0" w:color="auto"/>
              <w:bottom w:val="single" w:sz="8" w:space="0" w:color="auto"/>
              <w:right w:val="single" w:sz="8" w:space="0" w:color="auto"/>
            </w:tcBorders>
            <w:shd w:val="clear" w:color="auto" w:fill="auto"/>
          </w:tcPr>
          <w:p w14:paraId="770D06AC" w14:textId="77777777" w:rsidR="007C5B19" w:rsidRPr="00806B7F" w:rsidRDefault="007C5B19" w:rsidP="00A369A1">
            <w:pPr>
              <w:rPr>
                <w:rFonts w:ascii="Arial" w:hAnsi="Arial" w:cs="Arial"/>
                <w:sz w:val="20"/>
              </w:rPr>
            </w:pPr>
            <w:r w:rsidRPr="00806B7F">
              <w:rPr>
                <w:rFonts w:ascii="Arial" w:hAnsi="Arial" w:cs="Arial"/>
                <w:sz w:val="20"/>
              </w:rPr>
              <w:t> </w:t>
            </w:r>
          </w:p>
        </w:tc>
        <w:tc>
          <w:tcPr>
            <w:tcW w:w="1158" w:type="dxa"/>
            <w:tcBorders>
              <w:top w:val="single" w:sz="8" w:space="0" w:color="auto"/>
              <w:left w:val="nil"/>
              <w:bottom w:val="single" w:sz="8" w:space="0" w:color="auto"/>
              <w:right w:val="single" w:sz="8" w:space="0" w:color="auto"/>
            </w:tcBorders>
            <w:shd w:val="clear" w:color="auto" w:fill="auto"/>
          </w:tcPr>
          <w:p w14:paraId="49C5F97B"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single" w:sz="8" w:space="0" w:color="auto"/>
              <w:left w:val="nil"/>
              <w:bottom w:val="single" w:sz="8" w:space="0" w:color="auto"/>
              <w:right w:val="single" w:sz="8" w:space="0" w:color="auto"/>
            </w:tcBorders>
            <w:shd w:val="clear" w:color="auto" w:fill="auto"/>
          </w:tcPr>
          <w:p w14:paraId="4B00CD6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single" w:sz="8" w:space="0" w:color="auto"/>
              <w:left w:val="nil"/>
              <w:bottom w:val="single" w:sz="8" w:space="0" w:color="auto"/>
              <w:right w:val="single" w:sz="8" w:space="0" w:color="auto"/>
            </w:tcBorders>
            <w:shd w:val="clear" w:color="auto" w:fill="auto"/>
          </w:tcPr>
          <w:p w14:paraId="78D4F3E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single" w:sz="8" w:space="0" w:color="auto"/>
              <w:left w:val="nil"/>
              <w:bottom w:val="single" w:sz="8" w:space="0" w:color="auto"/>
              <w:right w:val="single" w:sz="8" w:space="0" w:color="auto"/>
            </w:tcBorders>
          </w:tcPr>
          <w:p w14:paraId="1C9EF9E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single" w:sz="8" w:space="0" w:color="auto"/>
              <w:left w:val="nil"/>
              <w:bottom w:val="single" w:sz="8" w:space="0" w:color="auto"/>
              <w:right w:val="single" w:sz="8" w:space="0" w:color="auto"/>
            </w:tcBorders>
          </w:tcPr>
          <w:p w14:paraId="19E60A48"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03D406C8"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1243A41E" w14:textId="77777777" w:rsidR="007C5B19" w:rsidRPr="00806B7F" w:rsidRDefault="007C5B19" w:rsidP="00A369A1">
            <w:pPr>
              <w:rPr>
                <w:rFonts w:ascii="Arial" w:hAnsi="Arial" w:cs="Arial"/>
                <w:sz w:val="20"/>
              </w:rPr>
            </w:pPr>
          </w:p>
        </w:tc>
        <w:tc>
          <w:tcPr>
            <w:tcW w:w="1158" w:type="dxa"/>
            <w:tcBorders>
              <w:top w:val="nil"/>
              <w:left w:val="nil"/>
              <w:bottom w:val="single" w:sz="8" w:space="0" w:color="auto"/>
              <w:right w:val="single" w:sz="8" w:space="0" w:color="auto"/>
            </w:tcBorders>
            <w:shd w:val="clear" w:color="auto" w:fill="auto"/>
          </w:tcPr>
          <w:p w14:paraId="47FBDB47"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24181E78"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4C5595BE"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0A5E840D"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66FC9B05"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305C7DA5"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7814D2B6" w14:textId="77777777" w:rsidR="007C5B19" w:rsidRPr="00806B7F" w:rsidRDefault="007C5B19" w:rsidP="00A369A1">
            <w:pPr>
              <w:rPr>
                <w:rFonts w:ascii="Arial" w:hAnsi="Arial" w:cs="Arial"/>
                <w:sz w:val="20"/>
              </w:rPr>
            </w:pPr>
            <w:r w:rsidRPr="00806B7F">
              <w:rPr>
                <w:rFonts w:ascii="Arial" w:hAnsi="Arial" w:cs="Arial"/>
                <w:sz w:val="20"/>
              </w:rPr>
              <w:t xml:space="preserve">Council Tax Collection Surplus </w:t>
            </w:r>
          </w:p>
        </w:tc>
        <w:tc>
          <w:tcPr>
            <w:tcW w:w="1158" w:type="dxa"/>
            <w:tcBorders>
              <w:top w:val="nil"/>
              <w:left w:val="nil"/>
              <w:bottom w:val="single" w:sz="8" w:space="0" w:color="auto"/>
              <w:right w:val="single" w:sz="8" w:space="0" w:color="auto"/>
            </w:tcBorders>
            <w:shd w:val="clear" w:color="auto" w:fill="auto"/>
          </w:tcPr>
          <w:p w14:paraId="51E488D3"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nil"/>
              <w:left w:val="nil"/>
              <w:bottom w:val="single" w:sz="8" w:space="0" w:color="auto"/>
              <w:right w:val="single" w:sz="8" w:space="0" w:color="auto"/>
            </w:tcBorders>
            <w:shd w:val="clear" w:color="auto" w:fill="auto"/>
          </w:tcPr>
          <w:p w14:paraId="4761F878"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shd w:val="clear" w:color="auto" w:fill="auto"/>
          </w:tcPr>
          <w:p w14:paraId="1485EA10"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707132D0"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41B74EF2" w14:textId="77777777" w:rsidR="007C5B19" w:rsidRPr="00806B7F" w:rsidRDefault="007C5B19" w:rsidP="00A369A1">
            <w:pPr>
              <w:jc w:val="center"/>
              <w:rPr>
                <w:rFonts w:ascii="Arial" w:hAnsi="Arial" w:cs="Arial"/>
                <w:sz w:val="20"/>
              </w:rPr>
            </w:pPr>
            <w:r w:rsidRPr="00806B7F">
              <w:rPr>
                <w:rFonts w:ascii="Arial" w:hAnsi="Arial" w:cs="Arial"/>
                <w:sz w:val="20"/>
              </w:rPr>
              <w:t>0.4</w:t>
            </w:r>
          </w:p>
        </w:tc>
      </w:tr>
    </w:tbl>
    <w:p w14:paraId="674CF3B6" w14:textId="77777777" w:rsidR="007C5B19" w:rsidRPr="00806B7F" w:rsidRDefault="007C5B19" w:rsidP="007C5B19">
      <w:pPr>
        <w:jc w:val="both"/>
        <w:rPr>
          <w:rFonts w:ascii="Arial" w:hAnsi="Arial" w:cs="Arial"/>
          <w:sz w:val="20"/>
        </w:rPr>
      </w:pPr>
    </w:p>
    <w:p w14:paraId="62E85BAB" w14:textId="77777777" w:rsidR="00806B7F" w:rsidRDefault="00806B7F" w:rsidP="007C5B19">
      <w:pPr>
        <w:jc w:val="both"/>
        <w:rPr>
          <w:rFonts w:ascii="Arial" w:hAnsi="Arial" w:cs="Arial"/>
          <w:b/>
          <w:sz w:val="20"/>
        </w:rPr>
      </w:pPr>
    </w:p>
    <w:p w14:paraId="49D3B39A" w14:textId="77777777" w:rsidR="00806B7F" w:rsidRDefault="00806B7F" w:rsidP="007C5B19">
      <w:pPr>
        <w:jc w:val="both"/>
        <w:rPr>
          <w:rFonts w:ascii="Arial" w:hAnsi="Arial" w:cs="Arial"/>
          <w:b/>
          <w:sz w:val="20"/>
        </w:rPr>
      </w:pPr>
    </w:p>
    <w:p w14:paraId="1EF4EFF7" w14:textId="77777777" w:rsidR="00806B7F" w:rsidRDefault="00806B7F" w:rsidP="007C5B19">
      <w:pPr>
        <w:jc w:val="both"/>
        <w:rPr>
          <w:rFonts w:ascii="Arial" w:hAnsi="Arial" w:cs="Arial"/>
          <w:b/>
          <w:sz w:val="20"/>
        </w:rPr>
      </w:pPr>
    </w:p>
    <w:p w14:paraId="53D4051C" w14:textId="77777777" w:rsidR="00806B7F" w:rsidRDefault="00806B7F" w:rsidP="007C5B19">
      <w:pPr>
        <w:jc w:val="both"/>
        <w:rPr>
          <w:rFonts w:ascii="Arial" w:hAnsi="Arial" w:cs="Arial"/>
          <w:b/>
          <w:sz w:val="20"/>
        </w:rPr>
      </w:pPr>
    </w:p>
    <w:p w14:paraId="0E2E85FB" w14:textId="35A69CA4" w:rsidR="007C5B19" w:rsidRPr="00806B7F" w:rsidRDefault="007C5B19" w:rsidP="007C5B19">
      <w:pPr>
        <w:jc w:val="both"/>
        <w:rPr>
          <w:rFonts w:ascii="Arial" w:hAnsi="Arial" w:cs="Arial"/>
          <w:b/>
          <w:sz w:val="20"/>
        </w:rPr>
      </w:pPr>
      <w:r w:rsidRPr="00806B7F">
        <w:rPr>
          <w:rFonts w:ascii="Arial" w:hAnsi="Arial" w:cs="Arial"/>
          <w:b/>
          <w:sz w:val="20"/>
        </w:rPr>
        <w:t>Draft Council Tax Requirements</w:t>
      </w:r>
    </w:p>
    <w:p w14:paraId="29D6A123" w14:textId="77777777" w:rsidR="007C5B19" w:rsidRPr="00806B7F" w:rsidRDefault="007C5B19" w:rsidP="007C5B19">
      <w:pPr>
        <w:jc w:val="both"/>
        <w:rPr>
          <w:rFonts w:ascii="Arial" w:hAnsi="Arial" w:cs="Arial"/>
          <w:b/>
          <w:sz w:val="20"/>
        </w:rPr>
      </w:pPr>
    </w:p>
    <w:p w14:paraId="29F082F9"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17 Forecast Council Tax Requirements</w:t>
      </w:r>
    </w:p>
    <w:tbl>
      <w:tblPr>
        <w:tblW w:w="10240" w:type="dxa"/>
        <w:tblInd w:w="98" w:type="dxa"/>
        <w:tblLayout w:type="fixed"/>
        <w:tblLook w:val="04A0" w:firstRow="1" w:lastRow="0" w:firstColumn="1" w:lastColumn="0" w:noHBand="0" w:noVBand="1"/>
      </w:tblPr>
      <w:tblGrid>
        <w:gridCol w:w="4570"/>
        <w:gridCol w:w="1134"/>
        <w:gridCol w:w="1134"/>
        <w:gridCol w:w="1134"/>
        <w:gridCol w:w="1134"/>
        <w:gridCol w:w="1134"/>
      </w:tblGrid>
      <w:tr w:rsidR="007C5B19" w:rsidRPr="00806B7F" w14:paraId="56A3BF33" w14:textId="77777777" w:rsidTr="00A369A1">
        <w:trPr>
          <w:trHeight w:val="270"/>
        </w:trPr>
        <w:tc>
          <w:tcPr>
            <w:tcW w:w="4570" w:type="dxa"/>
            <w:tcBorders>
              <w:top w:val="single" w:sz="8" w:space="0" w:color="auto"/>
              <w:left w:val="single" w:sz="8" w:space="0" w:color="auto"/>
              <w:bottom w:val="single" w:sz="8" w:space="0" w:color="auto"/>
              <w:right w:val="single" w:sz="8" w:space="0" w:color="auto"/>
            </w:tcBorders>
            <w:shd w:val="clear" w:color="auto" w:fill="auto"/>
          </w:tcPr>
          <w:p w14:paraId="0ADD5A56" w14:textId="77777777" w:rsidR="007C5B19" w:rsidRPr="00806B7F" w:rsidRDefault="007C5B19" w:rsidP="00A369A1">
            <w:pPr>
              <w:rPr>
                <w:rFonts w:ascii="Arial" w:hAnsi="Arial" w:cs="Arial"/>
                <w:sz w:val="20"/>
              </w:rPr>
            </w:pPr>
            <w:r w:rsidRPr="00806B7F">
              <w:rPr>
                <w:rFonts w:ascii="Arial" w:hAnsi="Arial" w:cs="Arial"/>
                <w:sz w:val="20"/>
              </w:rPr>
              <w:t> </w:t>
            </w:r>
          </w:p>
        </w:tc>
        <w:tc>
          <w:tcPr>
            <w:tcW w:w="1134" w:type="dxa"/>
            <w:tcBorders>
              <w:top w:val="single" w:sz="8" w:space="0" w:color="auto"/>
              <w:left w:val="nil"/>
              <w:bottom w:val="single" w:sz="8" w:space="0" w:color="auto"/>
              <w:right w:val="single" w:sz="8" w:space="0" w:color="auto"/>
            </w:tcBorders>
            <w:shd w:val="clear" w:color="auto" w:fill="auto"/>
          </w:tcPr>
          <w:p w14:paraId="68DF3A7B"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Borders>
              <w:top w:val="single" w:sz="8" w:space="0" w:color="auto"/>
              <w:left w:val="nil"/>
              <w:bottom w:val="single" w:sz="8" w:space="0" w:color="auto"/>
              <w:right w:val="single" w:sz="8" w:space="0" w:color="auto"/>
            </w:tcBorders>
            <w:shd w:val="clear" w:color="auto" w:fill="auto"/>
          </w:tcPr>
          <w:p w14:paraId="56D36516"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Borders>
              <w:top w:val="single" w:sz="8" w:space="0" w:color="auto"/>
              <w:left w:val="nil"/>
              <w:bottom w:val="single" w:sz="8" w:space="0" w:color="auto"/>
              <w:right w:val="single" w:sz="8" w:space="0" w:color="auto"/>
            </w:tcBorders>
            <w:shd w:val="clear" w:color="auto" w:fill="auto"/>
          </w:tcPr>
          <w:p w14:paraId="06D9E61F"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Borders>
              <w:top w:val="single" w:sz="8" w:space="0" w:color="auto"/>
              <w:left w:val="nil"/>
              <w:bottom w:val="single" w:sz="8" w:space="0" w:color="auto"/>
              <w:right w:val="single" w:sz="8" w:space="0" w:color="auto"/>
            </w:tcBorders>
          </w:tcPr>
          <w:p w14:paraId="705DE0AA"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Borders>
              <w:top w:val="single" w:sz="8" w:space="0" w:color="auto"/>
              <w:left w:val="nil"/>
              <w:bottom w:val="single" w:sz="8" w:space="0" w:color="auto"/>
              <w:right w:val="single" w:sz="8" w:space="0" w:color="auto"/>
            </w:tcBorders>
          </w:tcPr>
          <w:p w14:paraId="5C80DCCE"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4C5B4861"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62EAE4BD" w14:textId="77777777" w:rsidR="007C5B19" w:rsidRPr="00806B7F" w:rsidRDefault="007C5B19" w:rsidP="00A369A1">
            <w:pPr>
              <w:rPr>
                <w:rFonts w:ascii="Arial" w:hAnsi="Arial" w:cs="Arial"/>
                <w:sz w:val="20"/>
              </w:rPr>
            </w:pPr>
          </w:p>
        </w:tc>
        <w:tc>
          <w:tcPr>
            <w:tcW w:w="1134" w:type="dxa"/>
            <w:tcBorders>
              <w:top w:val="nil"/>
              <w:left w:val="nil"/>
              <w:bottom w:val="single" w:sz="8" w:space="0" w:color="auto"/>
              <w:right w:val="single" w:sz="8" w:space="0" w:color="auto"/>
            </w:tcBorders>
            <w:shd w:val="clear" w:color="auto" w:fill="auto"/>
          </w:tcPr>
          <w:p w14:paraId="6855FF00"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462482C2"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01B92B91"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37C8FA0C"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342D63D2"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33E19AE2"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64F489F4" w14:textId="77777777" w:rsidR="007C5B19" w:rsidRPr="00806B7F" w:rsidRDefault="007C5B19" w:rsidP="00A369A1">
            <w:pPr>
              <w:rPr>
                <w:rFonts w:ascii="Arial" w:hAnsi="Arial" w:cs="Arial"/>
                <w:sz w:val="20"/>
              </w:rPr>
            </w:pPr>
            <w:r w:rsidRPr="00806B7F">
              <w:rPr>
                <w:rFonts w:ascii="Arial" w:hAnsi="Arial" w:cs="Arial"/>
                <w:sz w:val="20"/>
              </w:rPr>
              <w:t>Draft Budget Requirement</w:t>
            </w:r>
          </w:p>
        </w:tc>
        <w:tc>
          <w:tcPr>
            <w:tcW w:w="1134" w:type="dxa"/>
            <w:tcBorders>
              <w:top w:val="nil"/>
              <w:left w:val="nil"/>
              <w:bottom w:val="single" w:sz="8" w:space="0" w:color="auto"/>
              <w:right w:val="single" w:sz="8" w:space="0" w:color="auto"/>
            </w:tcBorders>
            <w:shd w:val="clear" w:color="auto" w:fill="auto"/>
          </w:tcPr>
          <w:p w14:paraId="145D31E1" w14:textId="77777777" w:rsidR="007C5B19" w:rsidRPr="00806B7F" w:rsidRDefault="007C5B19" w:rsidP="00A369A1">
            <w:pPr>
              <w:jc w:val="center"/>
              <w:rPr>
                <w:rFonts w:ascii="Arial" w:hAnsi="Arial" w:cs="Arial"/>
                <w:sz w:val="20"/>
              </w:rPr>
            </w:pPr>
            <w:r w:rsidRPr="00806B7F">
              <w:rPr>
                <w:rFonts w:ascii="Arial" w:hAnsi="Arial" w:cs="Arial"/>
                <w:sz w:val="20"/>
              </w:rPr>
              <w:t>68.5</w:t>
            </w:r>
          </w:p>
        </w:tc>
        <w:tc>
          <w:tcPr>
            <w:tcW w:w="1134" w:type="dxa"/>
            <w:tcBorders>
              <w:top w:val="nil"/>
              <w:left w:val="nil"/>
              <w:bottom w:val="single" w:sz="8" w:space="0" w:color="auto"/>
              <w:right w:val="single" w:sz="8" w:space="0" w:color="auto"/>
            </w:tcBorders>
            <w:shd w:val="clear" w:color="auto" w:fill="auto"/>
          </w:tcPr>
          <w:p w14:paraId="564F4F37" w14:textId="77777777" w:rsidR="007C5B19" w:rsidRPr="00806B7F" w:rsidRDefault="007C5B19" w:rsidP="00A369A1">
            <w:pPr>
              <w:jc w:val="center"/>
              <w:rPr>
                <w:rFonts w:ascii="Arial" w:hAnsi="Arial" w:cs="Arial"/>
                <w:sz w:val="20"/>
              </w:rPr>
            </w:pPr>
            <w:r w:rsidRPr="00806B7F">
              <w:rPr>
                <w:rFonts w:ascii="Arial" w:hAnsi="Arial" w:cs="Arial"/>
                <w:sz w:val="20"/>
              </w:rPr>
              <w:t>71.8</w:t>
            </w:r>
          </w:p>
        </w:tc>
        <w:tc>
          <w:tcPr>
            <w:tcW w:w="1134" w:type="dxa"/>
            <w:tcBorders>
              <w:top w:val="nil"/>
              <w:left w:val="nil"/>
              <w:bottom w:val="single" w:sz="8" w:space="0" w:color="auto"/>
              <w:right w:val="single" w:sz="8" w:space="0" w:color="auto"/>
            </w:tcBorders>
            <w:shd w:val="clear" w:color="auto" w:fill="auto"/>
          </w:tcPr>
          <w:p w14:paraId="3B9EDFF3" w14:textId="77777777" w:rsidR="007C5B19" w:rsidRPr="00806B7F" w:rsidRDefault="007C5B19" w:rsidP="00A369A1">
            <w:pPr>
              <w:jc w:val="center"/>
              <w:rPr>
                <w:rFonts w:ascii="Arial" w:hAnsi="Arial" w:cs="Arial"/>
                <w:sz w:val="20"/>
              </w:rPr>
            </w:pPr>
            <w:r w:rsidRPr="00806B7F">
              <w:rPr>
                <w:rFonts w:ascii="Arial" w:hAnsi="Arial" w:cs="Arial"/>
                <w:sz w:val="20"/>
              </w:rPr>
              <w:t>74.5</w:t>
            </w:r>
          </w:p>
        </w:tc>
        <w:tc>
          <w:tcPr>
            <w:tcW w:w="1134" w:type="dxa"/>
            <w:tcBorders>
              <w:top w:val="nil"/>
              <w:left w:val="nil"/>
              <w:bottom w:val="single" w:sz="8" w:space="0" w:color="auto"/>
              <w:right w:val="single" w:sz="8" w:space="0" w:color="auto"/>
            </w:tcBorders>
          </w:tcPr>
          <w:p w14:paraId="5902477D" w14:textId="77777777" w:rsidR="007C5B19" w:rsidRPr="00806B7F" w:rsidRDefault="007C5B19" w:rsidP="00A369A1">
            <w:pPr>
              <w:jc w:val="center"/>
              <w:rPr>
                <w:rFonts w:ascii="Arial" w:hAnsi="Arial" w:cs="Arial"/>
                <w:sz w:val="20"/>
              </w:rPr>
            </w:pPr>
            <w:r w:rsidRPr="00806B7F">
              <w:rPr>
                <w:rFonts w:ascii="Arial" w:hAnsi="Arial" w:cs="Arial"/>
                <w:sz w:val="20"/>
              </w:rPr>
              <w:t>76.6</w:t>
            </w:r>
          </w:p>
        </w:tc>
        <w:tc>
          <w:tcPr>
            <w:tcW w:w="1134" w:type="dxa"/>
            <w:tcBorders>
              <w:top w:val="nil"/>
              <w:left w:val="nil"/>
              <w:bottom w:val="single" w:sz="8" w:space="0" w:color="auto"/>
              <w:right w:val="single" w:sz="8" w:space="0" w:color="auto"/>
            </w:tcBorders>
          </w:tcPr>
          <w:p w14:paraId="477D7AEC" w14:textId="77777777" w:rsidR="007C5B19" w:rsidRPr="00806B7F" w:rsidRDefault="007C5B19" w:rsidP="00A369A1">
            <w:pPr>
              <w:jc w:val="center"/>
              <w:rPr>
                <w:rFonts w:ascii="Arial" w:hAnsi="Arial" w:cs="Arial"/>
                <w:sz w:val="20"/>
              </w:rPr>
            </w:pPr>
            <w:r w:rsidRPr="00806B7F">
              <w:rPr>
                <w:rFonts w:ascii="Arial" w:hAnsi="Arial" w:cs="Arial"/>
                <w:sz w:val="20"/>
              </w:rPr>
              <w:t>78.9</w:t>
            </w:r>
          </w:p>
        </w:tc>
      </w:tr>
      <w:tr w:rsidR="007C5B19" w:rsidRPr="00806B7F" w14:paraId="448CBC92"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70FFA032" w14:textId="77777777" w:rsidR="007C5B19" w:rsidRPr="00806B7F" w:rsidRDefault="007C5B19" w:rsidP="00A369A1">
            <w:pPr>
              <w:rPr>
                <w:rFonts w:ascii="Arial" w:hAnsi="Arial" w:cs="Arial"/>
                <w:sz w:val="20"/>
              </w:rPr>
            </w:pPr>
            <w:r w:rsidRPr="00806B7F">
              <w:rPr>
                <w:rFonts w:ascii="Arial" w:hAnsi="Arial" w:cs="Arial"/>
                <w:sz w:val="20"/>
              </w:rPr>
              <w:t>Less Settlement Funding Assessment</w:t>
            </w:r>
          </w:p>
        </w:tc>
        <w:tc>
          <w:tcPr>
            <w:tcW w:w="1134" w:type="dxa"/>
            <w:tcBorders>
              <w:top w:val="nil"/>
              <w:left w:val="nil"/>
              <w:bottom w:val="single" w:sz="8" w:space="0" w:color="auto"/>
              <w:right w:val="single" w:sz="8" w:space="0" w:color="auto"/>
            </w:tcBorders>
            <w:shd w:val="clear" w:color="auto" w:fill="auto"/>
          </w:tcPr>
          <w:p w14:paraId="19B1A50A" w14:textId="77777777" w:rsidR="007C5B19" w:rsidRPr="00806B7F" w:rsidRDefault="007C5B19" w:rsidP="00A369A1">
            <w:pPr>
              <w:jc w:val="center"/>
              <w:rPr>
                <w:rFonts w:ascii="Arial" w:hAnsi="Arial" w:cs="Arial"/>
                <w:sz w:val="20"/>
              </w:rPr>
            </w:pPr>
            <w:r w:rsidRPr="00806B7F">
              <w:rPr>
                <w:rFonts w:ascii="Arial" w:hAnsi="Arial" w:cs="Arial"/>
                <w:sz w:val="20"/>
              </w:rPr>
              <w:t>(26.0)</w:t>
            </w:r>
          </w:p>
        </w:tc>
        <w:tc>
          <w:tcPr>
            <w:tcW w:w="1134" w:type="dxa"/>
            <w:tcBorders>
              <w:top w:val="nil"/>
              <w:left w:val="nil"/>
              <w:bottom w:val="single" w:sz="8" w:space="0" w:color="auto"/>
              <w:right w:val="single" w:sz="8" w:space="0" w:color="auto"/>
            </w:tcBorders>
            <w:shd w:val="clear" w:color="auto" w:fill="auto"/>
          </w:tcPr>
          <w:p w14:paraId="4F15224F" w14:textId="77777777" w:rsidR="007C5B19" w:rsidRPr="00806B7F" w:rsidRDefault="007C5B19" w:rsidP="00A369A1">
            <w:pPr>
              <w:jc w:val="center"/>
              <w:rPr>
                <w:rFonts w:ascii="Arial" w:hAnsi="Arial" w:cs="Arial"/>
                <w:sz w:val="20"/>
              </w:rPr>
            </w:pPr>
            <w:r w:rsidRPr="00806B7F">
              <w:rPr>
                <w:rFonts w:ascii="Arial" w:hAnsi="Arial" w:cs="Arial"/>
                <w:sz w:val="20"/>
              </w:rPr>
              <w:t>(27.3)</w:t>
            </w:r>
          </w:p>
        </w:tc>
        <w:tc>
          <w:tcPr>
            <w:tcW w:w="1134" w:type="dxa"/>
            <w:tcBorders>
              <w:top w:val="nil"/>
              <w:left w:val="nil"/>
              <w:bottom w:val="single" w:sz="8" w:space="0" w:color="auto"/>
              <w:right w:val="single" w:sz="8" w:space="0" w:color="auto"/>
            </w:tcBorders>
            <w:shd w:val="clear" w:color="auto" w:fill="auto"/>
          </w:tcPr>
          <w:p w14:paraId="78D21AF2" w14:textId="77777777" w:rsidR="007C5B19" w:rsidRPr="00806B7F" w:rsidRDefault="007C5B19" w:rsidP="00A369A1">
            <w:pPr>
              <w:jc w:val="center"/>
              <w:rPr>
                <w:rFonts w:ascii="Arial" w:hAnsi="Arial" w:cs="Arial"/>
                <w:sz w:val="20"/>
              </w:rPr>
            </w:pPr>
            <w:r w:rsidRPr="00806B7F">
              <w:rPr>
                <w:rFonts w:ascii="Arial" w:hAnsi="Arial" w:cs="Arial"/>
                <w:sz w:val="20"/>
              </w:rPr>
              <w:t>(27.8)</w:t>
            </w:r>
          </w:p>
        </w:tc>
        <w:tc>
          <w:tcPr>
            <w:tcW w:w="1134" w:type="dxa"/>
            <w:tcBorders>
              <w:top w:val="nil"/>
              <w:left w:val="nil"/>
              <w:bottom w:val="single" w:sz="8" w:space="0" w:color="auto"/>
              <w:right w:val="single" w:sz="8" w:space="0" w:color="auto"/>
            </w:tcBorders>
          </w:tcPr>
          <w:p w14:paraId="2F60A57C" w14:textId="77777777" w:rsidR="007C5B19" w:rsidRPr="00806B7F" w:rsidRDefault="007C5B19" w:rsidP="00A369A1">
            <w:pPr>
              <w:jc w:val="center"/>
              <w:rPr>
                <w:rFonts w:ascii="Arial" w:hAnsi="Arial" w:cs="Arial"/>
                <w:sz w:val="20"/>
              </w:rPr>
            </w:pPr>
            <w:r w:rsidRPr="00806B7F">
              <w:rPr>
                <w:rFonts w:ascii="Arial" w:hAnsi="Arial" w:cs="Arial"/>
                <w:sz w:val="20"/>
              </w:rPr>
              <w:t>(28.4)</w:t>
            </w:r>
          </w:p>
        </w:tc>
        <w:tc>
          <w:tcPr>
            <w:tcW w:w="1134" w:type="dxa"/>
            <w:tcBorders>
              <w:top w:val="nil"/>
              <w:left w:val="nil"/>
              <w:bottom w:val="single" w:sz="8" w:space="0" w:color="auto"/>
              <w:right w:val="single" w:sz="8" w:space="0" w:color="auto"/>
            </w:tcBorders>
          </w:tcPr>
          <w:p w14:paraId="29B94B5B" w14:textId="77777777" w:rsidR="007C5B19" w:rsidRPr="00806B7F" w:rsidRDefault="007C5B19" w:rsidP="00A369A1">
            <w:pPr>
              <w:jc w:val="center"/>
              <w:rPr>
                <w:rFonts w:ascii="Arial" w:hAnsi="Arial" w:cs="Arial"/>
                <w:sz w:val="20"/>
              </w:rPr>
            </w:pPr>
            <w:r w:rsidRPr="00806B7F">
              <w:rPr>
                <w:rFonts w:ascii="Arial" w:hAnsi="Arial" w:cs="Arial"/>
                <w:sz w:val="20"/>
              </w:rPr>
              <w:t>(29.0)</w:t>
            </w:r>
          </w:p>
        </w:tc>
      </w:tr>
      <w:tr w:rsidR="007C5B19" w:rsidRPr="00806B7F" w14:paraId="54078573"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662B1710" w14:textId="77777777" w:rsidR="007C5B19" w:rsidRPr="00806B7F" w:rsidRDefault="007C5B19" w:rsidP="00A369A1">
            <w:pPr>
              <w:rPr>
                <w:rFonts w:ascii="Arial" w:hAnsi="Arial" w:cs="Arial"/>
                <w:sz w:val="20"/>
              </w:rPr>
            </w:pPr>
            <w:r w:rsidRPr="00806B7F">
              <w:rPr>
                <w:rFonts w:ascii="Arial" w:hAnsi="Arial" w:cs="Arial"/>
                <w:sz w:val="20"/>
              </w:rPr>
              <w:t>Less Service Grant</w:t>
            </w:r>
          </w:p>
        </w:tc>
        <w:tc>
          <w:tcPr>
            <w:tcW w:w="1134" w:type="dxa"/>
            <w:tcBorders>
              <w:top w:val="nil"/>
              <w:left w:val="nil"/>
              <w:bottom w:val="single" w:sz="8" w:space="0" w:color="auto"/>
              <w:right w:val="single" w:sz="8" w:space="0" w:color="auto"/>
            </w:tcBorders>
            <w:shd w:val="clear" w:color="auto" w:fill="auto"/>
          </w:tcPr>
          <w:p w14:paraId="1E209B7A"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Borders>
              <w:top w:val="nil"/>
              <w:left w:val="nil"/>
              <w:bottom w:val="single" w:sz="8" w:space="0" w:color="auto"/>
              <w:right w:val="single" w:sz="8" w:space="0" w:color="auto"/>
            </w:tcBorders>
            <w:shd w:val="clear" w:color="auto" w:fill="auto"/>
          </w:tcPr>
          <w:p w14:paraId="63F968EA"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Borders>
              <w:top w:val="nil"/>
              <w:left w:val="nil"/>
              <w:bottom w:val="single" w:sz="8" w:space="0" w:color="auto"/>
              <w:right w:val="single" w:sz="8" w:space="0" w:color="auto"/>
            </w:tcBorders>
            <w:shd w:val="clear" w:color="auto" w:fill="auto"/>
          </w:tcPr>
          <w:p w14:paraId="723AD1CA"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Borders>
              <w:top w:val="nil"/>
              <w:left w:val="nil"/>
              <w:bottom w:val="single" w:sz="8" w:space="0" w:color="auto"/>
              <w:right w:val="single" w:sz="8" w:space="0" w:color="auto"/>
            </w:tcBorders>
          </w:tcPr>
          <w:p w14:paraId="558F2B17" w14:textId="77777777" w:rsidR="007C5B19" w:rsidRPr="00806B7F" w:rsidRDefault="007C5B19" w:rsidP="00A369A1">
            <w:pPr>
              <w:jc w:val="center"/>
              <w:rPr>
                <w:rFonts w:ascii="Arial" w:hAnsi="Arial" w:cs="Arial"/>
                <w:sz w:val="20"/>
              </w:rPr>
            </w:pPr>
            <w:r w:rsidRPr="00806B7F">
              <w:rPr>
                <w:rFonts w:ascii="Arial" w:hAnsi="Arial" w:cs="Arial"/>
                <w:sz w:val="20"/>
              </w:rPr>
              <w:t>(0.6)</w:t>
            </w:r>
          </w:p>
        </w:tc>
        <w:tc>
          <w:tcPr>
            <w:tcW w:w="1134" w:type="dxa"/>
            <w:tcBorders>
              <w:top w:val="nil"/>
              <w:left w:val="nil"/>
              <w:bottom w:val="single" w:sz="8" w:space="0" w:color="auto"/>
              <w:right w:val="single" w:sz="8" w:space="0" w:color="auto"/>
            </w:tcBorders>
          </w:tcPr>
          <w:p w14:paraId="7075032B" w14:textId="77777777" w:rsidR="007C5B19" w:rsidRPr="00806B7F" w:rsidRDefault="007C5B19" w:rsidP="00A369A1">
            <w:pPr>
              <w:jc w:val="center"/>
              <w:rPr>
                <w:rFonts w:ascii="Arial" w:hAnsi="Arial" w:cs="Arial"/>
                <w:sz w:val="20"/>
              </w:rPr>
            </w:pPr>
            <w:r w:rsidRPr="00806B7F">
              <w:rPr>
                <w:rFonts w:ascii="Arial" w:hAnsi="Arial" w:cs="Arial"/>
                <w:sz w:val="20"/>
              </w:rPr>
              <w:t>(0.6)</w:t>
            </w:r>
          </w:p>
        </w:tc>
      </w:tr>
      <w:tr w:rsidR="007C5B19" w:rsidRPr="00806B7F" w14:paraId="0AAF9E7D"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3F977E4B" w14:textId="77777777" w:rsidR="007C5B19" w:rsidRPr="00806B7F" w:rsidRDefault="007C5B19" w:rsidP="00A369A1">
            <w:pPr>
              <w:rPr>
                <w:rFonts w:ascii="Arial" w:hAnsi="Arial" w:cs="Arial"/>
                <w:sz w:val="20"/>
              </w:rPr>
            </w:pPr>
            <w:r w:rsidRPr="00806B7F">
              <w:rPr>
                <w:rFonts w:ascii="Arial" w:hAnsi="Arial" w:cs="Arial"/>
                <w:sz w:val="20"/>
              </w:rPr>
              <w:t>Less Business Rates Adjustment</w:t>
            </w:r>
          </w:p>
        </w:tc>
        <w:tc>
          <w:tcPr>
            <w:tcW w:w="1134" w:type="dxa"/>
            <w:tcBorders>
              <w:top w:val="nil"/>
              <w:left w:val="nil"/>
              <w:bottom w:val="single" w:sz="8" w:space="0" w:color="auto"/>
              <w:right w:val="single" w:sz="8" w:space="0" w:color="auto"/>
            </w:tcBorders>
            <w:shd w:val="clear" w:color="auto" w:fill="auto"/>
          </w:tcPr>
          <w:p w14:paraId="31D4E434" w14:textId="77777777" w:rsidR="007C5B19" w:rsidRPr="00806B7F" w:rsidRDefault="007C5B19" w:rsidP="00A369A1">
            <w:pPr>
              <w:jc w:val="center"/>
              <w:rPr>
                <w:rFonts w:ascii="Arial" w:hAnsi="Arial" w:cs="Arial"/>
                <w:sz w:val="20"/>
              </w:rPr>
            </w:pPr>
            <w:r w:rsidRPr="00806B7F">
              <w:rPr>
                <w:rFonts w:ascii="Arial" w:hAnsi="Arial" w:cs="Arial"/>
                <w:sz w:val="20"/>
              </w:rPr>
              <w:t>(3.6)</w:t>
            </w:r>
          </w:p>
        </w:tc>
        <w:tc>
          <w:tcPr>
            <w:tcW w:w="1134" w:type="dxa"/>
            <w:tcBorders>
              <w:top w:val="nil"/>
              <w:left w:val="nil"/>
              <w:bottom w:val="single" w:sz="8" w:space="0" w:color="auto"/>
              <w:right w:val="single" w:sz="8" w:space="0" w:color="auto"/>
            </w:tcBorders>
            <w:shd w:val="clear" w:color="auto" w:fill="auto"/>
          </w:tcPr>
          <w:p w14:paraId="4F437A61" w14:textId="77777777" w:rsidR="007C5B19" w:rsidRPr="00806B7F" w:rsidRDefault="007C5B19" w:rsidP="00A369A1">
            <w:pPr>
              <w:jc w:val="center"/>
              <w:rPr>
                <w:rFonts w:ascii="Arial" w:hAnsi="Arial" w:cs="Arial"/>
                <w:sz w:val="20"/>
              </w:rPr>
            </w:pPr>
            <w:r w:rsidRPr="00806B7F">
              <w:rPr>
                <w:rFonts w:ascii="Arial" w:hAnsi="Arial" w:cs="Arial"/>
                <w:sz w:val="20"/>
              </w:rPr>
              <w:t>(3.6)</w:t>
            </w:r>
          </w:p>
        </w:tc>
        <w:tc>
          <w:tcPr>
            <w:tcW w:w="1134" w:type="dxa"/>
            <w:tcBorders>
              <w:top w:val="nil"/>
              <w:left w:val="nil"/>
              <w:bottom w:val="single" w:sz="8" w:space="0" w:color="auto"/>
              <w:right w:val="single" w:sz="8" w:space="0" w:color="auto"/>
            </w:tcBorders>
            <w:shd w:val="clear" w:color="auto" w:fill="auto"/>
          </w:tcPr>
          <w:p w14:paraId="6ABAACC2" w14:textId="77777777" w:rsidR="007C5B19" w:rsidRPr="00806B7F" w:rsidRDefault="007C5B19" w:rsidP="00A369A1">
            <w:pPr>
              <w:jc w:val="center"/>
              <w:rPr>
                <w:rFonts w:ascii="Arial" w:hAnsi="Arial" w:cs="Arial"/>
                <w:sz w:val="20"/>
              </w:rPr>
            </w:pPr>
            <w:r w:rsidRPr="00806B7F">
              <w:rPr>
                <w:rFonts w:ascii="Arial" w:hAnsi="Arial" w:cs="Arial"/>
                <w:sz w:val="20"/>
              </w:rPr>
              <w:t>(3.7)</w:t>
            </w:r>
          </w:p>
        </w:tc>
        <w:tc>
          <w:tcPr>
            <w:tcW w:w="1134" w:type="dxa"/>
            <w:tcBorders>
              <w:top w:val="nil"/>
              <w:left w:val="nil"/>
              <w:bottom w:val="single" w:sz="8" w:space="0" w:color="auto"/>
              <w:right w:val="single" w:sz="8" w:space="0" w:color="auto"/>
            </w:tcBorders>
          </w:tcPr>
          <w:p w14:paraId="1682804C" w14:textId="77777777" w:rsidR="007C5B19" w:rsidRPr="00806B7F" w:rsidRDefault="007C5B19" w:rsidP="00A369A1">
            <w:pPr>
              <w:jc w:val="center"/>
              <w:rPr>
                <w:rFonts w:ascii="Arial" w:hAnsi="Arial" w:cs="Arial"/>
                <w:sz w:val="20"/>
              </w:rPr>
            </w:pPr>
            <w:r w:rsidRPr="00806B7F">
              <w:rPr>
                <w:rFonts w:ascii="Arial" w:hAnsi="Arial" w:cs="Arial"/>
                <w:sz w:val="20"/>
              </w:rPr>
              <w:t>(3.8)</w:t>
            </w:r>
          </w:p>
        </w:tc>
        <w:tc>
          <w:tcPr>
            <w:tcW w:w="1134" w:type="dxa"/>
            <w:tcBorders>
              <w:top w:val="nil"/>
              <w:left w:val="nil"/>
              <w:bottom w:val="single" w:sz="8" w:space="0" w:color="auto"/>
              <w:right w:val="single" w:sz="8" w:space="0" w:color="auto"/>
            </w:tcBorders>
          </w:tcPr>
          <w:p w14:paraId="278093B7" w14:textId="77777777" w:rsidR="007C5B19" w:rsidRPr="00806B7F" w:rsidRDefault="007C5B19" w:rsidP="00A369A1">
            <w:pPr>
              <w:jc w:val="center"/>
              <w:rPr>
                <w:rFonts w:ascii="Arial" w:hAnsi="Arial" w:cs="Arial"/>
                <w:sz w:val="20"/>
              </w:rPr>
            </w:pPr>
            <w:r w:rsidRPr="00806B7F">
              <w:rPr>
                <w:rFonts w:ascii="Arial" w:hAnsi="Arial" w:cs="Arial"/>
                <w:sz w:val="20"/>
              </w:rPr>
              <w:t>(3.9)</w:t>
            </w:r>
          </w:p>
        </w:tc>
      </w:tr>
      <w:tr w:rsidR="007C5B19" w:rsidRPr="00806B7F" w14:paraId="1BFF3E1F"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0E5FCE12" w14:textId="77777777" w:rsidR="007C5B19" w:rsidRPr="00806B7F" w:rsidRDefault="007C5B19" w:rsidP="00A369A1">
            <w:pPr>
              <w:rPr>
                <w:rFonts w:ascii="Arial" w:hAnsi="Arial" w:cs="Arial"/>
                <w:sz w:val="20"/>
              </w:rPr>
            </w:pPr>
            <w:r w:rsidRPr="00806B7F">
              <w:rPr>
                <w:rFonts w:ascii="Arial" w:hAnsi="Arial" w:cs="Arial"/>
                <w:sz w:val="20"/>
              </w:rPr>
              <w:t>Less Council Tax Collection Surplus</w:t>
            </w:r>
          </w:p>
        </w:tc>
        <w:tc>
          <w:tcPr>
            <w:tcW w:w="1134" w:type="dxa"/>
            <w:tcBorders>
              <w:top w:val="nil"/>
              <w:left w:val="nil"/>
              <w:bottom w:val="single" w:sz="8" w:space="0" w:color="auto"/>
              <w:right w:val="single" w:sz="8" w:space="0" w:color="auto"/>
            </w:tcBorders>
            <w:shd w:val="clear" w:color="auto" w:fill="auto"/>
          </w:tcPr>
          <w:p w14:paraId="0C7145E9"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nil"/>
              <w:left w:val="nil"/>
              <w:bottom w:val="single" w:sz="8" w:space="0" w:color="auto"/>
              <w:right w:val="single" w:sz="8" w:space="0" w:color="auto"/>
            </w:tcBorders>
            <w:shd w:val="clear" w:color="auto" w:fill="auto"/>
          </w:tcPr>
          <w:p w14:paraId="7093A60D"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shd w:val="clear" w:color="auto" w:fill="auto"/>
          </w:tcPr>
          <w:p w14:paraId="6B563994"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65EBE284"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tcPr>
          <w:p w14:paraId="255DD69E" w14:textId="77777777" w:rsidR="007C5B19" w:rsidRPr="00806B7F" w:rsidRDefault="007C5B19" w:rsidP="00A369A1">
            <w:pPr>
              <w:jc w:val="center"/>
              <w:rPr>
                <w:rFonts w:ascii="Arial" w:hAnsi="Arial" w:cs="Arial"/>
                <w:sz w:val="20"/>
              </w:rPr>
            </w:pPr>
            <w:r w:rsidRPr="00806B7F">
              <w:rPr>
                <w:rFonts w:ascii="Arial" w:hAnsi="Arial" w:cs="Arial"/>
                <w:sz w:val="20"/>
              </w:rPr>
              <w:t>(0.4)</w:t>
            </w:r>
          </w:p>
        </w:tc>
      </w:tr>
      <w:tr w:rsidR="007C5B19" w:rsidRPr="00806B7F" w14:paraId="74ED82DD"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29FEF31F" w14:textId="77777777" w:rsidR="007C5B19" w:rsidRPr="00806B7F" w:rsidRDefault="007C5B19" w:rsidP="00A369A1">
            <w:pPr>
              <w:rPr>
                <w:rFonts w:ascii="Arial" w:hAnsi="Arial" w:cs="Arial"/>
                <w:sz w:val="20"/>
              </w:rPr>
            </w:pPr>
            <w:r w:rsidRPr="00806B7F">
              <w:rPr>
                <w:rFonts w:ascii="Arial" w:hAnsi="Arial" w:cs="Arial"/>
                <w:sz w:val="20"/>
              </w:rPr>
              <w:t>Equals Precept</w:t>
            </w:r>
          </w:p>
        </w:tc>
        <w:tc>
          <w:tcPr>
            <w:tcW w:w="1134" w:type="dxa"/>
            <w:tcBorders>
              <w:top w:val="nil"/>
              <w:left w:val="nil"/>
              <w:bottom w:val="single" w:sz="8" w:space="0" w:color="auto"/>
              <w:right w:val="single" w:sz="8" w:space="0" w:color="auto"/>
            </w:tcBorders>
            <w:shd w:val="clear" w:color="auto" w:fill="auto"/>
          </w:tcPr>
          <w:p w14:paraId="34C1A728" w14:textId="77777777" w:rsidR="007C5B19" w:rsidRPr="00806B7F" w:rsidRDefault="007C5B19" w:rsidP="00A369A1">
            <w:pPr>
              <w:jc w:val="center"/>
              <w:rPr>
                <w:rFonts w:ascii="Arial" w:hAnsi="Arial" w:cs="Arial"/>
                <w:sz w:val="20"/>
              </w:rPr>
            </w:pPr>
            <w:r w:rsidRPr="00806B7F">
              <w:rPr>
                <w:rFonts w:ascii="Arial" w:hAnsi="Arial" w:cs="Arial"/>
                <w:sz w:val="20"/>
              </w:rPr>
              <w:t>38.0</w:t>
            </w:r>
          </w:p>
        </w:tc>
        <w:tc>
          <w:tcPr>
            <w:tcW w:w="1134" w:type="dxa"/>
            <w:tcBorders>
              <w:top w:val="nil"/>
              <w:left w:val="nil"/>
              <w:bottom w:val="single" w:sz="8" w:space="0" w:color="auto"/>
              <w:right w:val="single" w:sz="8" w:space="0" w:color="auto"/>
            </w:tcBorders>
            <w:shd w:val="clear" w:color="auto" w:fill="auto"/>
          </w:tcPr>
          <w:p w14:paraId="04367A88" w14:textId="77777777" w:rsidR="007C5B19" w:rsidRPr="00806B7F" w:rsidRDefault="007C5B19" w:rsidP="00A369A1">
            <w:pPr>
              <w:jc w:val="center"/>
              <w:rPr>
                <w:rFonts w:ascii="Arial" w:hAnsi="Arial" w:cs="Arial"/>
                <w:sz w:val="20"/>
              </w:rPr>
            </w:pPr>
            <w:r w:rsidRPr="00806B7F">
              <w:rPr>
                <w:rFonts w:ascii="Arial" w:hAnsi="Arial" w:cs="Arial"/>
                <w:sz w:val="20"/>
              </w:rPr>
              <w:t>39.8</w:t>
            </w:r>
          </w:p>
        </w:tc>
        <w:tc>
          <w:tcPr>
            <w:tcW w:w="1134" w:type="dxa"/>
            <w:tcBorders>
              <w:top w:val="nil"/>
              <w:left w:val="nil"/>
              <w:bottom w:val="single" w:sz="8" w:space="0" w:color="auto"/>
              <w:right w:val="single" w:sz="8" w:space="0" w:color="auto"/>
            </w:tcBorders>
            <w:shd w:val="clear" w:color="auto" w:fill="auto"/>
          </w:tcPr>
          <w:p w14:paraId="39077472" w14:textId="77777777" w:rsidR="007C5B19" w:rsidRPr="00806B7F" w:rsidRDefault="007C5B19" w:rsidP="00A369A1">
            <w:pPr>
              <w:jc w:val="center"/>
              <w:rPr>
                <w:rFonts w:ascii="Arial" w:hAnsi="Arial" w:cs="Arial"/>
                <w:sz w:val="20"/>
              </w:rPr>
            </w:pPr>
            <w:r w:rsidRPr="00806B7F">
              <w:rPr>
                <w:rFonts w:ascii="Arial" w:hAnsi="Arial" w:cs="Arial"/>
                <w:sz w:val="20"/>
              </w:rPr>
              <w:t>41.9</w:t>
            </w:r>
          </w:p>
        </w:tc>
        <w:tc>
          <w:tcPr>
            <w:tcW w:w="1134" w:type="dxa"/>
            <w:tcBorders>
              <w:top w:val="nil"/>
              <w:left w:val="nil"/>
              <w:bottom w:val="single" w:sz="8" w:space="0" w:color="auto"/>
              <w:right w:val="single" w:sz="8" w:space="0" w:color="auto"/>
            </w:tcBorders>
          </w:tcPr>
          <w:p w14:paraId="6E0B065D" w14:textId="77777777" w:rsidR="007C5B19" w:rsidRPr="00806B7F" w:rsidRDefault="007C5B19" w:rsidP="00A369A1">
            <w:pPr>
              <w:jc w:val="center"/>
              <w:rPr>
                <w:rFonts w:ascii="Arial" w:hAnsi="Arial" w:cs="Arial"/>
                <w:sz w:val="20"/>
              </w:rPr>
            </w:pPr>
            <w:r w:rsidRPr="00806B7F">
              <w:rPr>
                <w:rFonts w:ascii="Arial" w:hAnsi="Arial" w:cs="Arial"/>
                <w:sz w:val="20"/>
              </w:rPr>
              <w:t>43.4</w:t>
            </w:r>
          </w:p>
        </w:tc>
        <w:tc>
          <w:tcPr>
            <w:tcW w:w="1134" w:type="dxa"/>
            <w:tcBorders>
              <w:top w:val="nil"/>
              <w:left w:val="nil"/>
              <w:bottom w:val="single" w:sz="8" w:space="0" w:color="auto"/>
              <w:right w:val="single" w:sz="8" w:space="0" w:color="auto"/>
            </w:tcBorders>
          </w:tcPr>
          <w:p w14:paraId="38000C88" w14:textId="77777777" w:rsidR="007C5B19" w:rsidRPr="00806B7F" w:rsidRDefault="007C5B19" w:rsidP="00A369A1">
            <w:pPr>
              <w:jc w:val="center"/>
              <w:rPr>
                <w:rFonts w:ascii="Arial" w:hAnsi="Arial" w:cs="Arial"/>
                <w:sz w:val="20"/>
              </w:rPr>
            </w:pPr>
            <w:r w:rsidRPr="00806B7F">
              <w:rPr>
                <w:rFonts w:ascii="Arial" w:hAnsi="Arial" w:cs="Arial"/>
                <w:sz w:val="20"/>
              </w:rPr>
              <w:t>45.0</w:t>
            </w:r>
          </w:p>
        </w:tc>
      </w:tr>
      <w:tr w:rsidR="007C5B19" w:rsidRPr="00806B7F" w14:paraId="505D3186"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56C240BC" w14:textId="77777777" w:rsidR="007C5B19" w:rsidRPr="00806B7F" w:rsidRDefault="007C5B19" w:rsidP="00A369A1">
            <w:pPr>
              <w:rPr>
                <w:rFonts w:ascii="Arial" w:hAnsi="Arial" w:cs="Arial"/>
                <w:sz w:val="20"/>
              </w:rPr>
            </w:pPr>
            <w:r w:rsidRPr="00806B7F">
              <w:rPr>
                <w:rFonts w:ascii="Arial" w:hAnsi="Arial" w:cs="Arial"/>
                <w:sz w:val="20"/>
              </w:rPr>
              <w:t>Estimated Number of Band D equivalent properties</w:t>
            </w:r>
          </w:p>
        </w:tc>
        <w:tc>
          <w:tcPr>
            <w:tcW w:w="1134" w:type="dxa"/>
            <w:tcBorders>
              <w:top w:val="nil"/>
              <w:left w:val="nil"/>
              <w:bottom w:val="single" w:sz="8" w:space="0" w:color="auto"/>
              <w:right w:val="single" w:sz="8" w:space="0" w:color="auto"/>
            </w:tcBorders>
            <w:shd w:val="clear" w:color="auto" w:fill="auto"/>
            <w:vAlign w:val="bottom"/>
          </w:tcPr>
          <w:p w14:paraId="753A4E3A" w14:textId="77777777" w:rsidR="007C5B19" w:rsidRPr="00806B7F" w:rsidRDefault="007C5B19" w:rsidP="00A369A1">
            <w:pPr>
              <w:jc w:val="right"/>
              <w:rPr>
                <w:rFonts w:ascii="Arial" w:hAnsi="Arial" w:cs="Arial"/>
                <w:sz w:val="20"/>
              </w:rPr>
            </w:pPr>
            <w:r w:rsidRPr="00806B7F">
              <w:rPr>
                <w:rFonts w:ascii="Arial" w:hAnsi="Arial" w:cs="Arial"/>
                <w:sz w:val="20"/>
              </w:rPr>
              <w:t>457,949</w:t>
            </w:r>
          </w:p>
        </w:tc>
        <w:tc>
          <w:tcPr>
            <w:tcW w:w="1134" w:type="dxa"/>
            <w:tcBorders>
              <w:top w:val="nil"/>
              <w:left w:val="nil"/>
              <w:bottom w:val="single" w:sz="8" w:space="0" w:color="auto"/>
              <w:right w:val="single" w:sz="8" w:space="0" w:color="auto"/>
            </w:tcBorders>
            <w:shd w:val="clear" w:color="auto" w:fill="auto"/>
            <w:vAlign w:val="bottom"/>
          </w:tcPr>
          <w:p w14:paraId="58D7F06B" w14:textId="77777777" w:rsidR="007C5B19" w:rsidRPr="00806B7F" w:rsidRDefault="007C5B19" w:rsidP="00A369A1">
            <w:pPr>
              <w:jc w:val="right"/>
              <w:rPr>
                <w:rFonts w:ascii="Arial" w:hAnsi="Arial" w:cs="Arial"/>
                <w:sz w:val="20"/>
              </w:rPr>
            </w:pPr>
            <w:r w:rsidRPr="00806B7F">
              <w:rPr>
                <w:rFonts w:ascii="Arial" w:hAnsi="Arial" w:cs="Arial"/>
                <w:sz w:val="20"/>
              </w:rPr>
              <w:t>464,819</w:t>
            </w:r>
          </w:p>
        </w:tc>
        <w:tc>
          <w:tcPr>
            <w:tcW w:w="1134" w:type="dxa"/>
            <w:tcBorders>
              <w:top w:val="nil"/>
              <w:left w:val="nil"/>
              <w:bottom w:val="single" w:sz="8" w:space="0" w:color="auto"/>
              <w:right w:val="single" w:sz="8" w:space="0" w:color="auto"/>
            </w:tcBorders>
            <w:shd w:val="clear" w:color="auto" w:fill="auto"/>
            <w:vAlign w:val="bottom"/>
          </w:tcPr>
          <w:p w14:paraId="6F2F21B1" w14:textId="77777777" w:rsidR="007C5B19" w:rsidRPr="00806B7F" w:rsidRDefault="007C5B19" w:rsidP="00A369A1">
            <w:pPr>
              <w:jc w:val="right"/>
              <w:rPr>
                <w:rFonts w:ascii="Arial" w:hAnsi="Arial" w:cs="Arial"/>
                <w:sz w:val="20"/>
              </w:rPr>
            </w:pPr>
            <w:r w:rsidRPr="00806B7F">
              <w:rPr>
                <w:rFonts w:ascii="Arial" w:hAnsi="Arial" w:cs="Arial"/>
                <w:sz w:val="20"/>
              </w:rPr>
              <w:t>471,791</w:t>
            </w:r>
          </w:p>
        </w:tc>
        <w:tc>
          <w:tcPr>
            <w:tcW w:w="1134" w:type="dxa"/>
            <w:tcBorders>
              <w:top w:val="nil"/>
              <w:left w:val="nil"/>
              <w:bottom w:val="single" w:sz="8" w:space="0" w:color="auto"/>
              <w:right w:val="single" w:sz="8" w:space="0" w:color="auto"/>
            </w:tcBorders>
            <w:vAlign w:val="bottom"/>
          </w:tcPr>
          <w:p w14:paraId="7E2C87EC" w14:textId="77777777" w:rsidR="007C5B19" w:rsidRPr="00806B7F" w:rsidRDefault="007C5B19" w:rsidP="00A369A1">
            <w:pPr>
              <w:jc w:val="right"/>
              <w:rPr>
                <w:rFonts w:ascii="Arial" w:hAnsi="Arial" w:cs="Arial"/>
                <w:sz w:val="20"/>
              </w:rPr>
            </w:pPr>
            <w:r w:rsidRPr="00806B7F">
              <w:rPr>
                <w:rFonts w:ascii="Arial" w:hAnsi="Arial" w:cs="Arial"/>
                <w:sz w:val="20"/>
              </w:rPr>
              <w:t>478,868</w:t>
            </w:r>
          </w:p>
        </w:tc>
        <w:tc>
          <w:tcPr>
            <w:tcW w:w="1134" w:type="dxa"/>
            <w:tcBorders>
              <w:top w:val="nil"/>
              <w:left w:val="nil"/>
              <w:bottom w:val="single" w:sz="8" w:space="0" w:color="auto"/>
              <w:right w:val="single" w:sz="8" w:space="0" w:color="auto"/>
            </w:tcBorders>
            <w:vAlign w:val="bottom"/>
          </w:tcPr>
          <w:p w14:paraId="0D67560F" w14:textId="77777777" w:rsidR="007C5B19" w:rsidRPr="00806B7F" w:rsidRDefault="007C5B19" w:rsidP="00A369A1">
            <w:pPr>
              <w:jc w:val="right"/>
              <w:rPr>
                <w:rFonts w:ascii="Arial" w:hAnsi="Arial" w:cs="Arial"/>
                <w:sz w:val="20"/>
              </w:rPr>
            </w:pPr>
            <w:r w:rsidRPr="00806B7F">
              <w:rPr>
                <w:rFonts w:ascii="Arial" w:hAnsi="Arial" w:cs="Arial"/>
                <w:sz w:val="20"/>
              </w:rPr>
              <w:t>486,051</w:t>
            </w:r>
          </w:p>
        </w:tc>
      </w:tr>
      <w:tr w:rsidR="007C5B19" w:rsidRPr="00806B7F" w14:paraId="77ABBB3B"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2241C4BD" w14:textId="77777777" w:rsidR="007C5B19" w:rsidRPr="00806B7F" w:rsidRDefault="007C5B19" w:rsidP="00A369A1">
            <w:pPr>
              <w:rPr>
                <w:rFonts w:ascii="Arial" w:hAnsi="Arial" w:cs="Arial"/>
                <w:sz w:val="20"/>
              </w:rPr>
            </w:pPr>
            <w:r w:rsidRPr="00806B7F">
              <w:rPr>
                <w:rFonts w:ascii="Arial" w:hAnsi="Arial" w:cs="Arial"/>
                <w:sz w:val="20"/>
              </w:rPr>
              <w:t>Equates to Council Tax Band D Property</w:t>
            </w:r>
          </w:p>
        </w:tc>
        <w:tc>
          <w:tcPr>
            <w:tcW w:w="1134" w:type="dxa"/>
            <w:tcBorders>
              <w:top w:val="nil"/>
              <w:left w:val="nil"/>
              <w:bottom w:val="single" w:sz="8" w:space="0" w:color="auto"/>
              <w:right w:val="single" w:sz="8" w:space="0" w:color="auto"/>
            </w:tcBorders>
            <w:shd w:val="clear" w:color="auto" w:fill="auto"/>
            <w:vAlign w:val="bottom"/>
          </w:tcPr>
          <w:p w14:paraId="50253F15" w14:textId="77777777" w:rsidR="007C5B19" w:rsidRPr="00806B7F" w:rsidRDefault="007C5B19" w:rsidP="00A369A1">
            <w:pPr>
              <w:jc w:val="center"/>
              <w:rPr>
                <w:rFonts w:ascii="Arial" w:hAnsi="Arial" w:cs="Arial"/>
                <w:sz w:val="20"/>
              </w:rPr>
            </w:pPr>
            <w:r w:rsidRPr="00806B7F">
              <w:rPr>
                <w:rFonts w:ascii="Arial" w:hAnsi="Arial" w:cs="Arial"/>
                <w:sz w:val="20"/>
              </w:rPr>
              <w:t>£82.95</w:t>
            </w:r>
          </w:p>
        </w:tc>
        <w:tc>
          <w:tcPr>
            <w:tcW w:w="1134" w:type="dxa"/>
            <w:tcBorders>
              <w:top w:val="nil"/>
              <w:left w:val="nil"/>
              <w:bottom w:val="single" w:sz="8" w:space="0" w:color="auto"/>
              <w:right w:val="single" w:sz="8" w:space="0" w:color="auto"/>
            </w:tcBorders>
            <w:shd w:val="clear" w:color="auto" w:fill="auto"/>
            <w:vAlign w:val="bottom"/>
          </w:tcPr>
          <w:p w14:paraId="3FF1D9DA" w14:textId="77777777" w:rsidR="007C5B19" w:rsidRPr="00806B7F" w:rsidRDefault="007C5B19" w:rsidP="00A369A1">
            <w:pPr>
              <w:jc w:val="center"/>
              <w:rPr>
                <w:rFonts w:ascii="Arial" w:hAnsi="Arial" w:cs="Arial"/>
                <w:sz w:val="20"/>
              </w:rPr>
            </w:pPr>
            <w:r w:rsidRPr="00806B7F">
              <w:rPr>
                <w:rFonts w:ascii="Arial" w:hAnsi="Arial" w:cs="Arial"/>
                <w:sz w:val="20"/>
              </w:rPr>
              <w:t>£85.55</w:t>
            </w:r>
          </w:p>
        </w:tc>
        <w:tc>
          <w:tcPr>
            <w:tcW w:w="1134" w:type="dxa"/>
            <w:tcBorders>
              <w:top w:val="nil"/>
              <w:left w:val="nil"/>
              <w:bottom w:val="single" w:sz="8" w:space="0" w:color="auto"/>
              <w:right w:val="single" w:sz="8" w:space="0" w:color="auto"/>
            </w:tcBorders>
            <w:shd w:val="clear" w:color="auto" w:fill="auto"/>
            <w:vAlign w:val="bottom"/>
          </w:tcPr>
          <w:p w14:paraId="3C3F5623" w14:textId="77777777" w:rsidR="007C5B19" w:rsidRPr="00806B7F" w:rsidRDefault="007C5B19" w:rsidP="00A369A1">
            <w:pPr>
              <w:jc w:val="center"/>
              <w:rPr>
                <w:rFonts w:ascii="Arial" w:hAnsi="Arial" w:cs="Arial"/>
                <w:sz w:val="20"/>
              </w:rPr>
            </w:pPr>
            <w:r w:rsidRPr="00806B7F">
              <w:rPr>
                <w:rFonts w:ascii="Arial" w:hAnsi="Arial" w:cs="Arial"/>
                <w:sz w:val="20"/>
              </w:rPr>
              <w:t>£88.87</w:t>
            </w:r>
          </w:p>
        </w:tc>
        <w:tc>
          <w:tcPr>
            <w:tcW w:w="1134" w:type="dxa"/>
            <w:tcBorders>
              <w:top w:val="nil"/>
              <w:left w:val="nil"/>
              <w:bottom w:val="single" w:sz="8" w:space="0" w:color="auto"/>
              <w:right w:val="single" w:sz="8" w:space="0" w:color="auto"/>
            </w:tcBorders>
            <w:vAlign w:val="bottom"/>
          </w:tcPr>
          <w:p w14:paraId="64D863AA" w14:textId="77777777" w:rsidR="007C5B19" w:rsidRPr="00806B7F" w:rsidRDefault="007C5B19" w:rsidP="00A369A1">
            <w:pPr>
              <w:jc w:val="center"/>
              <w:rPr>
                <w:rFonts w:ascii="Arial" w:hAnsi="Arial" w:cs="Arial"/>
                <w:sz w:val="20"/>
              </w:rPr>
            </w:pPr>
            <w:r w:rsidRPr="00806B7F">
              <w:rPr>
                <w:rFonts w:ascii="Arial" w:hAnsi="Arial" w:cs="Arial"/>
                <w:sz w:val="20"/>
              </w:rPr>
              <w:t>£90.60</w:t>
            </w:r>
          </w:p>
        </w:tc>
        <w:tc>
          <w:tcPr>
            <w:tcW w:w="1134" w:type="dxa"/>
            <w:tcBorders>
              <w:top w:val="nil"/>
              <w:left w:val="nil"/>
              <w:bottom w:val="single" w:sz="8" w:space="0" w:color="auto"/>
              <w:right w:val="single" w:sz="8" w:space="0" w:color="auto"/>
            </w:tcBorders>
            <w:vAlign w:val="bottom"/>
          </w:tcPr>
          <w:p w14:paraId="5C7460A0" w14:textId="77777777" w:rsidR="007C5B19" w:rsidRPr="00806B7F" w:rsidRDefault="007C5B19" w:rsidP="00A369A1">
            <w:pPr>
              <w:jc w:val="center"/>
              <w:rPr>
                <w:rFonts w:ascii="Arial" w:hAnsi="Arial" w:cs="Arial"/>
                <w:sz w:val="20"/>
              </w:rPr>
            </w:pPr>
            <w:r w:rsidRPr="00806B7F">
              <w:rPr>
                <w:rFonts w:ascii="Arial" w:hAnsi="Arial" w:cs="Arial"/>
                <w:sz w:val="20"/>
              </w:rPr>
              <w:t>£92.51</w:t>
            </w:r>
          </w:p>
        </w:tc>
      </w:tr>
      <w:tr w:rsidR="007C5B19" w:rsidRPr="00806B7F" w14:paraId="6047DC48"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123AAFDC" w14:textId="77777777" w:rsidR="007C5B19" w:rsidRPr="00806B7F" w:rsidRDefault="007C5B19" w:rsidP="00A369A1">
            <w:pPr>
              <w:rPr>
                <w:rFonts w:ascii="Arial" w:hAnsi="Arial" w:cs="Arial"/>
                <w:sz w:val="20"/>
              </w:rPr>
            </w:pPr>
            <w:r w:rsidRPr="00806B7F">
              <w:rPr>
                <w:rFonts w:ascii="Arial" w:hAnsi="Arial" w:cs="Arial"/>
                <w:sz w:val="20"/>
              </w:rPr>
              <w:t>Increase in Council Tax</w:t>
            </w:r>
          </w:p>
        </w:tc>
        <w:tc>
          <w:tcPr>
            <w:tcW w:w="1134" w:type="dxa"/>
            <w:tcBorders>
              <w:top w:val="nil"/>
              <w:left w:val="nil"/>
              <w:bottom w:val="single" w:sz="8" w:space="0" w:color="auto"/>
              <w:right w:val="single" w:sz="8" w:space="0" w:color="auto"/>
            </w:tcBorders>
            <w:shd w:val="clear" w:color="auto" w:fill="auto"/>
            <w:vAlign w:val="bottom"/>
          </w:tcPr>
          <w:p w14:paraId="70795446" w14:textId="77777777" w:rsidR="007C5B19" w:rsidRPr="00806B7F" w:rsidRDefault="007C5B19" w:rsidP="00A369A1">
            <w:pPr>
              <w:jc w:val="center"/>
              <w:rPr>
                <w:rFonts w:ascii="Arial" w:hAnsi="Arial" w:cs="Arial"/>
                <w:sz w:val="20"/>
              </w:rPr>
            </w:pPr>
            <w:r w:rsidRPr="00806B7F">
              <w:rPr>
                <w:rFonts w:ascii="Arial" w:hAnsi="Arial" w:cs="Arial"/>
                <w:sz w:val="20"/>
              </w:rPr>
              <w:t>7.3%</w:t>
            </w:r>
          </w:p>
        </w:tc>
        <w:tc>
          <w:tcPr>
            <w:tcW w:w="1134" w:type="dxa"/>
            <w:tcBorders>
              <w:top w:val="nil"/>
              <w:left w:val="nil"/>
              <w:bottom w:val="single" w:sz="8" w:space="0" w:color="auto"/>
              <w:right w:val="single" w:sz="8" w:space="0" w:color="auto"/>
            </w:tcBorders>
            <w:shd w:val="clear" w:color="auto" w:fill="auto"/>
            <w:vAlign w:val="bottom"/>
          </w:tcPr>
          <w:p w14:paraId="79A2FAF6" w14:textId="77777777" w:rsidR="007C5B19" w:rsidRPr="00806B7F" w:rsidRDefault="007C5B19" w:rsidP="00A369A1">
            <w:pPr>
              <w:jc w:val="center"/>
              <w:rPr>
                <w:rFonts w:ascii="Arial" w:hAnsi="Arial" w:cs="Arial"/>
                <w:sz w:val="20"/>
              </w:rPr>
            </w:pPr>
            <w:r w:rsidRPr="00806B7F">
              <w:rPr>
                <w:rFonts w:ascii="Arial" w:hAnsi="Arial" w:cs="Arial"/>
                <w:sz w:val="20"/>
              </w:rPr>
              <w:t>3.1%</w:t>
            </w:r>
          </w:p>
        </w:tc>
        <w:tc>
          <w:tcPr>
            <w:tcW w:w="1134" w:type="dxa"/>
            <w:tcBorders>
              <w:top w:val="nil"/>
              <w:left w:val="nil"/>
              <w:bottom w:val="single" w:sz="8" w:space="0" w:color="auto"/>
              <w:right w:val="single" w:sz="8" w:space="0" w:color="auto"/>
            </w:tcBorders>
            <w:shd w:val="clear" w:color="auto" w:fill="auto"/>
            <w:vAlign w:val="bottom"/>
          </w:tcPr>
          <w:p w14:paraId="7C82A12E" w14:textId="77777777" w:rsidR="007C5B19" w:rsidRPr="00806B7F" w:rsidRDefault="007C5B19" w:rsidP="00A369A1">
            <w:pPr>
              <w:jc w:val="center"/>
              <w:rPr>
                <w:rFonts w:ascii="Arial" w:hAnsi="Arial" w:cs="Arial"/>
                <w:sz w:val="20"/>
              </w:rPr>
            </w:pPr>
            <w:r w:rsidRPr="00806B7F">
              <w:rPr>
                <w:rFonts w:ascii="Arial" w:hAnsi="Arial" w:cs="Arial"/>
                <w:sz w:val="20"/>
              </w:rPr>
              <w:t>3.9%</w:t>
            </w:r>
          </w:p>
        </w:tc>
        <w:tc>
          <w:tcPr>
            <w:tcW w:w="1134" w:type="dxa"/>
            <w:tcBorders>
              <w:top w:val="nil"/>
              <w:left w:val="nil"/>
              <w:bottom w:val="single" w:sz="8" w:space="0" w:color="auto"/>
              <w:right w:val="single" w:sz="8" w:space="0" w:color="auto"/>
            </w:tcBorders>
            <w:vAlign w:val="bottom"/>
          </w:tcPr>
          <w:p w14:paraId="3A6E5E9E" w14:textId="77777777" w:rsidR="007C5B19" w:rsidRPr="00806B7F" w:rsidRDefault="007C5B19" w:rsidP="00A369A1">
            <w:pPr>
              <w:jc w:val="center"/>
              <w:rPr>
                <w:rFonts w:ascii="Arial" w:hAnsi="Arial" w:cs="Arial"/>
                <w:sz w:val="20"/>
              </w:rPr>
            </w:pPr>
            <w:r w:rsidRPr="00806B7F">
              <w:rPr>
                <w:rFonts w:ascii="Arial" w:hAnsi="Arial" w:cs="Arial"/>
                <w:sz w:val="20"/>
              </w:rPr>
              <w:t>1.9%</w:t>
            </w:r>
          </w:p>
        </w:tc>
        <w:tc>
          <w:tcPr>
            <w:tcW w:w="1134" w:type="dxa"/>
            <w:tcBorders>
              <w:top w:val="nil"/>
              <w:left w:val="nil"/>
              <w:bottom w:val="single" w:sz="8" w:space="0" w:color="auto"/>
              <w:right w:val="single" w:sz="8" w:space="0" w:color="auto"/>
            </w:tcBorders>
            <w:vAlign w:val="bottom"/>
          </w:tcPr>
          <w:p w14:paraId="3730A572" w14:textId="77777777" w:rsidR="007C5B19" w:rsidRPr="00806B7F" w:rsidRDefault="007C5B19" w:rsidP="00A369A1">
            <w:pPr>
              <w:jc w:val="center"/>
              <w:rPr>
                <w:rFonts w:ascii="Arial" w:hAnsi="Arial" w:cs="Arial"/>
                <w:sz w:val="20"/>
              </w:rPr>
            </w:pPr>
            <w:r w:rsidRPr="00806B7F">
              <w:rPr>
                <w:rFonts w:ascii="Arial" w:hAnsi="Arial" w:cs="Arial"/>
                <w:sz w:val="20"/>
              </w:rPr>
              <w:t>2.1%</w:t>
            </w:r>
          </w:p>
        </w:tc>
      </w:tr>
    </w:tbl>
    <w:p w14:paraId="3FDA9624" w14:textId="77777777" w:rsidR="007C5B19" w:rsidRPr="00806B7F" w:rsidRDefault="007C5B19" w:rsidP="007C5B19">
      <w:pPr>
        <w:jc w:val="both"/>
        <w:rPr>
          <w:rFonts w:ascii="Arial" w:hAnsi="Arial" w:cs="Arial"/>
          <w:sz w:val="20"/>
        </w:rPr>
      </w:pPr>
    </w:p>
    <w:p w14:paraId="3FBEB0B4" w14:textId="77777777" w:rsidR="007C5B19" w:rsidRPr="00806B7F" w:rsidRDefault="007C5B19" w:rsidP="00BF6550">
      <w:pPr>
        <w:jc w:val="both"/>
        <w:rPr>
          <w:rFonts w:ascii="Arial" w:hAnsi="Arial" w:cs="Arial"/>
          <w:sz w:val="20"/>
        </w:rPr>
      </w:pPr>
      <w:r w:rsidRPr="00806B7F">
        <w:rPr>
          <w:rFonts w:ascii="Arial" w:hAnsi="Arial" w:cs="Arial"/>
          <w:sz w:val="20"/>
        </w:rPr>
        <w:t>(For information, a 1% change to the council tax equates to £0.35m.)</w:t>
      </w:r>
    </w:p>
    <w:p w14:paraId="118DCA20" w14:textId="77777777" w:rsidR="007C5B19" w:rsidRPr="00806B7F" w:rsidRDefault="007C5B19" w:rsidP="00BF6550">
      <w:pPr>
        <w:jc w:val="both"/>
        <w:rPr>
          <w:rFonts w:ascii="Arial" w:hAnsi="Arial" w:cs="Arial"/>
          <w:sz w:val="20"/>
        </w:rPr>
      </w:pPr>
    </w:p>
    <w:p w14:paraId="078FF436" w14:textId="77777777" w:rsidR="007C5B19" w:rsidRPr="00806B7F" w:rsidRDefault="007C5B19" w:rsidP="00BF6550">
      <w:pPr>
        <w:jc w:val="both"/>
        <w:rPr>
          <w:rFonts w:ascii="Arial" w:hAnsi="Arial" w:cs="Arial"/>
          <w:sz w:val="20"/>
        </w:rPr>
      </w:pPr>
      <w:r w:rsidRPr="00806B7F">
        <w:rPr>
          <w:rFonts w:ascii="Arial" w:hAnsi="Arial" w:cs="Arial"/>
          <w:sz w:val="20"/>
        </w:rPr>
        <w:t xml:space="preserve">As can be seen the increases in 23/24, 24/25 and 25/26 are all  above the referendum thresholds. As such the Authority will need to reduce its budget requirement in these years </w:t>
      </w:r>
      <w:proofErr w:type="gramStart"/>
      <w:r w:rsidRPr="00806B7F">
        <w:rPr>
          <w:rFonts w:ascii="Arial" w:hAnsi="Arial" w:cs="Arial"/>
          <w:sz w:val="20"/>
        </w:rPr>
        <w:t>in order to</w:t>
      </w:r>
      <w:proofErr w:type="gramEnd"/>
      <w:r w:rsidRPr="00806B7F">
        <w:rPr>
          <w:rFonts w:ascii="Arial" w:hAnsi="Arial" w:cs="Arial"/>
          <w:sz w:val="20"/>
        </w:rPr>
        <w:t xml:space="preserve"> deliver a balanced budget within the referendum thresholds:-</w:t>
      </w:r>
    </w:p>
    <w:p w14:paraId="38987324" w14:textId="77777777" w:rsidR="007C5B19" w:rsidRPr="00806B7F" w:rsidRDefault="007C5B19" w:rsidP="007C5B19">
      <w:pPr>
        <w:jc w:val="both"/>
        <w:rPr>
          <w:rFonts w:ascii="Arial" w:hAnsi="Arial" w:cs="Arial"/>
          <w:sz w:val="20"/>
        </w:rPr>
      </w:pPr>
    </w:p>
    <w:p w14:paraId="4B85F66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18 Budget Reductions Required</w:t>
      </w:r>
    </w:p>
    <w:tbl>
      <w:tblPr>
        <w:tblW w:w="10264" w:type="dxa"/>
        <w:tblInd w:w="98" w:type="dxa"/>
        <w:tblLayout w:type="fixed"/>
        <w:tblLook w:val="04A0" w:firstRow="1" w:lastRow="0" w:firstColumn="1" w:lastColumn="0" w:noHBand="0" w:noVBand="1"/>
      </w:tblPr>
      <w:tblGrid>
        <w:gridCol w:w="4570"/>
        <w:gridCol w:w="1158"/>
        <w:gridCol w:w="1134"/>
        <w:gridCol w:w="1134"/>
        <w:gridCol w:w="1134"/>
        <w:gridCol w:w="1134"/>
      </w:tblGrid>
      <w:tr w:rsidR="007C5B19" w:rsidRPr="00806B7F" w14:paraId="5F235A8A" w14:textId="77777777" w:rsidTr="00A369A1">
        <w:trPr>
          <w:trHeight w:val="270"/>
        </w:trPr>
        <w:tc>
          <w:tcPr>
            <w:tcW w:w="4570" w:type="dxa"/>
            <w:tcBorders>
              <w:top w:val="single" w:sz="8" w:space="0" w:color="auto"/>
              <w:left w:val="single" w:sz="8" w:space="0" w:color="auto"/>
              <w:bottom w:val="single" w:sz="8" w:space="0" w:color="auto"/>
              <w:right w:val="single" w:sz="8" w:space="0" w:color="auto"/>
            </w:tcBorders>
            <w:shd w:val="clear" w:color="auto" w:fill="auto"/>
          </w:tcPr>
          <w:p w14:paraId="6D4AD4D0" w14:textId="77777777" w:rsidR="007C5B19" w:rsidRPr="00806B7F" w:rsidRDefault="007C5B19" w:rsidP="00A369A1">
            <w:pPr>
              <w:rPr>
                <w:rFonts w:ascii="Arial" w:hAnsi="Arial" w:cs="Arial"/>
                <w:sz w:val="20"/>
              </w:rPr>
            </w:pPr>
            <w:r w:rsidRPr="00806B7F">
              <w:rPr>
                <w:rFonts w:ascii="Arial" w:hAnsi="Arial" w:cs="Arial"/>
                <w:sz w:val="20"/>
              </w:rPr>
              <w:t> </w:t>
            </w:r>
          </w:p>
        </w:tc>
        <w:tc>
          <w:tcPr>
            <w:tcW w:w="1158" w:type="dxa"/>
            <w:tcBorders>
              <w:top w:val="single" w:sz="8" w:space="0" w:color="auto"/>
              <w:left w:val="nil"/>
              <w:bottom w:val="single" w:sz="8" w:space="0" w:color="auto"/>
              <w:right w:val="single" w:sz="8" w:space="0" w:color="auto"/>
            </w:tcBorders>
            <w:shd w:val="clear" w:color="auto" w:fill="auto"/>
          </w:tcPr>
          <w:p w14:paraId="6AD31204"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c>
          <w:tcPr>
            <w:tcW w:w="1134" w:type="dxa"/>
            <w:tcBorders>
              <w:top w:val="single" w:sz="8" w:space="0" w:color="auto"/>
              <w:left w:val="nil"/>
              <w:bottom w:val="single" w:sz="8" w:space="0" w:color="auto"/>
              <w:right w:val="single" w:sz="8" w:space="0" w:color="auto"/>
            </w:tcBorders>
            <w:shd w:val="clear" w:color="auto" w:fill="auto"/>
          </w:tcPr>
          <w:p w14:paraId="3E67175E" w14:textId="77777777" w:rsidR="007C5B19" w:rsidRPr="00806B7F" w:rsidRDefault="007C5B19" w:rsidP="00A369A1">
            <w:pPr>
              <w:jc w:val="center"/>
              <w:rPr>
                <w:rFonts w:ascii="Arial" w:hAnsi="Arial" w:cs="Arial"/>
                <w:sz w:val="20"/>
              </w:rPr>
            </w:pPr>
            <w:r w:rsidRPr="00806B7F">
              <w:rPr>
                <w:rFonts w:ascii="Arial" w:hAnsi="Arial" w:cs="Arial"/>
                <w:sz w:val="20"/>
              </w:rPr>
              <w:t>2024/25</w:t>
            </w:r>
          </w:p>
        </w:tc>
        <w:tc>
          <w:tcPr>
            <w:tcW w:w="1134" w:type="dxa"/>
            <w:tcBorders>
              <w:top w:val="single" w:sz="8" w:space="0" w:color="auto"/>
              <w:left w:val="nil"/>
              <w:bottom w:val="single" w:sz="8" w:space="0" w:color="auto"/>
              <w:right w:val="single" w:sz="8" w:space="0" w:color="auto"/>
            </w:tcBorders>
            <w:shd w:val="clear" w:color="auto" w:fill="auto"/>
          </w:tcPr>
          <w:p w14:paraId="13F84AFE" w14:textId="77777777" w:rsidR="007C5B19" w:rsidRPr="00806B7F" w:rsidRDefault="007C5B19" w:rsidP="00A369A1">
            <w:pPr>
              <w:jc w:val="center"/>
              <w:rPr>
                <w:rFonts w:ascii="Arial" w:hAnsi="Arial" w:cs="Arial"/>
                <w:sz w:val="20"/>
              </w:rPr>
            </w:pPr>
            <w:r w:rsidRPr="00806B7F">
              <w:rPr>
                <w:rFonts w:ascii="Arial" w:hAnsi="Arial" w:cs="Arial"/>
                <w:sz w:val="20"/>
              </w:rPr>
              <w:t>2025/26</w:t>
            </w:r>
          </w:p>
        </w:tc>
        <w:tc>
          <w:tcPr>
            <w:tcW w:w="1134" w:type="dxa"/>
            <w:tcBorders>
              <w:top w:val="single" w:sz="8" w:space="0" w:color="auto"/>
              <w:left w:val="nil"/>
              <w:bottom w:val="single" w:sz="8" w:space="0" w:color="auto"/>
              <w:right w:val="single" w:sz="8" w:space="0" w:color="auto"/>
            </w:tcBorders>
          </w:tcPr>
          <w:p w14:paraId="37619D95" w14:textId="77777777" w:rsidR="007C5B19" w:rsidRPr="00806B7F" w:rsidRDefault="007C5B19" w:rsidP="00A369A1">
            <w:pPr>
              <w:jc w:val="center"/>
              <w:rPr>
                <w:rFonts w:ascii="Arial" w:hAnsi="Arial" w:cs="Arial"/>
                <w:sz w:val="20"/>
              </w:rPr>
            </w:pPr>
            <w:r w:rsidRPr="00806B7F">
              <w:rPr>
                <w:rFonts w:ascii="Arial" w:hAnsi="Arial" w:cs="Arial"/>
                <w:sz w:val="20"/>
              </w:rPr>
              <w:t>2026/27</w:t>
            </w:r>
          </w:p>
        </w:tc>
        <w:tc>
          <w:tcPr>
            <w:tcW w:w="1134" w:type="dxa"/>
            <w:tcBorders>
              <w:top w:val="single" w:sz="8" w:space="0" w:color="auto"/>
              <w:left w:val="nil"/>
              <w:bottom w:val="single" w:sz="8" w:space="0" w:color="auto"/>
              <w:right w:val="single" w:sz="8" w:space="0" w:color="auto"/>
            </w:tcBorders>
          </w:tcPr>
          <w:p w14:paraId="36E73685" w14:textId="77777777" w:rsidR="007C5B19" w:rsidRPr="00806B7F" w:rsidRDefault="007C5B19" w:rsidP="00A369A1">
            <w:pPr>
              <w:jc w:val="center"/>
              <w:rPr>
                <w:rFonts w:ascii="Arial" w:hAnsi="Arial" w:cs="Arial"/>
                <w:sz w:val="20"/>
              </w:rPr>
            </w:pPr>
            <w:r w:rsidRPr="00806B7F">
              <w:rPr>
                <w:rFonts w:ascii="Arial" w:hAnsi="Arial" w:cs="Arial"/>
                <w:sz w:val="20"/>
              </w:rPr>
              <w:t>2027/28</w:t>
            </w:r>
          </w:p>
        </w:tc>
      </w:tr>
      <w:tr w:rsidR="007C5B19" w:rsidRPr="00806B7F" w14:paraId="1DE0339C"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6A55523F" w14:textId="77777777" w:rsidR="007C5B19" w:rsidRPr="00806B7F" w:rsidRDefault="007C5B19" w:rsidP="00A369A1">
            <w:pPr>
              <w:rPr>
                <w:rFonts w:ascii="Arial" w:hAnsi="Arial" w:cs="Arial"/>
                <w:sz w:val="20"/>
              </w:rPr>
            </w:pPr>
          </w:p>
        </w:tc>
        <w:tc>
          <w:tcPr>
            <w:tcW w:w="1158" w:type="dxa"/>
            <w:tcBorders>
              <w:top w:val="nil"/>
              <w:left w:val="nil"/>
              <w:bottom w:val="single" w:sz="8" w:space="0" w:color="auto"/>
              <w:right w:val="single" w:sz="8" w:space="0" w:color="auto"/>
            </w:tcBorders>
            <w:shd w:val="clear" w:color="auto" w:fill="auto"/>
          </w:tcPr>
          <w:p w14:paraId="66412D3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6D70EAF3"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shd w:val="clear" w:color="auto" w:fill="auto"/>
          </w:tcPr>
          <w:p w14:paraId="1FF26729"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316C658A" w14:textId="77777777" w:rsidR="007C5B19" w:rsidRPr="00806B7F" w:rsidRDefault="007C5B19" w:rsidP="00A369A1">
            <w:pPr>
              <w:jc w:val="center"/>
              <w:rPr>
                <w:rFonts w:ascii="Arial" w:hAnsi="Arial" w:cs="Arial"/>
                <w:sz w:val="20"/>
              </w:rPr>
            </w:pPr>
            <w:r w:rsidRPr="00806B7F">
              <w:rPr>
                <w:rFonts w:ascii="Arial" w:hAnsi="Arial" w:cs="Arial"/>
                <w:sz w:val="20"/>
              </w:rPr>
              <w:t>£m</w:t>
            </w:r>
          </w:p>
        </w:tc>
        <w:tc>
          <w:tcPr>
            <w:tcW w:w="1134" w:type="dxa"/>
            <w:tcBorders>
              <w:top w:val="nil"/>
              <w:left w:val="nil"/>
              <w:bottom w:val="single" w:sz="8" w:space="0" w:color="auto"/>
              <w:right w:val="single" w:sz="8" w:space="0" w:color="auto"/>
            </w:tcBorders>
          </w:tcPr>
          <w:p w14:paraId="26802A36" w14:textId="77777777" w:rsidR="007C5B19" w:rsidRPr="00806B7F" w:rsidRDefault="007C5B19" w:rsidP="00A369A1">
            <w:pPr>
              <w:jc w:val="center"/>
              <w:rPr>
                <w:rFonts w:ascii="Arial" w:hAnsi="Arial" w:cs="Arial"/>
                <w:sz w:val="20"/>
              </w:rPr>
            </w:pPr>
            <w:r w:rsidRPr="00806B7F">
              <w:rPr>
                <w:rFonts w:ascii="Arial" w:hAnsi="Arial" w:cs="Arial"/>
                <w:sz w:val="20"/>
              </w:rPr>
              <w:t>£m</w:t>
            </w:r>
          </w:p>
        </w:tc>
      </w:tr>
      <w:tr w:rsidR="007C5B19" w:rsidRPr="00806B7F" w14:paraId="791B44BD" w14:textId="77777777" w:rsidTr="00A369A1">
        <w:trPr>
          <w:trHeight w:val="270"/>
        </w:trPr>
        <w:tc>
          <w:tcPr>
            <w:tcW w:w="4570" w:type="dxa"/>
            <w:tcBorders>
              <w:top w:val="nil"/>
              <w:left w:val="single" w:sz="8" w:space="0" w:color="auto"/>
              <w:bottom w:val="single" w:sz="8" w:space="0" w:color="auto"/>
              <w:right w:val="single" w:sz="8" w:space="0" w:color="auto"/>
            </w:tcBorders>
            <w:shd w:val="clear" w:color="auto" w:fill="auto"/>
          </w:tcPr>
          <w:p w14:paraId="3D28A0EB" w14:textId="77777777" w:rsidR="007C5B19" w:rsidRPr="00806B7F" w:rsidRDefault="007C5B19" w:rsidP="00A369A1">
            <w:pPr>
              <w:rPr>
                <w:rFonts w:ascii="Arial" w:hAnsi="Arial" w:cs="Arial"/>
                <w:sz w:val="20"/>
              </w:rPr>
            </w:pPr>
            <w:r w:rsidRPr="00806B7F">
              <w:rPr>
                <w:rFonts w:ascii="Arial" w:hAnsi="Arial" w:cs="Arial"/>
                <w:sz w:val="20"/>
              </w:rPr>
              <w:t>Budget reduction required</w:t>
            </w:r>
          </w:p>
        </w:tc>
        <w:tc>
          <w:tcPr>
            <w:tcW w:w="1158" w:type="dxa"/>
            <w:tcBorders>
              <w:top w:val="nil"/>
              <w:left w:val="nil"/>
              <w:bottom w:val="single" w:sz="8" w:space="0" w:color="auto"/>
              <w:right w:val="single" w:sz="8" w:space="0" w:color="auto"/>
            </w:tcBorders>
            <w:shd w:val="clear" w:color="auto" w:fill="auto"/>
          </w:tcPr>
          <w:p w14:paraId="5AB22884"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nil"/>
              <w:left w:val="nil"/>
              <w:bottom w:val="single" w:sz="8" w:space="0" w:color="auto"/>
              <w:right w:val="single" w:sz="8" w:space="0" w:color="auto"/>
            </w:tcBorders>
            <w:shd w:val="clear" w:color="auto" w:fill="auto"/>
          </w:tcPr>
          <w:p w14:paraId="7FC9454A" w14:textId="77777777" w:rsidR="007C5B19" w:rsidRPr="00806B7F" w:rsidRDefault="007C5B19" w:rsidP="00A369A1">
            <w:pPr>
              <w:jc w:val="center"/>
              <w:rPr>
                <w:rFonts w:ascii="Arial" w:hAnsi="Arial" w:cs="Arial"/>
                <w:sz w:val="20"/>
              </w:rPr>
            </w:pPr>
            <w:r w:rsidRPr="00806B7F">
              <w:rPr>
                <w:rFonts w:ascii="Arial" w:hAnsi="Arial" w:cs="Arial"/>
                <w:sz w:val="20"/>
              </w:rPr>
              <w:t>0.4</w:t>
            </w:r>
          </w:p>
        </w:tc>
        <w:tc>
          <w:tcPr>
            <w:tcW w:w="1134" w:type="dxa"/>
            <w:tcBorders>
              <w:top w:val="nil"/>
              <w:left w:val="nil"/>
              <w:bottom w:val="single" w:sz="8" w:space="0" w:color="auto"/>
              <w:right w:val="single" w:sz="8" w:space="0" w:color="auto"/>
            </w:tcBorders>
            <w:shd w:val="clear" w:color="auto" w:fill="auto"/>
            <w:vAlign w:val="bottom"/>
          </w:tcPr>
          <w:p w14:paraId="677412F4" w14:textId="77777777" w:rsidR="007C5B19" w:rsidRPr="00806B7F" w:rsidRDefault="007C5B19" w:rsidP="00A369A1">
            <w:pPr>
              <w:jc w:val="center"/>
              <w:rPr>
                <w:rFonts w:ascii="Arial" w:hAnsi="Arial" w:cs="Arial"/>
                <w:sz w:val="20"/>
              </w:rPr>
            </w:pPr>
            <w:r w:rsidRPr="00806B7F">
              <w:rPr>
                <w:rFonts w:ascii="Arial" w:hAnsi="Arial" w:cs="Arial"/>
                <w:sz w:val="20"/>
              </w:rPr>
              <w:t>0.8</w:t>
            </w:r>
          </w:p>
        </w:tc>
        <w:tc>
          <w:tcPr>
            <w:tcW w:w="1134" w:type="dxa"/>
            <w:tcBorders>
              <w:top w:val="nil"/>
              <w:left w:val="nil"/>
              <w:bottom w:val="single" w:sz="8" w:space="0" w:color="auto"/>
              <w:right w:val="single" w:sz="8" w:space="0" w:color="auto"/>
            </w:tcBorders>
            <w:vAlign w:val="bottom"/>
          </w:tcPr>
          <w:p w14:paraId="6B080A35" w14:textId="77777777" w:rsidR="007C5B19" w:rsidRPr="00806B7F" w:rsidRDefault="007C5B19" w:rsidP="00A369A1">
            <w:pPr>
              <w:jc w:val="center"/>
              <w:rPr>
                <w:rFonts w:ascii="Arial" w:hAnsi="Arial" w:cs="Arial"/>
                <w:sz w:val="20"/>
              </w:rPr>
            </w:pPr>
            <w:r w:rsidRPr="00806B7F">
              <w:rPr>
                <w:rFonts w:ascii="Arial" w:hAnsi="Arial" w:cs="Arial"/>
                <w:sz w:val="20"/>
              </w:rPr>
              <w:t>0.3</w:t>
            </w:r>
          </w:p>
        </w:tc>
        <w:tc>
          <w:tcPr>
            <w:tcW w:w="1134" w:type="dxa"/>
            <w:tcBorders>
              <w:top w:val="nil"/>
              <w:left w:val="nil"/>
              <w:bottom w:val="single" w:sz="8" w:space="0" w:color="auto"/>
              <w:right w:val="single" w:sz="8" w:space="0" w:color="auto"/>
            </w:tcBorders>
            <w:vAlign w:val="bottom"/>
          </w:tcPr>
          <w:p w14:paraId="2E7C7EDA" w14:textId="77777777" w:rsidR="007C5B19" w:rsidRPr="00806B7F" w:rsidRDefault="007C5B19" w:rsidP="00A369A1">
            <w:pPr>
              <w:jc w:val="center"/>
              <w:rPr>
                <w:rFonts w:ascii="Arial" w:hAnsi="Arial" w:cs="Arial"/>
                <w:sz w:val="20"/>
              </w:rPr>
            </w:pPr>
            <w:r w:rsidRPr="00806B7F">
              <w:rPr>
                <w:rFonts w:ascii="Arial" w:hAnsi="Arial" w:cs="Arial"/>
                <w:sz w:val="20"/>
              </w:rPr>
              <w:t>-</w:t>
            </w:r>
          </w:p>
        </w:tc>
      </w:tr>
    </w:tbl>
    <w:p w14:paraId="2628F4CF" w14:textId="77777777" w:rsidR="007C5B19" w:rsidRPr="00806B7F" w:rsidRDefault="007C5B19" w:rsidP="00DB5DCF">
      <w:pPr>
        <w:rPr>
          <w:rFonts w:ascii="Arial" w:hAnsi="Arial" w:cs="Arial"/>
          <w:sz w:val="20"/>
        </w:rPr>
      </w:pPr>
    </w:p>
    <w:p w14:paraId="0C445D47" w14:textId="77777777" w:rsidR="007C5B19" w:rsidRPr="00806B7F" w:rsidRDefault="007C5B19" w:rsidP="00BF6550">
      <w:pPr>
        <w:pStyle w:val="BodyText"/>
        <w:tabs>
          <w:tab w:val="left" w:pos="0"/>
        </w:tabs>
        <w:jc w:val="both"/>
        <w:rPr>
          <w:rFonts w:ascii="Arial" w:hAnsi="Arial" w:cs="Arial"/>
          <w:sz w:val="20"/>
        </w:rPr>
      </w:pPr>
      <w:r w:rsidRPr="00806B7F">
        <w:rPr>
          <w:rFonts w:ascii="Arial" w:hAnsi="Arial" w:cs="Arial"/>
          <w:sz w:val="20"/>
        </w:rPr>
        <w:t>The Authority can achieve this by either utilising reserves, identifying additional savings or a combination of both.</w:t>
      </w:r>
    </w:p>
    <w:p w14:paraId="683358D4" w14:textId="77777777" w:rsidR="007C5B19" w:rsidRPr="00806B7F" w:rsidRDefault="007C5B19" w:rsidP="00BF6550">
      <w:pPr>
        <w:jc w:val="both"/>
        <w:rPr>
          <w:rFonts w:ascii="Arial" w:hAnsi="Arial" w:cs="Arial"/>
          <w:b/>
          <w:sz w:val="20"/>
        </w:rPr>
      </w:pPr>
      <w:r w:rsidRPr="00806B7F">
        <w:rPr>
          <w:rFonts w:ascii="Arial" w:hAnsi="Arial" w:cs="Arial"/>
          <w:b/>
          <w:sz w:val="20"/>
        </w:rPr>
        <w:t>Reserves</w:t>
      </w:r>
    </w:p>
    <w:p w14:paraId="14E3B49B" w14:textId="77777777" w:rsidR="007C5B19" w:rsidRPr="00806B7F" w:rsidRDefault="007C5B19" w:rsidP="00BF6550">
      <w:pPr>
        <w:jc w:val="both"/>
        <w:rPr>
          <w:rFonts w:ascii="Arial" w:hAnsi="Arial" w:cs="Arial"/>
          <w:sz w:val="20"/>
        </w:rPr>
      </w:pPr>
    </w:p>
    <w:p w14:paraId="7E944DE2" w14:textId="77777777" w:rsidR="007C5B19" w:rsidRPr="00806B7F" w:rsidRDefault="007C5B19" w:rsidP="00BF6550">
      <w:pPr>
        <w:jc w:val="both"/>
        <w:rPr>
          <w:rFonts w:ascii="Arial" w:hAnsi="Arial" w:cs="Arial"/>
          <w:sz w:val="20"/>
        </w:rPr>
      </w:pPr>
      <w:r w:rsidRPr="00806B7F">
        <w:rPr>
          <w:rFonts w:ascii="Arial" w:hAnsi="Arial" w:cs="Arial"/>
          <w:sz w:val="20"/>
        </w:rPr>
        <w:t xml:space="preserve">A reasonable level of reserves is needed to provide an overall safety net against unforeseen circumstances, such as levels of inflation/pay awards </w:t>
      </w:r>
      <w:proofErr w:type="gramStart"/>
      <w:r w:rsidRPr="00806B7F">
        <w:rPr>
          <w:rFonts w:ascii="Arial" w:hAnsi="Arial" w:cs="Arial"/>
          <w:sz w:val="20"/>
        </w:rPr>
        <w:t>in excess of</w:t>
      </w:r>
      <w:proofErr w:type="gramEnd"/>
      <w:r w:rsidRPr="00806B7F">
        <w:rPr>
          <w:rFonts w:ascii="Arial" w:hAnsi="Arial" w:cs="Arial"/>
          <w:sz w:val="20"/>
        </w:rPr>
        <w:t xml:space="preserve"> budget provision, unanticipated expenditure on major incidents, and other “demand led” pressures, such as increased pension costs, additional costs associated with national projects, etc. which cannot be contained within the base budget. In addition, they also enable the Authority to provide for expenditure, which was not planned at the time the budget was approved, but which the Authority now wishes to implement. </w:t>
      </w:r>
    </w:p>
    <w:p w14:paraId="1A7CE46B" w14:textId="77777777" w:rsidR="007C5B19" w:rsidRPr="00806B7F" w:rsidRDefault="007C5B19" w:rsidP="00BF6550">
      <w:pPr>
        <w:jc w:val="both"/>
        <w:rPr>
          <w:rFonts w:ascii="Arial" w:hAnsi="Arial" w:cs="Arial"/>
          <w:sz w:val="20"/>
        </w:rPr>
      </w:pPr>
    </w:p>
    <w:p w14:paraId="4453A687" w14:textId="77777777" w:rsidR="007C5B19" w:rsidRPr="00806B7F" w:rsidRDefault="007C5B19" w:rsidP="00BF6550">
      <w:pPr>
        <w:jc w:val="both"/>
        <w:rPr>
          <w:rFonts w:ascii="Arial" w:hAnsi="Arial" w:cs="Arial"/>
          <w:sz w:val="20"/>
        </w:rPr>
      </w:pPr>
      <w:r w:rsidRPr="00806B7F">
        <w:rPr>
          <w:rFonts w:ascii="Arial" w:hAnsi="Arial" w:cs="Arial"/>
          <w:sz w:val="20"/>
        </w:rPr>
        <w:t xml:space="preserve">As such a review of the strategic, </w:t>
      </w:r>
      <w:proofErr w:type="gramStart"/>
      <w:r w:rsidRPr="00806B7F">
        <w:rPr>
          <w:rFonts w:ascii="Arial" w:hAnsi="Arial" w:cs="Arial"/>
          <w:sz w:val="20"/>
        </w:rPr>
        <w:t>operational</w:t>
      </w:r>
      <w:proofErr w:type="gramEnd"/>
      <w:r w:rsidRPr="00806B7F">
        <w:rPr>
          <w:rFonts w:ascii="Arial" w:hAnsi="Arial" w:cs="Arial"/>
          <w:sz w:val="20"/>
        </w:rPr>
        <w:t xml:space="preserve"> and financial risk facing the Authority is undertaken each year to identify an appropriate level of reserves to hold, this incorporates issues such as higher than anticipated inflation, including pay awards, increased pension costs, particularly those arising from McCloud Sergeant, successful implementation of the ECR, and costs associated with potential industrial action. given the latest pay offer and the Finance Settlement policy Statements indication about future funding, the treasurer recommends reducing the minimum requirement to £3.75m. As at 31 March 2023 we anticipate holding £4.0m, providing scope to utilise approx. £0.25m of reserves. (Note, it may be possible to reduce this minimum level further if the current grey book 2 year pay offer is accepted.)</w:t>
      </w:r>
    </w:p>
    <w:p w14:paraId="582851B9" w14:textId="77777777" w:rsidR="007C5B19" w:rsidRPr="00806B7F" w:rsidRDefault="007C5B19" w:rsidP="00BF6550">
      <w:pPr>
        <w:jc w:val="both"/>
        <w:rPr>
          <w:rFonts w:ascii="Arial" w:hAnsi="Arial" w:cs="Arial"/>
          <w:sz w:val="20"/>
        </w:rPr>
      </w:pPr>
    </w:p>
    <w:p w14:paraId="1DD40764" w14:textId="77777777" w:rsidR="007C5B19" w:rsidRPr="00806B7F" w:rsidRDefault="007C5B19" w:rsidP="00BF6550">
      <w:pPr>
        <w:jc w:val="both"/>
        <w:rPr>
          <w:rFonts w:ascii="Arial" w:hAnsi="Arial" w:cs="Arial"/>
          <w:sz w:val="20"/>
        </w:rPr>
      </w:pPr>
      <w:r w:rsidRPr="00806B7F">
        <w:rPr>
          <w:rFonts w:ascii="Arial" w:hAnsi="Arial" w:cs="Arial"/>
          <w:sz w:val="20"/>
        </w:rPr>
        <w:t xml:space="preserve">Therefore, the Treasurer considers this reserve is at an appropriate level. </w:t>
      </w:r>
    </w:p>
    <w:p w14:paraId="6A2C515B" w14:textId="77777777" w:rsidR="007C5B19" w:rsidRPr="00806B7F" w:rsidRDefault="007C5B19" w:rsidP="00BF6550">
      <w:pPr>
        <w:jc w:val="both"/>
        <w:rPr>
          <w:rFonts w:ascii="Arial" w:hAnsi="Arial" w:cs="Arial"/>
          <w:sz w:val="20"/>
        </w:rPr>
      </w:pPr>
    </w:p>
    <w:p w14:paraId="17DDA30C" w14:textId="77777777" w:rsidR="007C5B19" w:rsidRPr="00806B7F" w:rsidRDefault="007C5B19" w:rsidP="00BF6550">
      <w:pPr>
        <w:jc w:val="both"/>
        <w:rPr>
          <w:rFonts w:ascii="Arial" w:hAnsi="Arial" w:cs="Arial"/>
          <w:b/>
          <w:sz w:val="20"/>
        </w:rPr>
      </w:pPr>
      <w:r w:rsidRPr="00806B7F">
        <w:rPr>
          <w:rFonts w:ascii="Arial" w:hAnsi="Arial" w:cs="Arial"/>
          <w:b/>
          <w:sz w:val="20"/>
        </w:rPr>
        <w:t>Robustness of the Revenue Budget 2023/24</w:t>
      </w:r>
    </w:p>
    <w:p w14:paraId="2CC4C287" w14:textId="77777777" w:rsidR="007C5B19" w:rsidRPr="00806B7F" w:rsidRDefault="007C5B19" w:rsidP="00BF6550">
      <w:pPr>
        <w:jc w:val="both"/>
        <w:rPr>
          <w:rFonts w:ascii="Arial" w:hAnsi="Arial" w:cs="Arial"/>
          <w:b/>
          <w:sz w:val="20"/>
        </w:rPr>
      </w:pPr>
    </w:p>
    <w:p w14:paraId="13676D3E" w14:textId="77777777" w:rsidR="007C5B19" w:rsidRPr="00806B7F" w:rsidRDefault="007C5B19" w:rsidP="00BF6550">
      <w:pPr>
        <w:jc w:val="both"/>
        <w:rPr>
          <w:rFonts w:ascii="Arial" w:hAnsi="Arial" w:cs="Arial"/>
          <w:sz w:val="20"/>
        </w:rPr>
      </w:pPr>
      <w:r w:rsidRPr="00806B7F">
        <w:rPr>
          <w:rFonts w:ascii="Arial" w:hAnsi="Arial" w:cs="Arial"/>
          <w:sz w:val="20"/>
        </w:rPr>
        <w:t xml:space="preserve">Under Section 25 of the Local Government Act 2003, the Chief Finance Officer is required to make a statement about the robustness of the budget.  </w:t>
      </w:r>
    </w:p>
    <w:p w14:paraId="01D69FD8" w14:textId="77777777" w:rsidR="007C5B19" w:rsidRPr="00806B7F" w:rsidRDefault="007C5B19" w:rsidP="007C5B19">
      <w:pPr>
        <w:jc w:val="both"/>
        <w:rPr>
          <w:rFonts w:ascii="Arial" w:hAnsi="Arial" w:cs="Arial"/>
          <w:sz w:val="20"/>
        </w:rPr>
      </w:pPr>
    </w:p>
    <w:p w14:paraId="21BEDD6A" w14:textId="77777777" w:rsidR="007C5B19" w:rsidRPr="00806B7F" w:rsidRDefault="007C5B19" w:rsidP="007C5B19">
      <w:pPr>
        <w:jc w:val="both"/>
        <w:rPr>
          <w:rFonts w:ascii="Arial" w:hAnsi="Arial" w:cs="Arial"/>
          <w:sz w:val="20"/>
        </w:rPr>
      </w:pPr>
      <w:r w:rsidRPr="00806B7F">
        <w:rPr>
          <w:rFonts w:ascii="Arial" w:hAnsi="Arial" w:cs="Arial"/>
          <w:sz w:val="20"/>
        </w:rPr>
        <w:t>The professional opinion of the Treasurer is that the budget has been prepared on a robust basis for the following reasons:</w:t>
      </w:r>
    </w:p>
    <w:p w14:paraId="3240EAFA" w14:textId="77777777" w:rsidR="007C5B19" w:rsidRPr="00806B7F" w:rsidRDefault="007C5B19" w:rsidP="007C5B19">
      <w:pPr>
        <w:jc w:val="both"/>
        <w:rPr>
          <w:rFonts w:ascii="Arial" w:hAnsi="Arial" w:cs="Arial"/>
          <w:sz w:val="20"/>
        </w:rPr>
      </w:pPr>
    </w:p>
    <w:p w14:paraId="7F833D87"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The budget is reflective of existing service plans;</w:t>
      </w:r>
    </w:p>
    <w:p w14:paraId="68DC5389"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The budget takes account of the anticipated on-going revenue impact of current and future capital programmes;</w:t>
      </w:r>
    </w:p>
    <w:p w14:paraId="677D9365"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 xml:space="preserve">The allowances included for inflation and pay awards represent a best estimate of the likely cost of this, as set out below:- </w:t>
      </w:r>
    </w:p>
    <w:p w14:paraId="578C87B8" w14:textId="77777777" w:rsidR="007C5B19" w:rsidRPr="00806B7F" w:rsidRDefault="007C5B19" w:rsidP="007C5B19">
      <w:pPr>
        <w:jc w:val="both"/>
        <w:rPr>
          <w:rFonts w:ascii="Arial" w:hAnsi="Arial" w:cs="Arial"/>
          <w:sz w:val="20"/>
        </w:rPr>
      </w:pPr>
    </w:p>
    <w:p w14:paraId="453F8B9D" w14:textId="77777777" w:rsidR="007C5B19" w:rsidRPr="00806B7F" w:rsidRDefault="007C5B19" w:rsidP="007C5B19">
      <w:pPr>
        <w:pStyle w:val="ListParagraph"/>
        <w:keepNext/>
        <w:spacing w:after="200"/>
        <w:rPr>
          <w:rFonts w:ascii="Arial" w:eastAsia="Calibri" w:hAnsi="Arial" w:cs="Arial"/>
          <w:i/>
          <w:iCs/>
          <w:color w:val="44546A"/>
          <w:sz w:val="20"/>
          <w:szCs w:val="20"/>
        </w:rPr>
      </w:pPr>
      <w:r w:rsidRPr="00806B7F">
        <w:rPr>
          <w:rFonts w:ascii="Arial" w:eastAsia="Calibri" w:hAnsi="Arial" w:cs="Arial"/>
          <w:i/>
          <w:iCs/>
          <w:color w:val="44546A"/>
          <w:sz w:val="20"/>
          <w:szCs w:val="20"/>
        </w:rPr>
        <w:t>Table 20 Inflationary Allowance Included in Budget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417"/>
      </w:tblGrid>
      <w:tr w:rsidR="007C5B19" w:rsidRPr="00806B7F" w14:paraId="0C739FF5" w14:textId="77777777" w:rsidTr="00A369A1">
        <w:tc>
          <w:tcPr>
            <w:tcW w:w="8647" w:type="dxa"/>
            <w:shd w:val="clear" w:color="auto" w:fill="auto"/>
          </w:tcPr>
          <w:p w14:paraId="31DBE3D9" w14:textId="77777777" w:rsidR="007C5B19" w:rsidRPr="00806B7F" w:rsidRDefault="007C5B19" w:rsidP="00A369A1">
            <w:pPr>
              <w:jc w:val="both"/>
              <w:rPr>
                <w:rFonts w:ascii="Arial" w:hAnsi="Arial" w:cs="Arial"/>
                <w:sz w:val="20"/>
              </w:rPr>
            </w:pPr>
          </w:p>
        </w:tc>
        <w:tc>
          <w:tcPr>
            <w:tcW w:w="1417" w:type="dxa"/>
          </w:tcPr>
          <w:p w14:paraId="5BC0BF31" w14:textId="77777777" w:rsidR="007C5B19" w:rsidRPr="00806B7F" w:rsidRDefault="007C5B19" w:rsidP="00A369A1">
            <w:pPr>
              <w:jc w:val="center"/>
              <w:rPr>
                <w:rFonts w:ascii="Arial" w:hAnsi="Arial" w:cs="Arial"/>
                <w:sz w:val="20"/>
              </w:rPr>
            </w:pPr>
            <w:r w:rsidRPr="00806B7F">
              <w:rPr>
                <w:rFonts w:ascii="Arial" w:hAnsi="Arial" w:cs="Arial"/>
                <w:sz w:val="20"/>
              </w:rPr>
              <w:t>2023/24</w:t>
            </w:r>
          </w:p>
        </w:tc>
      </w:tr>
      <w:tr w:rsidR="007C5B19" w:rsidRPr="00806B7F" w14:paraId="05BE916D" w14:textId="77777777" w:rsidTr="00A369A1">
        <w:tc>
          <w:tcPr>
            <w:tcW w:w="8647" w:type="dxa"/>
            <w:shd w:val="clear" w:color="auto" w:fill="auto"/>
          </w:tcPr>
          <w:p w14:paraId="4ACC35B9" w14:textId="77777777" w:rsidR="007C5B19" w:rsidRPr="00806B7F" w:rsidRDefault="007C5B19" w:rsidP="00A369A1">
            <w:pPr>
              <w:jc w:val="both"/>
              <w:rPr>
                <w:rFonts w:ascii="Arial" w:hAnsi="Arial" w:cs="Arial"/>
                <w:sz w:val="20"/>
              </w:rPr>
            </w:pPr>
            <w:r w:rsidRPr="00806B7F">
              <w:rPr>
                <w:rFonts w:ascii="Arial" w:hAnsi="Arial" w:cs="Arial"/>
                <w:sz w:val="20"/>
              </w:rPr>
              <w:t>Uniformed Pay Award (7% backdated pay award allowed for 22/23)</w:t>
            </w:r>
          </w:p>
        </w:tc>
        <w:tc>
          <w:tcPr>
            <w:tcW w:w="1417" w:type="dxa"/>
          </w:tcPr>
          <w:p w14:paraId="1735CB22" w14:textId="77777777" w:rsidR="007C5B19" w:rsidRPr="00806B7F" w:rsidRDefault="007C5B19" w:rsidP="00A369A1">
            <w:pPr>
              <w:jc w:val="center"/>
              <w:rPr>
                <w:rFonts w:ascii="Arial" w:hAnsi="Arial" w:cs="Arial"/>
                <w:sz w:val="20"/>
              </w:rPr>
            </w:pPr>
            <w:r w:rsidRPr="00806B7F">
              <w:rPr>
                <w:rFonts w:ascii="Arial" w:hAnsi="Arial" w:cs="Arial"/>
                <w:sz w:val="20"/>
              </w:rPr>
              <w:t>5.0%</w:t>
            </w:r>
          </w:p>
        </w:tc>
      </w:tr>
      <w:tr w:rsidR="007C5B19" w:rsidRPr="00806B7F" w14:paraId="4E5323A9" w14:textId="77777777" w:rsidTr="00A369A1">
        <w:tc>
          <w:tcPr>
            <w:tcW w:w="8647" w:type="dxa"/>
            <w:shd w:val="clear" w:color="auto" w:fill="auto"/>
          </w:tcPr>
          <w:p w14:paraId="7ADDAD4E" w14:textId="77777777" w:rsidR="007C5B19" w:rsidRPr="00806B7F" w:rsidRDefault="007C5B19" w:rsidP="00A369A1">
            <w:pPr>
              <w:jc w:val="both"/>
              <w:rPr>
                <w:rFonts w:ascii="Arial" w:hAnsi="Arial" w:cs="Arial"/>
                <w:sz w:val="20"/>
              </w:rPr>
            </w:pPr>
            <w:r w:rsidRPr="00806B7F">
              <w:rPr>
                <w:rFonts w:ascii="Arial" w:hAnsi="Arial" w:cs="Arial"/>
                <w:sz w:val="20"/>
              </w:rPr>
              <w:t>Non-Uniformed Pay Award</w:t>
            </w:r>
          </w:p>
        </w:tc>
        <w:tc>
          <w:tcPr>
            <w:tcW w:w="1417" w:type="dxa"/>
          </w:tcPr>
          <w:p w14:paraId="254E77B5" w14:textId="77777777" w:rsidR="007C5B19" w:rsidRPr="00806B7F" w:rsidRDefault="007C5B19" w:rsidP="00A369A1">
            <w:pPr>
              <w:jc w:val="center"/>
              <w:rPr>
                <w:rFonts w:ascii="Arial" w:hAnsi="Arial" w:cs="Arial"/>
                <w:sz w:val="20"/>
              </w:rPr>
            </w:pPr>
            <w:r w:rsidRPr="00806B7F">
              <w:rPr>
                <w:rFonts w:ascii="Arial" w:hAnsi="Arial" w:cs="Arial"/>
                <w:sz w:val="20"/>
              </w:rPr>
              <w:t>5.0%</w:t>
            </w:r>
          </w:p>
        </w:tc>
      </w:tr>
      <w:tr w:rsidR="007C5B19" w:rsidRPr="00806B7F" w14:paraId="516D4566" w14:textId="77777777" w:rsidTr="00A369A1">
        <w:tc>
          <w:tcPr>
            <w:tcW w:w="8647" w:type="dxa"/>
            <w:shd w:val="clear" w:color="auto" w:fill="auto"/>
          </w:tcPr>
          <w:p w14:paraId="668BDA1E" w14:textId="77777777" w:rsidR="007C5B19" w:rsidRPr="00806B7F" w:rsidRDefault="007C5B19" w:rsidP="00A369A1">
            <w:pPr>
              <w:jc w:val="both"/>
              <w:rPr>
                <w:rFonts w:ascii="Arial" w:hAnsi="Arial" w:cs="Arial"/>
                <w:sz w:val="20"/>
              </w:rPr>
            </w:pPr>
            <w:r w:rsidRPr="00806B7F">
              <w:rPr>
                <w:rFonts w:ascii="Arial" w:hAnsi="Arial" w:cs="Arial"/>
                <w:sz w:val="20"/>
              </w:rPr>
              <w:t>Non-Pay Inflation</w:t>
            </w:r>
          </w:p>
          <w:p w14:paraId="1E3B94EE" w14:textId="77777777" w:rsidR="007C5B19" w:rsidRPr="00806B7F" w:rsidRDefault="007C5B19" w:rsidP="00A369A1">
            <w:pPr>
              <w:jc w:val="both"/>
              <w:rPr>
                <w:rFonts w:ascii="Arial" w:hAnsi="Arial" w:cs="Arial"/>
                <w:sz w:val="20"/>
              </w:rPr>
            </w:pPr>
            <w:r w:rsidRPr="00806B7F">
              <w:rPr>
                <w:rFonts w:ascii="Arial" w:hAnsi="Arial" w:cs="Arial"/>
                <w:sz w:val="20"/>
              </w:rPr>
              <w:t>(In addition to the backdated adjustments to reflect inflation levels in 22/23)</w:t>
            </w:r>
          </w:p>
        </w:tc>
        <w:tc>
          <w:tcPr>
            <w:tcW w:w="1417" w:type="dxa"/>
          </w:tcPr>
          <w:p w14:paraId="6ECD34BE" w14:textId="77777777" w:rsidR="007C5B19" w:rsidRPr="00806B7F" w:rsidRDefault="007C5B19" w:rsidP="00A369A1">
            <w:pPr>
              <w:jc w:val="center"/>
              <w:rPr>
                <w:rFonts w:ascii="Arial" w:hAnsi="Arial" w:cs="Arial"/>
                <w:sz w:val="20"/>
              </w:rPr>
            </w:pPr>
            <w:r w:rsidRPr="00806B7F">
              <w:rPr>
                <w:rFonts w:ascii="Arial" w:hAnsi="Arial" w:cs="Arial"/>
                <w:sz w:val="20"/>
              </w:rPr>
              <w:t>5.0%</w:t>
            </w:r>
          </w:p>
        </w:tc>
      </w:tr>
    </w:tbl>
    <w:p w14:paraId="680C34F1" w14:textId="77777777" w:rsidR="007C5B19" w:rsidRPr="00806B7F" w:rsidRDefault="007C5B19" w:rsidP="007C5B19">
      <w:pPr>
        <w:jc w:val="both"/>
        <w:rPr>
          <w:rFonts w:ascii="Arial" w:hAnsi="Arial" w:cs="Arial"/>
          <w:sz w:val="20"/>
        </w:rPr>
      </w:pPr>
    </w:p>
    <w:p w14:paraId="3757E80E"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As part of the budget setting process all estimates, including savings and income forecast, are assessed for reasonableness;</w:t>
      </w:r>
    </w:p>
    <w:p w14:paraId="426E2725"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 xml:space="preserve">The situation in respect of future funding, and in particular the outcome of next year’s Local Government Finance Settlement and any subsequent Spending Review will be kept under review and reported to the Authority in due course. </w:t>
      </w:r>
    </w:p>
    <w:p w14:paraId="16E089EA"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The level of and appropriateness of reserves has been reviewed by the Treasurer, based on the potential risks faced by the Authority;</w:t>
      </w:r>
    </w:p>
    <w:p w14:paraId="3F1796D2" w14:textId="77777777" w:rsidR="007C5B19" w:rsidRPr="00806B7F" w:rsidRDefault="007C5B19" w:rsidP="007C5B19">
      <w:pPr>
        <w:pStyle w:val="ListParagraph"/>
        <w:numPr>
          <w:ilvl w:val="0"/>
          <w:numId w:val="15"/>
        </w:numPr>
        <w:jc w:val="both"/>
        <w:rPr>
          <w:rFonts w:ascii="Arial" w:hAnsi="Arial" w:cs="Arial"/>
          <w:sz w:val="20"/>
          <w:szCs w:val="20"/>
        </w:rPr>
      </w:pPr>
      <w:r w:rsidRPr="00806B7F">
        <w:rPr>
          <w:rFonts w:ascii="Arial" w:hAnsi="Arial" w:cs="Arial"/>
          <w:sz w:val="20"/>
          <w:szCs w:val="20"/>
        </w:rPr>
        <w:t>The following significant financial risks have all been assessed and the Treasurer feels that these are adequately covered within the budget estimates presented or within the level of reserves currently held: -</w:t>
      </w:r>
    </w:p>
    <w:p w14:paraId="0701D4B4"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Reductions in funding levels over and above those forecast;</w:t>
      </w:r>
    </w:p>
    <w:p w14:paraId="6C49ABC5"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Reduction in funding via Business Rates retention scheme;</w:t>
      </w:r>
    </w:p>
    <w:p w14:paraId="614F8F1D"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Reduction in council tax funding due to changes in collection rates, localisation of council tax support, reducing tax base and/or council tax referendum limits;</w:t>
      </w:r>
    </w:p>
    <w:p w14:paraId="443230C3"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Higher than anticipated inflation;</w:t>
      </w:r>
    </w:p>
    <w:p w14:paraId="548591E3"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Larger increases in future pension costs/contributions;</w:t>
      </w:r>
    </w:p>
    <w:p w14:paraId="233AA4A2"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Significant changes in retirement profiles;</w:t>
      </w:r>
    </w:p>
    <w:p w14:paraId="1BCA954C"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Increase in costs arising from demand led pressures, i.e., increasing staff numbers, overtime due to spate conditions or major equipment replacement requirements;</w:t>
      </w:r>
    </w:p>
    <w:p w14:paraId="45CE5229" w14:textId="77777777" w:rsidR="007C5B19" w:rsidRPr="00806B7F" w:rsidRDefault="007C5B19" w:rsidP="007C5B19">
      <w:pPr>
        <w:pStyle w:val="ListParagraph"/>
        <w:numPr>
          <w:ilvl w:val="1"/>
          <w:numId w:val="15"/>
        </w:numPr>
        <w:jc w:val="both"/>
        <w:rPr>
          <w:rFonts w:ascii="Arial" w:hAnsi="Arial" w:cs="Arial"/>
          <w:sz w:val="20"/>
          <w:szCs w:val="20"/>
        </w:rPr>
      </w:pPr>
      <w:r w:rsidRPr="00806B7F">
        <w:rPr>
          <w:rFonts w:ascii="Arial" w:hAnsi="Arial" w:cs="Arial"/>
          <w:sz w:val="20"/>
          <w:szCs w:val="20"/>
        </w:rPr>
        <w:t>Inadequacy of insurance arrangements</w:t>
      </w:r>
    </w:p>
    <w:p w14:paraId="1732C8A9" w14:textId="77777777" w:rsidR="007C5B19" w:rsidRPr="00806B7F" w:rsidRDefault="007C5B19" w:rsidP="007C5B19">
      <w:pPr>
        <w:jc w:val="both"/>
        <w:rPr>
          <w:rFonts w:ascii="Arial" w:hAnsi="Arial" w:cs="Arial"/>
          <w:b/>
          <w:sz w:val="20"/>
        </w:rPr>
      </w:pPr>
    </w:p>
    <w:p w14:paraId="182F1FD9" w14:textId="77777777" w:rsidR="007C5B19" w:rsidRPr="00806B7F" w:rsidRDefault="007C5B19" w:rsidP="007C5B19">
      <w:pPr>
        <w:rPr>
          <w:rFonts w:ascii="Arial" w:hAnsi="Arial" w:cs="Arial"/>
          <w:b/>
          <w:sz w:val="20"/>
        </w:rPr>
      </w:pPr>
      <w:r w:rsidRPr="00806B7F">
        <w:rPr>
          <w:rFonts w:ascii="Arial" w:hAnsi="Arial" w:cs="Arial"/>
          <w:b/>
          <w:sz w:val="20"/>
        </w:rPr>
        <w:t>Summary Council Tax 2022/23</w:t>
      </w:r>
    </w:p>
    <w:p w14:paraId="62E58F50" w14:textId="77777777" w:rsidR="007C5B19" w:rsidRPr="00806B7F" w:rsidRDefault="007C5B19" w:rsidP="007C5B19">
      <w:pPr>
        <w:rPr>
          <w:rFonts w:ascii="Arial" w:hAnsi="Arial" w:cs="Arial"/>
          <w:sz w:val="20"/>
        </w:rPr>
      </w:pPr>
    </w:p>
    <w:p w14:paraId="1BB7D4D8" w14:textId="77777777" w:rsidR="007C5B19" w:rsidRPr="00806B7F" w:rsidRDefault="007C5B19" w:rsidP="007C5B19">
      <w:pPr>
        <w:rPr>
          <w:rFonts w:ascii="Arial" w:hAnsi="Arial" w:cs="Arial"/>
          <w:sz w:val="20"/>
        </w:rPr>
      </w:pPr>
      <w:r w:rsidRPr="00806B7F">
        <w:rPr>
          <w:rFonts w:ascii="Arial" w:hAnsi="Arial" w:cs="Arial"/>
          <w:sz w:val="20"/>
        </w:rPr>
        <w:t>We are recommending a £5.00 increase in council tax for an average band D property:-</w:t>
      </w:r>
    </w:p>
    <w:p w14:paraId="766D21B5" w14:textId="77777777" w:rsidR="007C5B19" w:rsidRPr="00806B7F" w:rsidRDefault="007C5B19" w:rsidP="007C5B19">
      <w:pPr>
        <w:jc w:val="both"/>
        <w:rPr>
          <w:rFonts w:ascii="Arial" w:hAnsi="Arial" w:cs="Arial"/>
          <w:sz w:val="20"/>
        </w:rPr>
      </w:pPr>
    </w:p>
    <w:p w14:paraId="53B30248" w14:textId="77777777" w:rsidR="007C5B19" w:rsidRPr="00806B7F" w:rsidRDefault="007C5B19" w:rsidP="007C5B1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19 Detailed Council Tax Requirement 2023/24</w:t>
      </w:r>
    </w:p>
    <w:tbl>
      <w:tblPr>
        <w:tblW w:w="73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1181"/>
      </w:tblGrid>
      <w:tr w:rsidR="007C5B19" w:rsidRPr="00806B7F" w14:paraId="19621618" w14:textId="77777777" w:rsidTr="00A369A1">
        <w:tc>
          <w:tcPr>
            <w:tcW w:w="6124" w:type="dxa"/>
          </w:tcPr>
          <w:p w14:paraId="156B62CB" w14:textId="77777777" w:rsidR="007C5B19" w:rsidRPr="00806B7F" w:rsidRDefault="007C5B19" w:rsidP="00A369A1">
            <w:pPr>
              <w:jc w:val="both"/>
              <w:rPr>
                <w:rFonts w:ascii="Arial" w:hAnsi="Arial" w:cs="Arial"/>
                <w:sz w:val="20"/>
              </w:rPr>
            </w:pPr>
            <w:r w:rsidRPr="00806B7F">
              <w:rPr>
                <w:rFonts w:ascii="Arial" w:hAnsi="Arial" w:cs="Arial"/>
                <w:sz w:val="20"/>
              </w:rPr>
              <w:t> </w:t>
            </w:r>
          </w:p>
        </w:tc>
        <w:tc>
          <w:tcPr>
            <w:tcW w:w="1181" w:type="dxa"/>
          </w:tcPr>
          <w:p w14:paraId="53B9C908" w14:textId="77777777" w:rsidR="007C5B19" w:rsidRPr="00806B7F" w:rsidRDefault="007C5B19" w:rsidP="00A369A1">
            <w:pPr>
              <w:jc w:val="center"/>
              <w:rPr>
                <w:rFonts w:ascii="Arial" w:hAnsi="Arial" w:cs="Arial"/>
                <w:bCs/>
                <w:sz w:val="20"/>
              </w:rPr>
            </w:pPr>
            <w:r w:rsidRPr="00806B7F">
              <w:rPr>
                <w:rFonts w:ascii="Arial" w:hAnsi="Arial" w:cs="Arial"/>
                <w:bCs/>
                <w:sz w:val="20"/>
              </w:rPr>
              <w:t>£m</w:t>
            </w:r>
          </w:p>
        </w:tc>
      </w:tr>
      <w:tr w:rsidR="007C5B19" w:rsidRPr="00806B7F" w14:paraId="46ABF817" w14:textId="77777777" w:rsidTr="00A369A1">
        <w:tc>
          <w:tcPr>
            <w:tcW w:w="6124" w:type="dxa"/>
          </w:tcPr>
          <w:p w14:paraId="62F6568E" w14:textId="77777777" w:rsidR="007C5B19" w:rsidRPr="00806B7F" w:rsidRDefault="007C5B19" w:rsidP="00A369A1">
            <w:pPr>
              <w:jc w:val="both"/>
              <w:rPr>
                <w:rFonts w:ascii="Arial" w:hAnsi="Arial" w:cs="Arial"/>
                <w:sz w:val="20"/>
              </w:rPr>
            </w:pPr>
            <w:r w:rsidRPr="00806B7F">
              <w:rPr>
                <w:rFonts w:ascii="Arial" w:hAnsi="Arial" w:cs="Arial"/>
                <w:sz w:val="20"/>
              </w:rPr>
              <w:t>Gross Budget Requirement</w:t>
            </w:r>
          </w:p>
        </w:tc>
        <w:tc>
          <w:tcPr>
            <w:tcW w:w="1181" w:type="dxa"/>
          </w:tcPr>
          <w:p w14:paraId="1F637C80" w14:textId="77777777" w:rsidR="007C5B19" w:rsidRPr="00806B7F" w:rsidRDefault="007C5B19" w:rsidP="00A369A1">
            <w:pPr>
              <w:jc w:val="center"/>
              <w:rPr>
                <w:rFonts w:ascii="Arial" w:hAnsi="Arial" w:cs="Arial"/>
                <w:sz w:val="20"/>
              </w:rPr>
            </w:pPr>
            <w:r w:rsidRPr="00806B7F">
              <w:rPr>
                <w:rFonts w:ascii="Arial" w:hAnsi="Arial" w:cs="Arial"/>
                <w:sz w:val="20"/>
              </w:rPr>
              <w:t>68.5</w:t>
            </w:r>
          </w:p>
        </w:tc>
      </w:tr>
      <w:tr w:rsidR="007C5B19" w:rsidRPr="00806B7F" w14:paraId="23C07CDC" w14:textId="77777777" w:rsidTr="00A369A1">
        <w:tc>
          <w:tcPr>
            <w:tcW w:w="6124" w:type="dxa"/>
          </w:tcPr>
          <w:p w14:paraId="4E597008" w14:textId="77777777" w:rsidR="007C5B19" w:rsidRPr="00806B7F" w:rsidRDefault="007C5B19" w:rsidP="00A369A1">
            <w:pPr>
              <w:jc w:val="both"/>
              <w:rPr>
                <w:rFonts w:ascii="Arial" w:hAnsi="Arial" w:cs="Arial"/>
                <w:sz w:val="20"/>
              </w:rPr>
            </w:pPr>
            <w:r w:rsidRPr="00806B7F">
              <w:rPr>
                <w:rFonts w:ascii="Arial" w:hAnsi="Arial" w:cs="Arial"/>
                <w:sz w:val="20"/>
              </w:rPr>
              <w:t>Less Budget reduction required</w:t>
            </w:r>
          </w:p>
        </w:tc>
        <w:tc>
          <w:tcPr>
            <w:tcW w:w="1181" w:type="dxa"/>
          </w:tcPr>
          <w:p w14:paraId="582BCF67" w14:textId="77777777" w:rsidR="007C5B19" w:rsidRPr="00806B7F" w:rsidRDefault="007C5B19" w:rsidP="00A369A1">
            <w:pPr>
              <w:jc w:val="center"/>
              <w:rPr>
                <w:rFonts w:ascii="Arial" w:hAnsi="Arial" w:cs="Arial"/>
                <w:sz w:val="20"/>
              </w:rPr>
            </w:pPr>
            <w:r w:rsidRPr="00806B7F">
              <w:rPr>
                <w:rFonts w:ascii="Arial" w:hAnsi="Arial" w:cs="Arial"/>
                <w:sz w:val="20"/>
              </w:rPr>
              <w:t>(0.3)</w:t>
            </w:r>
          </w:p>
        </w:tc>
      </w:tr>
      <w:tr w:rsidR="007C5B19" w:rsidRPr="00806B7F" w14:paraId="06CBBA84" w14:textId="77777777" w:rsidTr="00A369A1">
        <w:tc>
          <w:tcPr>
            <w:tcW w:w="6124" w:type="dxa"/>
          </w:tcPr>
          <w:p w14:paraId="2A82C09E" w14:textId="77777777" w:rsidR="007C5B19" w:rsidRPr="00806B7F" w:rsidRDefault="007C5B19" w:rsidP="00A369A1">
            <w:pPr>
              <w:jc w:val="both"/>
              <w:rPr>
                <w:rFonts w:ascii="Arial" w:hAnsi="Arial" w:cs="Arial"/>
                <w:sz w:val="20"/>
              </w:rPr>
            </w:pPr>
            <w:r w:rsidRPr="00806B7F">
              <w:rPr>
                <w:rFonts w:ascii="Arial" w:hAnsi="Arial" w:cs="Arial"/>
                <w:sz w:val="20"/>
              </w:rPr>
              <w:t>Net Budget Requirement</w:t>
            </w:r>
          </w:p>
        </w:tc>
        <w:tc>
          <w:tcPr>
            <w:tcW w:w="1181" w:type="dxa"/>
          </w:tcPr>
          <w:p w14:paraId="752425D1" w14:textId="77777777" w:rsidR="007C5B19" w:rsidRPr="00806B7F" w:rsidRDefault="007C5B19" w:rsidP="00A369A1">
            <w:pPr>
              <w:jc w:val="center"/>
              <w:rPr>
                <w:rFonts w:ascii="Arial" w:hAnsi="Arial" w:cs="Arial"/>
                <w:sz w:val="20"/>
              </w:rPr>
            </w:pPr>
            <w:r w:rsidRPr="00806B7F">
              <w:rPr>
                <w:rFonts w:ascii="Arial" w:hAnsi="Arial" w:cs="Arial"/>
                <w:sz w:val="20"/>
              </w:rPr>
              <w:t>68.2</w:t>
            </w:r>
          </w:p>
        </w:tc>
      </w:tr>
      <w:tr w:rsidR="007C5B19" w:rsidRPr="00806B7F" w14:paraId="0D84CBEE" w14:textId="77777777" w:rsidTr="00A369A1">
        <w:tc>
          <w:tcPr>
            <w:tcW w:w="6124" w:type="dxa"/>
          </w:tcPr>
          <w:p w14:paraId="50BF0988" w14:textId="77777777" w:rsidR="007C5B19" w:rsidRPr="00806B7F" w:rsidRDefault="007C5B19" w:rsidP="00A369A1">
            <w:pPr>
              <w:jc w:val="both"/>
              <w:rPr>
                <w:rFonts w:ascii="Arial" w:hAnsi="Arial" w:cs="Arial"/>
                <w:sz w:val="20"/>
              </w:rPr>
            </w:pPr>
            <w:r w:rsidRPr="00806B7F">
              <w:rPr>
                <w:rFonts w:ascii="Arial" w:hAnsi="Arial" w:cs="Arial"/>
                <w:sz w:val="20"/>
              </w:rPr>
              <w:t>Less Settlement Funding Assessment</w:t>
            </w:r>
          </w:p>
        </w:tc>
        <w:tc>
          <w:tcPr>
            <w:tcW w:w="1181" w:type="dxa"/>
          </w:tcPr>
          <w:p w14:paraId="4BDD8D5B" w14:textId="77777777" w:rsidR="007C5B19" w:rsidRPr="00806B7F" w:rsidRDefault="007C5B19" w:rsidP="00A369A1">
            <w:pPr>
              <w:jc w:val="center"/>
              <w:rPr>
                <w:rFonts w:ascii="Arial" w:hAnsi="Arial" w:cs="Arial"/>
                <w:sz w:val="20"/>
              </w:rPr>
            </w:pPr>
            <w:r w:rsidRPr="00806B7F">
              <w:rPr>
                <w:rFonts w:ascii="Arial" w:hAnsi="Arial" w:cs="Arial"/>
                <w:sz w:val="20"/>
              </w:rPr>
              <w:t>(26.0)</w:t>
            </w:r>
          </w:p>
        </w:tc>
      </w:tr>
      <w:tr w:rsidR="007C5B19" w:rsidRPr="00806B7F" w14:paraId="461694B5" w14:textId="77777777" w:rsidTr="00A369A1">
        <w:tc>
          <w:tcPr>
            <w:tcW w:w="6124" w:type="dxa"/>
          </w:tcPr>
          <w:p w14:paraId="3A902435" w14:textId="77777777" w:rsidR="007C5B19" w:rsidRPr="00806B7F" w:rsidRDefault="007C5B19" w:rsidP="00A369A1">
            <w:pPr>
              <w:jc w:val="both"/>
              <w:rPr>
                <w:rFonts w:ascii="Arial" w:hAnsi="Arial" w:cs="Arial"/>
                <w:sz w:val="20"/>
              </w:rPr>
            </w:pPr>
            <w:r w:rsidRPr="00806B7F">
              <w:rPr>
                <w:rFonts w:ascii="Arial" w:hAnsi="Arial" w:cs="Arial"/>
                <w:sz w:val="20"/>
              </w:rPr>
              <w:t>Less Service Grant</w:t>
            </w:r>
          </w:p>
        </w:tc>
        <w:tc>
          <w:tcPr>
            <w:tcW w:w="1181" w:type="dxa"/>
          </w:tcPr>
          <w:p w14:paraId="46C9C851" w14:textId="77777777" w:rsidR="007C5B19" w:rsidRPr="00806B7F" w:rsidRDefault="007C5B19" w:rsidP="00A369A1">
            <w:pPr>
              <w:jc w:val="center"/>
              <w:rPr>
                <w:rFonts w:ascii="Arial" w:hAnsi="Arial" w:cs="Arial"/>
                <w:sz w:val="20"/>
              </w:rPr>
            </w:pPr>
            <w:r w:rsidRPr="00806B7F">
              <w:rPr>
                <w:rFonts w:ascii="Arial" w:hAnsi="Arial" w:cs="Arial"/>
                <w:sz w:val="20"/>
              </w:rPr>
              <w:t>(0.6)</w:t>
            </w:r>
          </w:p>
        </w:tc>
      </w:tr>
      <w:tr w:rsidR="007C5B19" w:rsidRPr="00806B7F" w14:paraId="73E6591D" w14:textId="77777777" w:rsidTr="00A369A1">
        <w:tc>
          <w:tcPr>
            <w:tcW w:w="6124" w:type="dxa"/>
          </w:tcPr>
          <w:p w14:paraId="6B53AFF4" w14:textId="77777777" w:rsidR="007C5B19" w:rsidRPr="00806B7F" w:rsidRDefault="007C5B19" w:rsidP="00A369A1">
            <w:pPr>
              <w:jc w:val="both"/>
              <w:rPr>
                <w:rFonts w:ascii="Arial" w:hAnsi="Arial" w:cs="Arial"/>
                <w:sz w:val="20"/>
              </w:rPr>
            </w:pPr>
            <w:r w:rsidRPr="00806B7F">
              <w:rPr>
                <w:rFonts w:ascii="Arial" w:hAnsi="Arial" w:cs="Arial"/>
                <w:sz w:val="20"/>
              </w:rPr>
              <w:t>Less Business Rates Adjustment</w:t>
            </w:r>
          </w:p>
        </w:tc>
        <w:tc>
          <w:tcPr>
            <w:tcW w:w="1181" w:type="dxa"/>
          </w:tcPr>
          <w:p w14:paraId="0492196F" w14:textId="77777777" w:rsidR="007C5B19" w:rsidRPr="00806B7F" w:rsidRDefault="007C5B19" w:rsidP="00A369A1">
            <w:pPr>
              <w:jc w:val="center"/>
              <w:rPr>
                <w:rFonts w:ascii="Arial" w:hAnsi="Arial" w:cs="Arial"/>
                <w:sz w:val="20"/>
              </w:rPr>
            </w:pPr>
            <w:r w:rsidRPr="00806B7F">
              <w:rPr>
                <w:rFonts w:ascii="Arial" w:hAnsi="Arial" w:cs="Arial"/>
                <w:sz w:val="20"/>
              </w:rPr>
              <w:t>(3.6)</w:t>
            </w:r>
          </w:p>
        </w:tc>
      </w:tr>
      <w:tr w:rsidR="007C5B19" w:rsidRPr="00806B7F" w14:paraId="35C0497E" w14:textId="77777777" w:rsidTr="00A369A1">
        <w:tc>
          <w:tcPr>
            <w:tcW w:w="6124" w:type="dxa"/>
          </w:tcPr>
          <w:p w14:paraId="66F5AAAA" w14:textId="77777777" w:rsidR="007C5B19" w:rsidRPr="00806B7F" w:rsidRDefault="007C5B19" w:rsidP="00A369A1">
            <w:pPr>
              <w:jc w:val="both"/>
              <w:rPr>
                <w:rFonts w:ascii="Arial" w:hAnsi="Arial" w:cs="Arial"/>
                <w:sz w:val="20"/>
              </w:rPr>
            </w:pPr>
            <w:r w:rsidRPr="00806B7F">
              <w:rPr>
                <w:rFonts w:ascii="Arial" w:hAnsi="Arial" w:cs="Arial"/>
                <w:sz w:val="20"/>
              </w:rPr>
              <w:t>Less Council Tax Collection Surplus</w:t>
            </w:r>
          </w:p>
        </w:tc>
        <w:tc>
          <w:tcPr>
            <w:tcW w:w="1181" w:type="dxa"/>
          </w:tcPr>
          <w:p w14:paraId="79A122C8" w14:textId="77777777" w:rsidR="007C5B19" w:rsidRPr="00806B7F" w:rsidRDefault="007C5B19" w:rsidP="00A369A1">
            <w:pPr>
              <w:jc w:val="center"/>
              <w:rPr>
                <w:rFonts w:ascii="Arial" w:hAnsi="Arial" w:cs="Arial"/>
                <w:sz w:val="20"/>
              </w:rPr>
            </w:pPr>
            <w:r w:rsidRPr="00806B7F">
              <w:rPr>
                <w:rFonts w:ascii="Arial" w:hAnsi="Arial" w:cs="Arial"/>
                <w:sz w:val="20"/>
              </w:rPr>
              <w:t>(0.3)</w:t>
            </w:r>
          </w:p>
        </w:tc>
      </w:tr>
      <w:tr w:rsidR="007C5B19" w:rsidRPr="00806B7F" w14:paraId="7F486454" w14:textId="77777777" w:rsidTr="00A369A1">
        <w:tc>
          <w:tcPr>
            <w:tcW w:w="6124" w:type="dxa"/>
          </w:tcPr>
          <w:p w14:paraId="2CD043E9" w14:textId="77777777" w:rsidR="007C5B19" w:rsidRPr="00806B7F" w:rsidRDefault="007C5B19" w:rsidP="00A369A1">
            <w:pPr>
              <w:jc w:val="both"/>
              <w:rPr>
                <w:rFonts w:ascii="Arial" w:hAnsi="Arial" w:cs="Arial"/>
                <w:sz w:val="20"/>
              </w:rPr>
            </w:pPr>
            <w:r w:rsidRPr="00806B7F">
              <w:rPr>
                <w:rFonts w:ascii="Arial" w:hAnsi="Arial" w:cs="Arial"/>
                <w:sz w:val="20"/>
              </w:rPr>
              <w:t>Equals Precept</w:t>
            </w:r>
          </w:p>
        </w:tc>
        <w:tc>
          <w:tcPr>
            <w:tcW w:w="1181" w:type="dxa"/>
          </w:tcPr>
          <w:p w14:paraId="4CCA1304" w14:textId="77777777" w:rsidR="007C5B19" w:rsidRPr="00806B7F" w:rsidRDefault="007C5B19" w:rsidP="00A369A1">
            <w:pPr>
              <w:jc w:val="center"/>
              <w:rPr>
                <w:rFonts w:ascii="Arial" w:hAnsi="Arial" w:cs="Arial"/>
                <w:sz w:val="20"/>
              </w:rPr>
            </w:pPr>
            <w:r w:rsidRPr="00806B7F">
              <w:rPr>
                <w:rFonts w:ascii="Arial" w:hAnsi="Arial" w:cs="Arial"/>
                <w:sz w:val="20"/>
              </w:rPr>
              <w:t>37.7</w:t>
            </w:r>
          </w:p>
        </w:tc>
      </w:tr>
      <w:tr w:rsidR="007C5B19" w:rsidRPr="00806B7F" w14:paraId="02E4923D" w14:textId="77777777" w:rsidTr="00A369A1">
        <w:tc>
          <w:tcPr>
            <w:tcW w:w="6124" w:type="dxa"/>
          </w:tcPr>
          <w:p w14:paraId="173DEF97" w14:textId="77777777" w:rsidR="007C5B19" w:rsidRPr="00806B7F" w:rsidRDefault="007C5B19" w:rsidP="00A369A1">
            <w:pPr>
              <w:jc w:val="both"/>
              <w:rPr>
                <w:rFonts w:ascii="Arial" w:hAnsi="Arial" w:cs="Arial"/>
                <w:sz w:val="20"/>
              </w:rPr>
            </w:pPr>
            <w:r w:rsidRPr="00806B7F">
              <w:rPr>
                <w:rFonts w:ascii="Arial" w:hAnsi="Arial" w:cs="Arial"/>
                <w:sz w:val="20"/>
              </w:rPr>
              <w:t>Estimated Number of Band D equivalent properties</w:t>
            </w:r>
          </w:p>
        </w:tc>
        <w:tc>
          <w:tcPr>
            <w:tcW w:w="1181" w:type="dxa"/>
            <w:vAlign w:val="bottom"/>
          </w:tcPr>
          <w:p w14:paraId="3E1D3E1C" w14:textId="77777777" w:rsidR="007C5B19" w:rsidRPr="00806B7F" w:rsidRDefault="007C5B19" w:rsidP="00A369A1">
            <w:pPr>
              <w:jc w:val="center"/>
              <w:rPr>
                <w:rFonts w:ascii="Arial" w:hAnsi="Arial" w:cs="Arial"/>
                <w:sz w:val="20"/>
              </w:rPr>
            </w:pPr>
            <w:r w:rsidRPr="00806B7F">
              <w:rPr>
                <w:rFonts w:ascii="Arial" w:hAnsi="Arial" w:cs="Arial"/>
                <w:sz w:val="20"/>
              </w:rPr>
              <w:t>457,949</w:t>
            </w:r>
          </w:p>
        </w:tc>
      </w:tr>
      <w:tr w:rsidR="007C5B19" w:rsidRPr="00806B7F" w14:paraId="7D147544" w14:textId="77777777" w:rsidTr="00A369A1">
        <w:tc>
          <w:tcPr>
            <w:tcW w:w="6124" w:type="dxa"/>
          </w:tcPr>
          <w:p w14:paraId="15CAEE60" w14:textId="77777777" w:rsidR="007C5B19" w:rsidRPr="00806B7F" w:rsidRDefault="007C5B19" w:rsidP="00A369A1">
            <w:pPr>
              <w:jc w:val="both"/>
              <w:rPr>
                <w:rFonts w:ascii="Arial" w:hAnsi="Arial" w:cs="Arial"/>
                <w:sz w:val="20"/>
              </w:rPr>
            </w:pPr>
            <w:r w:rsidRPr="00806B7F">
              <w:rPr>
                <w:rFonts w:ascii="Arial" w:hAnsi="Arial" w:cs="Arial"/>
                <w:sz w:val="20"/>
              </w:rPr>
              <w:t>Equates to Council Tax Band D Property</w:t>
            </w:r>
          </w:p>
        </w:tc>
        <w:tc>
          <w:tcPr>
            <w:tcW w:w="1181" w:type="dxa"/>
            <w:vAlign w:val="bottom"/>
          </w:tcPr>
          <w:p w14:paraId="2527A5E8" w14:textId="77777777" w:rsidR="007C5B19" w:rsidRPr="00806B7F" w:rsidRDefault="007C5B19" w:rsidP="00A369A1">
            <w:pPr>
              <w:jc w:val="center"/>
              <w:rPr>
                <w:rFonts w:ascii="Arial" w:hAnsi="Arial" w:cs="Arial"/>
                <w:sz w:val="20"/>
              </w:rPr>
            </w:pPr>
            <w:r w:rsidRPr="00806B7F">
              <w:rPr>
                <w:rFonts w:ascii="Arial" w:hAnsi="Arial" w:cs="Arial"/>
                <w:sz w:val="20"/>
              </w:rPr>
              <w:t>£82.27</w:t>
            </w:r>
          </w:p>
        </w:tc>
      </w:tr>
      <w:tr w:rsidR="007C5B19" w:rsidRPr="00806B7F" w14:paraId="501C091F" w14:textId="77777777" w:rsidTr="00A369A1">
        <w:tc>
          <w:tcPr>
            <w:tcW w:w="6124" w:type="dxa"/>
          </w:tcPr>
          <w:p w14:paraId="14E3B68E" w14:textId="77777777" w:rsidR="007C5B19" w:rsidRPr="00806B7F" w:rsidRDefault="007C5B19" w:rsidP="00A369A1">
            <w:pPr>
              <w:jc w:val="both"/>
              <w:rPr>
                <w:rFonts w:ascii="Arial" w:hAnsi="Arial" w:cs="Arial"/>
                <w:sz w:val="20"/>
              </w:rPr>
            </w:pPr>
            <w:r w:rsidRPr="00806B7F">
              <w:rPr>
                <w:rFonts w:ascii="Arial" w:hAnsi="Arial" w:cs="Arial"/>
                <w:sz w:val="20"/>
              </w:rPr>
              <w:t>Increase in Council Tax</w:t>
            </w:r>
          </w:p>
        </w:tc>
        <w:tc>
          <w:tcPr>
            <w:tcW w:w="1181" w:type="dxa"/>
            <w:vAlign w:val="bottom"/>
          </w:tcPr>
          <w:p w14:paraId="7EDF1B02" w14:textId="77777777" w:rsidR="007C5B19" w:rsidRPr="00806B7F" w:rsidRDefault="007C5B19" w:rsidP="00A369A1">
            <w:pPr>
              <w:jc w:val="center"/>
              <w:rPr>
                <w:rFonts w:ascii="Arial" w:hAnsi="Arial" w:cs="Arial"/>
                <w:bCs/>
                <w:sz w:val="20"/>
              </w:rPr>
            </w:pPr>
            <w:r w:rsidRPr="00806B7F">
              <w:rPr>
                <w:rFonts w:ascii="Arial" w:hAnsi="Arial" w:cs="Arial"/>
                <w:sz w:val="20"/>
              </w:rPr>
              <w:t>£5.00</w:t>
            </w:r>
          </w:p>
        </w:tc>
      </w:tr>
    </w:tbl>
    <w:p w14:paraId="5E96CB98" w14:textId="77777777" w:rsidR="007C5B19" w:rsidRPr="00806B7F" w:rsidRDefault="007C5B19" w:rsidP="007C5B19">
      <w:pPr>
        <w:jc w:val="both"/>
        <w:rPr>
          <w:rFonts w:ascii="Arial" w:hAnsi="Arial" w:cs="Arial"/>
          <w:sz w:val="20"/>
        </w:rPr>
      </w:pPr>
    </w:p>
    <w:p w14:paraId="5A0D5E2F" w14:textId="77777777" w:rsidR="007C5B19" w:rsidRPr="00806B7F" w:rsidRDefault="007C5B19" w:rsidP="007C5B19">
      <w:pPr>
        <w:jc w:val="both"/>
        <w:rPr>
          <w:rFonts w:ascii="Arial" w:hAnsi="Arial" w:cs="Arial"/>
          <w:sz w:val="20"/>
        </w:rPr>
      </w:pPr>
      <w:r w:rsidRPr="00806B7F">
        <w:rPr>
          <w:rFonts w:ascii="Arial" w:hAnsi="Arial" w:cs="Arial"/>
          <w:sz w:val="20"/>
        </w:rPr>
        <w:t xml:space="preserve">The increase of £5.00 per annum equating to 10p per week for an average band D property. </w:t>
      </w:r>
    </w:p>
    <w:p w14:paraId="4DE3145B" w14:textId="77777777" w:rsidR="007C5B19" w:rsidRPr="00806B7F" w:rsidRDefault="007C5B19" w:rsidP="007C5B19">
      <w:pPr>
        <w:jc w:val="both"/>
        <w:rPr>
          <w:rFonts w:ascii="Arial" w:hAnsi="Arial" w:cs="Arial"/>
          <w:sz w:val="20"/>
        </w:rPr>
      </w:pPr>
    </w:p>
    <w:p w14:paraId="1B90B463" w14:textId="77777777" w:rsidR="007C5B19" w:rsidRPr="00806B7F" w:rsidRDefault="007C5B19" w:rsidP="007C5B19">
      <w:pPr>
        <w:jc w:val="both"/>
        <w:rPr>
          <w:rFonts w:ascii="Arial" w:hAnsi="Arial" w:cs="Arial"/>
          <w:sz w:val="20"/>
        </w:rPr>
      </w:pPr>
      <w:r w:rsidRPr="00806B7F">
        <w:rPr>
          <w:rFonts w:ascii="Arial" w:hAnsi="Arial" w:cs="Arial"/>
          <w:sz w:val="20"/>
        </w:rPr>
        <w:t>It is also worth highlighting that Fire accounts for a very small proportion of the total council tax bill, with the 2022/23 average band D bill in Lancashire being  £2,075, of which ‘Fire’ accounts for £77, less than 4%</w:t>
      </w:r>
    </w:p>
    <w:p w14:paraId="1964FED4" w14:textId="77777777" w:rsidR="007C5B19" w:rsidRPr="00806B7F" w:rsidRDefault="007C5B19" w:rsidP="007C5B19">
      <w:pPr>
        <w:jc w:val="both"/>
        <w:rPr>
          <w:rFonts w:ascii="Arial" w:hAnsi="Arial" w:cs="Arial"/>
          <w:sz w:val="20"/>
        </w:rPr>
      </w:pPr>
    </w:p>
    <w:p w14:paraId="5290BBB8" w14:textId="77777777" w:rsidR="007C5B19" w:rsidRPr="00806B7F" w:rsidRDefault="007C5B19" w:rsidP="007C5B19">
      <w:pPr>
        <w:keepNext/>
        <w:spacing w:after="200"/>
        <w:rPr>
          <w:rFonts w:ascii="Arial" w:hAnsi="Arial" w:cs="Arial"/>
          <w:sz w:val="20"/>
        </w:rPr>
      </w:pPr>
      <w:r w:rsidRPr="00806B7F">
        <w:rPr>
          <w:rFonts w:ascii="Arial" w:eastAsia="Calibri" w:hAnsi="Arial" w:cs="Arial"/>
          <w:i/>
          <w:iCs/>
          <w:color w:val="44546A"/>
          <w:sz w:val="20"/>
          <w:lang w:eastAsia="en-US"/>
        </w:rPr>
        <w:t xml:space="preserve">Graph 3 </w:t>
      </w:r>
      <w:r w:rsidRPr="00806B7F">
        <w:rPr>
          <w:rFonts w:ascii="Arial" w:eastAsia="Calibri" w:hAnsi="Arial" w:cs="Arial"/>
          <w:i/>
          <w:iCs/>
          <w:color w:val="44546A"/>
          <w:sz w:val="20"/>
          <w:lang w:val="en-US" w:eastAsia="en-US"/>
        </w:rPr>
        <w:t>Council Tax in Lancashire 2022/23</w:t>
      </w:r>
    </w:p>
    <w:p w14:paraId="157E5E3C" w14:textId="77777777" w:rsidR="007C5B19" w:rsidRPr="00806B7F" w:rsidRDefault="007C5B19" w:rsidP="007C5B19">
      <w:pPr>
        <w:jc w:val="both"/>
        <w:rPr>
          <w:rFonts w:ascii="Arial" w:hAnsi="Arial" w:cs="Arial"/>
          <w:sz w:val="20"/>
        </w:rPr>
      </w:pPr>
      <w:r w:rsidRPr="00806B7F">
        <w:rPr>
          <w:rFonts w:ascii="Arial" w:hAnsi="Arial" w:cs="Arial"/>
          <w:noProof/>
          <w:sz w:val="20"/>
        </w:rPr>
        <w:drawing>
          <wp:inline distT="0" distB="0" distL="0" distR="0" wp14:anchorId="77A5CC8E" wp14:editId="2EA564EA">
            <wp:extent cx="4846955" cy="2938780"/>
            <wp:effectExtent l="0" t="0" r="0" b="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955" cy="2938780"/>
                    </a:xfrm>
                    <a:prstGeom prst="rect">
                      <a:avLst/>
                    </a:prstGeom>
                    <a:noFill/>
                  </pic:spPr>
                </pic:pic>
              </a:graphicData>
            </a:graphic>
          </wp:inline>
        </w:drawing>
      </w:r>
    </w:p>
    <w:p w14:paraId="2BF1D5DA" w14:textId="77777777" w:rsidR="007C5B19" w:rsidRPr="00806B7F" w:rsidRDefault="007C5B19" w:rsidP="007C5B19">
      <w:pPr>
        <w:jc w:val="both"/>
        <w:rPr>
          <w:rFonts w:ascii="Arial" w:hAnsi="Arial" w:cs="Arial"/>
          <w:sz w:val="20"/>
        </w:rPr>
      </w:pPr>
    </w:p>
    <w:p w14:paraId="0CE48A99" w14:textId="77777777" w:rsidR="007C5B19" w:rsidRPr="00806B7F" w:rsidRDefault="007C5B19" w:rsidP="007C5B19">
      <w:pPr>
        <w:jc w:val="both"/>
        <w:rPr>
          <w:rFonts w:ascii="Arial" w:hAnsi="Arial" w:cs="Arial"/>
          <w:b/>
          <w:sz w:val="20"/>
        </w:rPr>
      </w:pPr>
    </w:p>
    <w:p w14:paraId="36A5B712" w14:textId="77777777" w:rsidR="007C5B19" w:rsidRPr="00806B7F" w:rsidRDefault="007C5B19" w:rsidP="007C5B19">
      <w:pPr>
        <w:rPr>
          <w:rFonts w:ascii="Arial" w:hAnsi="Arial" w:cs="Arial"/>
          <w:b/>
          <w:sz w:val="20"/>
        </w:rPr>
      </w:pPr>
      <w:r w:rsidRPr="00806B7F">
        <w:rPr>
          <w:rFonts w:ascii="Arial" w:hAnsi="Arial" w:cs="Arial"/>
          <w:b/>
          <w:sz w:val="20"/>
        </w:rPr>
        <w:t>Summary and Conclusions</w:t>
      </w:r>
    </w:p>
    <w:p w14:paraId="0E6CFCD1" w14:textId="77777777" w:rsidR="007C5B19" w:rsidRPr="00806B7F" w:rsidRDefault="007C5B19" w:rsidP="007C5B19">
      <w:pPr>
        <w:rPr>
          <w:rFonts w:ascii="Arial" w:hAnsi="Arial" w:cs="Arial"/>
          <w:sz w:val="20"/>
        </w:rPr>
      </w:pPr>
    </w:p>
    <w:p w14:paraId="062B9826" w14:textId="77777777" w:rsidR="007C5B19" w:rsidRPr="00806B7F" w:rsidRDefault="007C5B19" w:rsidP="00BF6550">
      <w:pPr>
        <w:jc w:val="both"/>
        <w:rPr>
          <w:rFonts w:ascii="Arial" w:hAnsi="Arial" w:cs="Arial"/>
          <w:sz w:val="20"/>
        </w:rPr>
      </w:pPr>
      <w:r w:rsidRPr="00806B7F">
        <w:rPr>
          <w:rFonts w:ascii="Arial" w:hAnsi="Arial" w:cs="Arial"/>
          <w:sz w:val="20"/>
        </w:rPr>
        <w:t>The lack of a multi-year settlement makes longer term planning more difficult as there can be no certainty around future funding forecasts. Offsetting this is the opportunity provided by the £5 council tax flexibility allowed this year</w:t>
      </w:r>
    </w:p>
    <w:p w14:paraId="5178A273" w14:textId="77777777" w:rsidR="007C5B19" w:rsidRPr="00806B7F" w:rsidRDefault="007C5B19" w:rsidP="00BF6550">
      <w:pPr>
        <w:jc w:val="both"/>
        <w:rPr>
          <w:rFonts w:ascii="Arial" w:hAnsi="Arial" w:cs="Arial"/>
          <w:sz w:val="20"/>
        </w:rPr>
      </w:pPr>
    </w:p>
    <w:p w14:paraId="1BFCFBE8" w14:textId="77777777" w:rsidR="007C5B19" w:rsidRPr="00806B7F" w:rsidRDefault="007C5B19" w:rsidP="00BF6550">
      <w:pPr>
        <w:jc w:val="both"/>
        <w:rPr>
          <w:rFonts w:ascii="Arial" w:hAnsi="Arial" w:cs="Arial"/>
          <w:sz w:val="20"/>
        </w:rPr>
      </w:pPr>
      <w:r w:rsidRPr="00806B7F">
        <w:rPr>
          <w:rFonts w:ascii="Arial" w:hAnsi="Arial" w:cs="Arial"/>
          <w:sz w:val="20"/>
        </w:rPr>
        <w:t xml:space="preserve">Raising council tax by the maximum permissible still only increases the overall council tax bill by £5 but generates £2.3m of funding for the Authority. It is proposed to utilise a combination of drawdown from reserves and further savings to bridge funding gap in 23/24 and beyond, the extent of this requirement being </w:t>
      </w:r>
      <w:proofErr w:type="spellStart"/>
      <w:r w:rsidRPr="00806B7F">
        <w:rPr>
          <w:rFonts w:ascii="Arial" w:hAnsi="Arial" w:cs="Arial"/>
          <w:sz w:val="20"/>
        </w:rPr>
        <w:t>dependant</w:t>
      </w:r>
      <w:proofErr w:type="spellEnd"/>
      <w:r w:rsidRPr="00806B7F">
        <w:rPr>
          <w:rFonts w:ascii="Arial" w:hAnsi="Arial" w:cs="Arial"/>
          <w:sz w:val="20"/>
        </w:rPr>
        <w:t xml:space="preserve"> upon final pay award agreement and future funding settlements.</w:t>
      </w:r>
    </w:p>
    <w:p w14:paraId="5358BCDC" w14:textId="77777777" w:rsidR="007C5B19" w:rsidRPr="00806B7F" w:rsidRDefault="007C5B19" w:rsidP="00BF6550">
      <w:pPr>
        <w:jc w:val="both"/>
        <w:rPr>
          <w:rFonts w:ascii="Arial" w:hAnsi="Arial" w:cs="Arial"/>
          <w:sz w:val="20"/>
        </w:rPr>
      </w:pPr>
    </w:p>
    <w:p w14:paraId="0E522C00" w14:textId="77777777" w:rsidR="007C5B19" w:rsidRPr="00806B7F" w:rsidRDefault="007C5B19" w:rsidP="00BF6550">
      <w:pPr>
        <w:jc w:val="both"/>
        <w:rPr>
          <w:rFonts w:ascii="Arial" w:hAnsi="Arial" w:cs="Arial"/>
          <w:sz w:val="20"/>
        </w:rPr>
      </w:pPr>
      <w:r w:rsidRPr="00806B7F">
        <w:rPr>
          <w:rFonts w:ascii="Arial" w:hAnsi="Arial" w:cs="Arial"/>
          <w:sz w:val="20"/>
        </w:rPr>
        <w:t xml:space="preserve">As proposed the council tax increase/budget gives greater long term funding certainty which will form the basis of our future investment requirements (as reflected in the </w:t>
      </w:r>
      <w:proofErr w:type="gramStart"/>
      <w:r w:rsidRPr="00806B7F">
        <w:rPr>
          <w:rFonts w:ascii="Arial" w:hAnsi="Arial" w:cs="Arial"/>
          <w:sz w:val="20"/>
        </w:rPr>
        <w:t>Medium Term</w:t>
      </w:r>
      <w:proofErr w:type="gramEnd"/>
      <w:r w:rsidRPr="00806B7F">
        <w:rPr>
          <w:rFonts w:ascii="Arial" w:hAnsi="Arial" w:cs="Arial"/>
          <w:sz w:val="20"/>
        </w:rPr>
        <w:t xml:space="preserve"> Financial Strategy and the Capital Programme), which are essential if we are to hit our ‘road to outstanding’ ambition and be the best equipped, best trained and best accommodated Service.  </w:t>
      </w:r>
    </w:p>
    <w:p w14:paraId="7BFD0B14" w14:textId="77777777" w:rsidR="00DB42BE" w:rsidRPr="00806B7F" w:rsidRDefault="00DB42BE" w:rsidP="00BF6550">
      <w:pPr>
        <w:jc w:val="both"/>
        <w:rPr>
          <w:rFonts w:ascii="Arial" w:hAnsi="Arial" w:cs="Arial"/>
          <w:b/>
          <w:sz w:val="20"/>
        </w:rPr>
      </w:pPr>
    </w:p>
    <w:p w14:paraId="1FF40FF7" w14:textId="5B1B2A9D" w:rsidR="00060929" w:rsidRPr="00806B7F" w:rsidRDefault="00060929" w:rsidP="00BF6550">
      <w:pPr>
        <w:jc w:val="both"/>
        <w:rPr>
          <w:rFonts w:ascii="Arial" w:hAnsi="Arial" w:cs="Arial"/>
          <w:sz w:val="20"/>
        </w:rPr>
      </w:pPr>
      <w:r w:rsidRPr="00806B7F">
        <w:rPr>
          <w:rFonts w:ascii="Arial" w:hAnsi="Arial" w:cs="Arial"/>
          <w:sz w:val="20"/>
        </w:rPr>
        <w:t xml:space="preserve">Whilst the council tax is expressed as a Band D equivalent figure, there are </w:t>
      </w:r>
      <w:proofErr w:type="gramStart"/>
      <w:r w:rsidRPr="00806B7F">
        <w:rPr>
          <w:rFonts w:ascii="Arial" w:hAnsi="Arial" w:cs="Arial"/>
          <w:sz w:val="20"/>
        </w:rPr>
        <w:t>actually 8</w:t>
      </w:r>
      <w:proofErr w:type="gramEnd"/>
      <w:r w:rsidRPr="00806B7F">
        <w:rPr>
          <w:rFonts w:ascii="Arial" w:hAnsi="Arial" w:cs="Arial"/>
          <w:sz w:val="20"/>
        </w:rPr>
        <w:t xml:space="preserve"> property bandings, each of which has a council tax set in proportion to the band D figure (</w:t>
      </w:r>
      <w:r w:rsidR="00282615" w:rsidRPr="00806B7F">
        <w:rPr>
          <w:rFonts w:ascii="Arial" w:hAnsi="Arial" w:cs="Arial"/>
          <w:sz w:val="20"/>
        </w:rPr>
        <w:t>i.e.</w:t>
      </w:r>
      <w:r w:rsidRPr="00806B7F">
        <w:rPr>
          <w:rFonts w:ascii="Arial" w:hAnsi="Arial" w:cs="Arial"/>
          <w:sz w:val="20"/>
        </w:rPr>
        <w:t xml:space="preserve"> a band A property is 2/3rds that of a band D charge, and band H is twice that of a band D charge).  The individual Council Tax bandings are set out below: -</w:t>
      </w:r>
    </w:p>
    <w:p w14:paraId="4976CBA0" w14:textId="416FD64E" w:rsidR="00DB42BE" w:rsidRDefault="00DB42BE" w:rsidP="00BF6550">
      <w:pPr>
        <w:keepNext/>
        <w:spacing w:after="200"/>
        <w:ind w:left="720"/>
        <w:contextualSpacing/>
        <w:jc w:val="both"/>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20 Council Tax by Band</w:t>
      </w:r>
    </w:p>
    <w:p w14:paraId="7A7D32E4" w14:textId="77777777" w:rsidR="00DB5DCF" w:rsidRPr="00806B7F" w:rsidRDefault="00DB5DCF" w:rsidP="00DB42BE">
      <w:pPr>
        <w:keepNext/>
        <w:spacing w:after="200"/>
        <w:ind w:left="720"/>
        <w:contextualSpacing/>
        <w:rPr>
          <w:rFonts w:ascii="Arial" w:eastAsia="Calibri" w:hAnsi="Arial" w:cs="Arial"/>
          <w:i/>
          <w:iCs/>
          <w:color w:val="44546A"/>
          <w:sz w:val="20"/>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126"/>
      </w:tblGrid>
      <w:tr w:rsidR="007C5B19" w:rsidRPr="00806B7F" w14:paraId="1EC0153D" w14:textId="77777777" w:rsidTr="00DB5DCF">
        <w:trPr>
          <w:trHeight w:val="276"/>
        </w:trPr>
        <w:tc>
          <w:tcPr>
            <w:tcW w:w="2977" w:type="dxa"/>
          </w:tcPr>
          <w:p w14:paraId="6D6E85B3" w14:textId="77777777" w:rsidR="007C5B19" w:rsidRPr="00806B7F" w:rsidRDefault="007C5B19" w:rsidP="007C5B19">
            <w:pPr>
              <w:jc w:val="both"/>
              <w:rPr>
                <w:rFonts w:ascii="Arial" w:hAnsi="Arial" w:cs="Arial"/>
                <w:sz w:val="20"/>
              </w:rPr>
            </w:pPr>
            <w:r w:rsidRPr="00806B7F">
              <w:rPr>
                <w:rFonts w:ascii="Arial" w:hAnsi="Arial" w:cs="Arial"/>
                <w:sz w:val="20"/>
              </w:rPr>
              <w:t>Band A</w:t>
            </w:r>
          </w:p>
        </w:tc>
        <w:tc>
          <w:tcPr>
            <w:tcW w:w="2126" w:type="dxa"/>
          </w:tcPr>
          <w:p w14:paraId="3D770EC5" w14:textId="11C1B354" w:rsidR="007C5B19" w:rsidRPr="00806B7F" w:rsidRDefault="007C5B19" w:rsidP="007C5B19">
            <w:pPr>
              <w:jc w:val="center"/>
              <w:rPr>
                <w:rFonts w:ascii="Arial" w:hAnsi="Arial" w:cs="Arial"/>
                <w:sz w:val="20"/>
                <w:highlight w:val="yellow"/>
              </w:rPr>
            </w:pPr>
            <w:r w:rsidRPr="00806B7F">
              <w:rPr>
                <w:rFonts w:ascii="Arial" w:hAnsi="Arial" w:cs="Arial"/>
                <w:sz w:val="20"/>
              </w:rPr>
              <w:t>£54.85</w:t>
            </w:r>
          </w:p>
        </w:tc>
      </w:tr>
      <w:tr w:rsidR="007C5B19" w:rsidRPr="00806B7F" w14:paraId="7021756F" w14:textId="77777777" w:rsidTr="00DB5DCF">
        <w:trPr>
          <w:trHeight w:val="276"/>
        </w:trPr>
        <w:tc>
          <w:tcPr>
            <w:tcW w:w="2977" w:type="dxa"/>
          </w:tcPr>
          <w:p w14:paraId="49FB7E68" w14:textId="77777777" w:rsidR="007C5B19" w:rsidRPr="00806B7F" w:rsidRDefault="007C5B19" w:rsidP="007C5B19">
            <w:pPr>
              <w:jc w:val="both"/>
              <w:rPr>
                <w:rFonts w:ascii="Arial" w:hAnsi="Arial" w:cs="Arial"/>
                <w:sz w:val="20"/>
              </w:rPr>
            </w:pPr>
            <w:r w:rsidRPr="00806B7F">
              <w:rPr>
                <w:rFonts w:ascii="Arial" w:hAnsi="Arial" w:cs="Arial"/>
                <w:sz w:val="20"/>
              </w:rPr>
              <w:t>Band B</w:t>
            </w:r>
          </w:p>
        </w:tc>
        <w:tc>
          <w:tcPr>
            <w:tcW w:w="2126" w:type="dxa"/>
          </w:tcPr>
          <w:p w14:paraId="5B87FE2E" w14:textId="4F094680" w:rsidR="007C5B19" w:rsidRPr="00806B7F" w:rsidRDefault="007C5B19" w:rsidP="007C5B19">
            <w:pPr>
              <w:jc w:val="center"/>
              <w:rPr>
                <w:rFonts w:ascii="Arial" w:hAnsi="Arial" w:cs="Arial"/>
                <w:sz w:val="20"/>
                <w:highlight w:val="yellow"/>
              </w:rPr>
            </w:pPr>
            <w:r w:rsidRPr="00806B7F">
              <w:rPr>
                <w:rFonts w:ascii="Arial" w:hAnsi="Arial" w:cs="Arial"/>
                <w:sz w:val="20"/>
              </w:rPr>
              <w:t>£63.99</w:t>
            </w:r>
          </w:p>
        </w:tc>
      </w:tr>
      <w:tr w:rsidR="007C5B19" w:rsidRPr="00806B7F" w14:paraId="30515793" w14:textId="77777777" w:rsidTr="00DB5DCF">
        <w:trPr>
          <w:trHeight w:val="276"/>
        </w:trPr>
        <w:tc>
          <w:tcPr>
            <w:tcW w:w="2977" w:type="dxa"/>
          </w:tcPr>
          <w:p w14:paraId="4EA30E65" w14:textId="77777777" w:rsidR="007C5B19" w:rsidRPr="00806B7F" w:rsidRDefault="007C5B19" w:rsidP="007C5B19">
            <w:pPr>
              <w:jc w:val="both"/>
              <w:rPr>
                <w:rFonts w:ascii="Arial" w:hAnsi="Arial" w:cs="Arial"/>
                <w:sz w:val="20"/>
              </w:rPr>
            </w:pPr>
            <w:r w:rsidRPr="00806B7F">
              <w:rPr>
                <w:rFonts w:ascii="Arial" w:hAnsi="Arial" w:cs="Arial"/>
                <w:sz w:val="20"/>
              </w:rPr>
              <w:t>Band C</w:t>
            </w:r>
          </w:p>
        </w:tc>
        <w:tc>
          <w:tcPr>
            <w:tcW w:w="2126" w:type="dxa"/>
          </w:tcPr>
          <w:p w14:paraId="26022492" w14:textId="31E2840D" w:rsidR="007C5B19" w:rsidRPr="00806B7F" w:rsidRDefault="007C5B19" w:rsidP="007C5B19">
            <w:pPr>
              <w:jc w:val="center"/>
              <w:rPr>
                <w:rFonts w:ascii="Arial" w:hAnsi="Arial" w:cs="Arial"/>
                <w:sz w:val="20"/>
                <w:highlight w:val="yellow"/>
              </w:rPr>
            </w:pPr>
            <w:r w:rsidRPr="00806B7F">
              <w:rPr>
                <w:rFonts w:ascii="Arial" w:hAnsi="Arial" w:cs="Arial"/>
                <w:sz w:val="20"/>
              </w:rPr>
              <w:t>£73.13</w:t>
            </w:r>
          </w:p>
        </w:tc>
      </w:tr>
      <w:tr w:rsidR="007C5B19" w:rsidRPr="00806B7F" w14:paraId="2B3820BD" w14:textId="77777777" w:rsidTr="00DB5DCF">
        <w:trPr>
          <w:trHeight w:val="276"/>
        </w:trPr>
        <w:tc>
          <w:tcPr>
            <w:tcW w:w="2977" w:type="dxa"/>
          </w:tcPr>
          <w:p w14:paraId="3B9975F3" w14:textId="77777777" w:rsidR="007C5B19" w:rsidRPr="00806B7F" w:rsidRDefault="007C5B19" w:rsidP="007C5B19">
            <w:pPr>
              <w:jc w:val="both"/>
              <w:rPr>
                <w:rFonts w:ascii="Arial" w:hAnsi="Arial" w:cs="Arial"/>
                <w:sz w:val="20"/>
              </w:rPr>
            </w:pPr>
            <w:r w:rsidRPr="00806B7F">
              <w:rPr>
                <w:rFonts w:ascii="Arial" w:hAnsi="Arial" w:cs="Arial"/>
                <w:sz w:val="20"/>
              </w:rPr>
              <w:t>Band D</w:t>
            </w:r>
          </w:p>
        </w:tc>
        <w:tc>
          <w:tcPr>
            <w:tcW w:w="2126" w:type="dxa"/>
          </w:tcPr>
          <w:p w14:paraId="613B1E01" w14:textId="59F0C19C" w:rsidR="007C5B19" w:rsidRPr="00806B7F" w:rsidRDefault="007C5B19" w:rsidP="007C5B19">
            <w:pPr>
              <w:jc w:val="center"/>
              <w:rPr>
                <w:rFonts w:ascii="Arial" w:hAnsi="Arial" w:cs="Arial"/>
                <w:sz w:val="20"/>
                <w:highlight w:val="yellow"/>
              </w:rPr>
            </w:pPr>
            <w:r w:rsidRPr="00806B7F">
              <w:rPr>
                <w:rFonts w:ascii="Arial" w:hAnsi="Arial" w:cs="Arial"/>
                <w:sz w:val="20"/>
              </w:rPr>
              <w:t>£82.27</w:t>
            </w:r>
          </w:p>
        </w:tc>
      </w:tr>
      <w:tr w:rsidR="007C5B19" w:rsidRPr="00806B7F" w14:paraId="30478E43" w14:textId="77777777" w:rsidTr="00DB5DCF">
        <w:trPr>
          <w:trHeight w:val="276"/>
        </w:trPr>
        <w:tc>
          <w:tcPr>
            <w:tcW w:w="2977" w:type="dxa"/>
          </w:tcPr>
          <w:p w14:paraId="234CC7C8" w14:textId="77777777" w:rsidR="007C5B19" w:rsidRPr="00806B7F" w:rsidRDefault="007C5B19" w:rsidP="007C5B19">
            <w:pPr>
              <w:jc w:val="both"/>
              <w:rPr>
                <w:rFonts w:ascii="Arial" w:hAnsi="Arial" w:cs="Arial"/>
                <w:sz w:val="20"/>
              </w:rPr>
            </w:pPr>
            <w:r w:rsidRPr="00806B7F">
              <w:rPr>
                <w:rFonts w:ascii="Arial" w:hAnsi="Arial" w:cs="Arial"/>
                <w:sz w:val="20"/>
              </w:rPr>
              <w:t>Band E</w:t>
            </w:r>
          </w:p>
        </w:tc>
        <w:tc>
          <w:tcPr>
            <w:tcW w:w="2126" w:type="dxa"/>
          </w:tcPr>
          <w:p w14:paraId="3B416BDB" w14:textId="0440642E" w:rsidR="007C5B19" w:rsidRPr="00806B7F" w:rsidRDefault="007C5B19" w:rsidP="007C5B19">
            <w:pPr>
              <w:jc w:val="center"/>
              <w:rPr>
                <w:rFonts w:ascii="Arial" w:hAnsi="Arial" w:cs="Arial"/>
                <w:sz w:val="20"/>
                <w:highlight w:val="yellow"/>
              </w:rPr>
            </w:pPr>
            <w:r w:rsidRPr="00806B7F">
              <w:rPr>
                <w:rFonts w:ascii="Arial" w:hAnsi="Arial" w:cs="Arial"/>
                <w:sz w:val="20"/>
              </w:rPr>
              <w:t>£100.55</w:t>
            </w:r>
          </w:p>
        </w:tc>
      </w:tr>
      <w:tr w:rsidR="007C5B19" w:rsidRPr="00806B7F" w14:paraId="1F78D067" w14:textId="77777777" w:rsidTr="00DB5DCF">
        <w:trPr>
          <w:trHeight w:val="276"/>
        </w:trPr>
        <w:tc>
          <w:tcPr>
            <w:tcW w:w="2977" w:type="dxa"/>
          </w:tcPr>
          <w:p w14:paraId="44297D53" w14:textId="77777777" w:rsidR="007C5B19" w:rsidRPr="00806B7F" w:rsidRDefault="007C5B19" w:rsidP="007C5B19">
            <w:pPr>
              <w:jc w:val="both"/>
              <w:rPr>
                <w:rFonts w:ascii="Arial" w:hAnsi="Arial" w:cs="Arial"/>
                <w:sz w:val="20"/>
              </w:rPr>
            </w:pPr>
            <w:r w:rsidRPr="00806B7F">
              <w:rPr>
                <w:rFonts w:ascii="Arial" w:hAnsi="Arial" w:cs="Arial"/>
                <w:sz w:val="20"/>
              </w:rPr>
              <w:t>Band F</w:t>
            </w:r>
          </w:p>
        </w:tc>
        <w:tc>
          <w:tcPr>
            <w:tcW w:w="2126" w:type="dxa"/>
          </w:tcPr>
          <w:p w14:paraId="69CD3896" w14:textId="354FD868" w:rsidR="007C5B19" w:rsidRPr="00806B7F" w:rsidRDefault="007C5B19" w:rsidP="007C5B19">
            <w:pPr>
              <w:jc w:val="center"/>
              <w:rPr>
                <w:rFonts w:ascii="Arial" w:hAnsi="Arial" w:cs="Arial"/>
                <w:sz w:val="20"/>
                <w:highlight w:val="yellow"/>
              </w:rPr>
            </w:pPr>
            <w:r w:rsidRPr="00806B7F">
              <w:rPr>
                <w:rFonts w:ascii="Arial" w:hAnsi="Arial" w:cs="Arial"/>
                <w:sz w:val="20"/>
              </w:rPr>
              <w:t>£118.83</w:t>
            </w:r>
          </w:p>
        </w:tc>
      </w:tr>
      <w:tr w:rsidR="007C5B19" w:rsidRPr="00806B7F" w14:paraId="0786D3BD" w14:textId="77777777" w:rsidTr="00DB5DCF">
        <w:trPr>
          <w:trHeight w:val="276"/>
        </w:trPr>
        <w:tc>
          <w:tcPr>
            <w:tcW w:w="2977" w:type="dxa"/>
          </w:tcPr>
          <w:p w14:paraId="78DFB703" w14:textId="77777777" w:rsidR="007C5B19" w:rsidRPr="00806B7F" w:rsidRDefault="007C5B19" w:rsidP="007C5B19">
            <w:pPr>
              <w:jc w:val="both"/>
              <w:rPr>
                <w:rFonts w:ascii="Arial" w:hAnsi="Arial" w:cs="Arial"/>
                <w:sz w:val="20"/>
              </w:rPr>
            </w:pPr>
            <w:r w:rsidRPr="00806B7F">
              <w:rPr>
                <w:rFonts w:ascii="Arial" w:hAnsi="Arial" w:cs="Arial"/>
                <w:sz w:val="20"/>
              </w:rPr>
              <w:t>Band G</w:t>
            </w:r>
          </w:p>
        </w:tc>
        <w:tc>
          <w:tcPr>
            <w:tcW w:w="2126" w:type="dxa"/>
          </w:tcPr>
          <w:p w14:paraId="150AA615" w14:textId="532DE140" w:rsidR="007C5B19" w:rsidRPr="00806B7F" w:rsidRDefault="007C5B19" w:rsidP="007C5B19">
            <w:pPr>
              <w:jc w:val="center"/>
              <w:rPr>
                <w:rFonts w:ascii="Arial" w:hAnsi="Arial" w:cs="Arial"/>
                <w:sz w:val="20"/>
                <w:highlight w:val="yellow"/>
              </w:rPr>
            </w:pPr>
            <w:r w:rsidRPr="00806B7F">
              <w:rPr>
                <w:rFonts w:ascii="Arial" w:hAnsi="Arial" w:cs="Arial"/>
                <w:sz w:val="20"/>
              </w:rPr>
              <w:t>£137.12</w:t>
            </w:r>
          </w:p>
        </w:tc>
      </w:tr>
      <w:tr w:rsidR="007C5B19" w:rsidRPr="00806B7F" w14:paraId="59BF6F10" w14:textId="77777777" w:rsidTr="00DB5DCF">
        <w:trPr>
          <w:trHeight w:val="276"/>
        </w:trPr>
        <w:tc>
          <w:tcPr>
            <w:tcW w:w="2977" w:type="dxa"/>
          </w:tcPr>
          <w:p w14:paraId="5A75BD18" w14:textId="77777777" w:rsidR="007C5B19" w:rsidRPr="00806B7F" w:rsidRDefault="007C5B19" w:rsidP="007C5B19">
            <w:pPr>
              <w:jc w:val="both"/>
              <w:rPr>
                <w:rFonts w:ascii="Arial" w:hAnsi="Arial" w:cs="Arial"/>
                <w:sz w:val="20"/>
              </w:rPr>
            </w:pPr>
            <w:r w:rsidRPr="00806B7F">
              <w:rPr>
                <w:rFonts w:ascii="Arial" w:hAnsi="Arial" w:cs="Arial"/>
                <w:sz w:val="20"/>
              </w:rPr>
              <w:t>Band H</w:t>
            </w:r>
          </w:p>
        </w:tc>
        <w:tc>
          <w:tcPr>
            <w:tcW w:w="2126" w:type="dxa"/>
          </w:tcPr>
          <w:p w14:paraId="09F265F2" w14:textId="22273B6E" w:rsidR="007C5B19" w:rsidRPr="00806B7F" w:rsidRDefault="007C5B19" w:rsidP="007C5B19">
            <w:pPr>
              <w:jc w:val="center"/>
              <w:rPr>
                <w:rFonts w:ascii="Arial" w:hAnsi="Arial" w:cs="Arial"/>
                <w:sz w:val="20"/>
                <w:highlight w:val="yellow"/>
              </w:rPr>
            </w:pPr>
            <w:r w:rsidRPr="00806B7F">
              <w:rPr>
                <w:rFonts w:ascii="Arial" w:hAnsi="Arial" w:cs="Arial"/>
                <w:sz w:val="20"/>
              </w:rPr>
              <w:t>£164.54</w:t>
            </w:r>
          </w:p>
        </w:tc>
      </w:tr>
    </w:tbl>
    <w:p w14:paraId="71154C39" w14:textId="375BD408" w:rsidR="0077091C" w:rsidRPr="00806B7F" w:rsidRDefault="0077091C" w:rsidP="00060929">
      <w:pPr>
        <w:jc w:val="both"/>
        <w:rPr>
          <w:rFonts w:ascii="Arial" w:hAnsi="Arial" w:cs="Arial"/>
          <w:sz w:val="20"/>
        </w:rPr>
      </w:pPr>
    </w:p>
    <w:p w14:paraId="7CCC3ABC" w14:textId="2F08D3A0" w:rsidR="00060929" w:rsidRPr="00806B7F" w:rsidRDefault="00060929" w:rsidP="00BF6550">
      <w:pPr>
        <w:jc w:val="both"/>
        <w:rPr>
          <w:rFonts w:ascii="Arial" w:hAnsi="Arial" w:cs="Arial"/>
          <w:sz w:val="20"/>
        </w:rPr>
      </w:pPr>
      <w:r w:rsidRPr="00806B7F">
        <w:rPr>
          <w:rFonts w:ascii="Arial" w:hAnsi="Arial" w:cs="Arial"/>
          <w:sz w:val="20"/>
        </w:rPr>
        <w:t>The overall precept is then apportioned between the 14 District &amp; Unitary Authorities pro-rata to their Council Tax base, and they are responsible for billing and collection of this, which they will pay over to the Fire Authority on a pre-determined instalment basis.</w:t>
      </w:r>
      <w:r w:rsidR="0077091C" w:rsidRPr="00806B7F">
        <w:rPr>
          <w:rFonts w:ascii="Arial" w:hAnsi="Arial" w:cs="Arial"/>
          <w:sz w:val="20"/>
        </w:rPr>
        <w:t xml:space="preserve"> </w:t>
      </w:r>
      <w:r w:rsidRPr="00806B7F">
        <w:rPr>
          <w:rFonts w:ascii="Arial" w:hAnsi="Arial" w:cs="Arial"/>
          <w:sz w:val="20"/>
        </w:rPr>
        <w:t xml:space="preserve">The precept for each Authority </w:t>
      </w:r>
      <w:r w:rsidR="00590C55" w:rsidRPr="00806B7F">
        <w:rPr>
          <w:rFonts w:ascii="Arial" w:hAnsi="Arial" w:cs="Arial"/>
          <w:sz w:val="20"/>
        </w:rPr>
        <w:t>is: -</w:t>
      </w:r>
      <w:r w:rsidRPr="00806B7F">
        <w:rPr>
          <w:rFonts w:ascii="Arial" w:hAnsi="Arial" w:cs="Arial"/>
          <w:sz w:val="20"/>
        </w:rPr>
        <w:t xml:space="preserve"> </w:t>
      </w:r>
    </w:p>
    <w:p w14:paraId="62F97FC0" w14:textId="77777777" w:rsidR="00DB42BE" w:rsidRPr="00806B7F" w:rsidRDefault="00DB42BE" w:rsidP="00DB42BE">
      <w:pPr>
        <w:jc w:val="both"/>
        <w:rPr>
          <w:rFonts w:ascii="Arial" w:hAnsi="Arial" w:cs="Arial"/>
          <w:sz w:val="20"/>
        </w:rPr>
      </w:pPr>
    </w:p>
    <w:p w14:paraId="18A6D027" w14:textId="7570529B" w:rsidR="00DB42BE" w:rsidRPr="00806B7F" w:rsidRDefault="00DB42BE" w:rsidP="00DB42BE">
      <w:pPr>
        <w:keepNext/>
        <w:spacing w:after="200"/>
        <w:ind w:left="720"/>
        <w:contextualSpacing/>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21 Precept by Billing Authority</w:t>
      </w:r>
    </w:p>
    <w:p w14:paraId="711E0E06" w14:textId="77777777" w:rsidR="007C5B19" w:rsidRPr="00806B7F" w:rsidRDefault="007C5B19" w:rsidP="00DB42BE">
      <w:pPr>
        <w:keepNext/>
        <w:spacing w:after="200"/>
        <w:ind w:left="720"/>
        <w:contextualSpacing/>
        <w:rPr>
          <w:rFonts w:ascii="Arial" w:eastAsia="Calibri" w:hAnsi="Arial" w:cs="Arial"/>
          <w:i/>
          <w:iCs/>
          <w:color w:val="44546A"/>
          <w:sz w:val="20"/>
          <w:lang w:eastAsia="en-US"/>
        </w:rPr>
      </w:pPr>
    </w:p>
    <w:tbl>
      <w:tblPr>
        <w:tblW w:w="7371"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87"/>
        <w:gridCol w:w="1984"/>
      </w:tblGrid>
      <w:tr w:rsidR="007C5B19" w:rsidRPr="00806B7F" w14:paraId="64DEB540" w14:textId="77777777" w:rsidTr="000346DF">
        <w:trPr>
          <w:trHeight w:val="262"/>
        </w:trPr>
        <w:tc>
          <w:tcPr>
            <w:tcW w:w="5387" w:type="dxa"/>
            <w:vAlign w:val="bottom"/>
          </w:tcPr>
          <w:p w14:paraId="528C351E" w14:textId="2F14E987" w:rsidR="007C5B19" w:rsidRPr="00806B7F" w:rsidRDefault="007C5B19" w:rsidP="007C5B19">
            <w:pPr>
              <w:rPr>
                <w:rFonts w:ascii="Arial" w:hAnsi="Arial" w:cs="Arial"/>
                <w:color w:val="000000"/>
                <w:sz w:val="20"/>
              </w:rPr>
            </w:pPr>
            <w:r w:rsidRPr="00806B7F">
              <w:rPr>
                <w:rFonts w:ascii="Arial" w:hAnsi="Arial" w:cs="Arial"/>
                <w:color w:val="000000"/>
                <w:sz w:val="20"/>
              </w:rPr>
              <w:t>Blackburn With Darwen Borough Council</w:t>
            </w:r>
          </w:p>
        </w:tc>
        <w:tc>
          <w:tcPr>
            <w:tcW w:w="1984" w:type="dxa"/>
          </w:tcPr>
          <w:p w14:paraId="67DEAEA4" w14:textId="504FB383" w:rsidR="007C5B19" w:rsidRPr="00806B7F" w:rsidRDefault="007C5B19" w:rsidP="007C5B19">
            <w:pPr>
              <w:jc w:val="right"/>
              <w:rPr>
                <w:rFonts w:ascii="Arial" w:hAnsi="Arial" w:cs="Arial"/>
                <w:color w:val="000000"/>
                <w:sz w:val="20"/>
              </w:rPr>
            </w:pPr>
            <w:r w:rsidRPr="00806B7F">
              <w:rPr>
                <w:rFonts w:ascii="Arial" w:hAnsi="Arial" w:cs="Arial"/>
                <w:sz w:val="20"/>
              </w:rPr>
              <w:t>£2,985,812</w:t>
            </w:r>
          </w:p>
        </w:tc>
      </w:tr>
      <w:tr w:rsidR="007C5B19" w:rsidRPr="00806B7F" w14:paraId="045594F4" w14:textId="77777777" w:rsidTr="000346DF">
        <w:trPr>
          <w:trHeight w:val="262"/>
        </w:trPr>
        <w:tc>
          <w:tcPr>
            <w:tcW w:w="5387" w:type="dxa"/>
            <w:vAlign w:val="bottom"/>
          </w:tcPr>
          <w:p w14:paraId="4EDC32C3" w14:textId="1CA68FC5" w:rsidR="007C5B19" w:rsidRPr="00806B7F" w:rsidRDefault="007C5B19" w:rsidP="007C5B19">
            <w:pPr>
              <w:rPr>
                <w:rFonts w:ascii="Arial" w:hAnsi="Arial" w:cs="Arial"/>
                <w:color w:val="000000"/>
                <w:sz w:val="20"/>
              </w:rPr>
            </w:pPr>
            <w:r w:rsidRPr="00806B7F">
              <w:rPr>
                <w:rFonts w:ascii="Arial" w:hAnsi="Arial" w:cs="Arial"/>
                <w:color w:val="000000"/>
                <w:sz w:val="20"/>
              </w:rPr>
              <w:t>Blackpool Borough Council</w:t>
            </w:r>
          </w:p>
        </w:tc>
        <w:tc>
          <w:tcPr>
            <w:tcW w:w="1984" w:type="dxa"/>
          </w:tcPr>
          <w:p w14:paraId="70944CDC" w14:textId="3CE6309D" w:rsidR="007C5B19" w:rsidRPr="00806B7F" w:rsidRDefault="007C5B19" w:rsidP="007C5B19">
            <w:pPr>
              <w:jc w:val="right"/>
              <w:rPr>
                <w:rFonts w:ascii="Arial" w:hAnsi="Arial" w:cs="Arial"/>
                <w:color w:val="000000"/>
                <w:sz w:val="20"/>
              </w:rPr>
            </w:pPr>
            <w:r w:rsidRPr="00806B7F">
              <w:rPr>
                <w:rFonts w:ascii="Arial" w:hAnsi="Arial" w:cs="Arial"/>
                <w:sz w:val="20"/>
              </w:rPr>
              <w:t>£3,112,275</w:t>
            </w:r>
          </w:p>
        </w:tc>
      </w:tr>
      <w:tr w:rsidR="007C5B19" w:rsidRPr="00806B7F" w14:paraId="5EC6663C" w14:textId="77777777" w:rsidTr="000346DF">
        <w:trPr>
          <w:trHeight w:val="262"/>
        </w:trPr>
        <w:tc>
          <w:tcPr>
            <w:tcW w:w="5387" w:type="dxa"/>
            <w:vAlign w:val="bottom"/>
          </w:tcPr>
          <w:p w14:paraId="62400006" w14:textId="65E3CBC7" w:rsidR="007C5B19" w:rsidRPr="00806B7F" w:rsidRDefault="007C5B19" w:rsidP="007C5B19">
            <w:pPr>
              <w:rPr>
                <w:rFonts w:ascii="Arial" w:hAnsi="Arial" w:cs="Arial"/>
                <w:color w:val="000000"/>
                <w:sz w:val="20"/>
              </w:rPr>
            </w:pPr>
            <w:r w:rsidRPr="00806B7F">
              <w:rPr>
                <w:rFonts w:ascii="Arial" w:hAnsi="Arial" w:cs="Arial"/>
                <w:color w:val="000000"/>
                <w:sz w:val="20"/>
              </w:rPr>
              <w:t>Burnley Borough Council</w:t>
            </w:r>
          </w:p>
        </w:tc>
        <w:tc>
          <w:tcPr>
            <w:tcW w:w="1984" w:type="dxa"/>
          </w:tcPr>
          <w:p w14:paraId="4C4DC689" w14:textId="6F0D7BD7" w:rsidR="007C5B19" w:rsidRPr="00806B7F" w:rsidRDefault="007C5B19" w:rsidP="007C5B19">
            <w:pPr>
              <w:jc w:val="right"/>
              <w:rPr>
                <w:rFonts w:ascii="Arial" w:hAnsi="Arial" w:cs="Arial"/>
                <w:color w:val="000000"/>
                <w:sz w:val="20"/>
              </w:rPr>
            </w:pPr>
            <w:r w:rsidRPr="00806B7F">
              <w:rPr>
                <w:rFonts w:ascii="Arial" w:hAnsi="Arial" w:cs="Arial"/>
                <w:sz w:val="20"/>
              </w:rPr>
              <w:t>£1,936,965</w:t>
            </w:r>
          </w:p>
        </w:tc>
      </w:tr>
      <w:tr w:rsidR="007C5B19" w:rsidRPr="00806B7F" w14:paraId="6FD946F4" w14:textId="77777777" w:rsidTr="000346DF">
        <w:trPr>
          <w:trHeight w:val="262"/>
        </w:trPr>
        <w:tc>
          <w:tcPr>
            <w:tcW w:w="5387" w:type="dxa"/>
            <w:vAlign w:val="bottom"/>
          </w:tcPr>
          <w:p w14:paraId="7C4CFE49" w14:textId="7354CC2E" w:rsidR="007C5B19" w:rsidRPr="00806B7F" w:rsidRDefault="007C5B19" w:rsidP="007C5B19">
            <w:pPr>
              <w:rPr>
                <w:rFonts w:ascii="Arial" w:hAnsi="Arial" w:cs="Arial"/>
                <w:color w:val="000000"/>
                <w:sz w:val="20"/>
              </w:rPr>
            </w:pPr>
            <w:r w:rsidRPr="00806B7F">
              <w:rPr>
                <w:rFonts w:ascii="Arial" w:hAnsi="Arial" w:cs="Arial"/>
                <w:color w:val="000000"/>
                <w:sz w:val="20"/>
              </w:rPr>
              <w:t>Chorley Borough Council</w:t>
            </w:r>
          </w:p>
        </w:tc>
        <w:tc>
          <w:tcPr>
            <w:tcW w:w="1984" w:type="dxa"/>
          </w:tcPr>
          <w:p w14:paraId="30C42557" w14:textId="172A0244" w:rsidR="007C5B19" w:rsidRPr="00806B7F" w:rsidRDefault="007C5B19" w:rsidP="007C5B19">
            <w:pPr>
              <w:jc w:val="right"/>
              <w:rPr>
                <w:rFonts w:ascii="Arial" w:hAnsi="Arial" w:cs="Arial"/>
                <w:color w:val="000000"/>
                <w:sz w:val="20"/>
              </w:rPr>
            </w:pPr>
            <w:r w:rsidRPr="00806B7F">
              <w:rPr>
                <w:rFonts w:ascii="Arial" w:hAnsi="Arial" w:cs="Arial"/>
                <w:sz w:val="20"/>
              </w:rPr>
              <w:t>£3,154,440</w:t>
            </w:r>
          </w:p>
        </w:tc>
      </w:tr>
      <w:tr w:rsidR="007C5B19" w:rsidRPr="00806B7F" w14:paraId="6FB84D24" w14:textId="77777777" w:rsidTr="000346DF">
        <w:trPr>
          <w:trHeight w:val="262"/>
        </w:trPr>
        <w:tc>
          <w:tcPr>
            <w:tcW w:w="5387" w:type="dxa"/>
            <w:vAlign w:val="bottom"/>
          </w:tcPr>
          <w:p w14:paraId="7D84025C" w14:textId="41A5A06D" w:rsidR="007C5B19" w:rsidRPr="00806B7F" w:rsidRDefault="007C5B19" w:rsidP="007C5B19">
            <w:pPr>
              <w:rPr>
                <w:rFonts w:ascii="Arial" w:hAnsi="Arial" w:cs="Arial"/>
                <w:color w:val="000000"/>
                <w:sz w:val="20"/>
              </w:rPr>
            </w:pPr>
            <w:r w:rsidRPr="00806B7F">
              <w:rPr>
                <w:rFonts w:ascii="Arial" w:hAnsi="Arial" w:cs="Arial"/>
                <w:color w:val="000000"/>
                <w:sz w:val="20"/>
              </w:rPr>
              <w:t>Fylde Borough Council</w:t>
            </w:r>
          </w:p>
        </w:tc>
        <w:tc>
          <w:tcPr>
            <w:tcW w:w="1984" w:type="dxa"/>
          </w:tcPr>
          <w:p w14:paraId="4C5B9036" w14:textId="0A085882" w:rsidR="007C5B19" w:rsidRPr="00806B7F" w:rsidRDefault="007C5B19" w:rsidP="007C5B19">
            <w:pPr>
              <w:jc w:val="right"/>
              <w:rPr>
                <w:rFonts w:ascii="Arial" w:hAnsi="Arial" w:cs="Arial"/>
                <w:color w:val="000000"/>
                <w:sz w:val="20"/>
              </w:rPr>
            </w:pPr>
            <w:r w:rsidRPr="00806B7F">
              <w:rPr>
                <w:rFonts w:ascii="Arial" w:hAnsi="Arial" w:cs="Arial"/>
                <w:sz w:val="20"/>
              </w:rPr>
              <w:t>£2,631,736</w:t>
            </w:r>
          </w:p>
        </w:tc>
      </w:tr>
      <w:tr w:rsidR="007C5B19" w:rsidRPr="00806B7F" w14:paraId="69DF8A42" w14:textId="77777777" w:rsidTr="000346DF">
        <w:trPr>
          <w:trHeight w:val="262"/>
        </w:trPr>
        <w:tc>
          <w:tcPr>
            <w:tcW w:w="5387" w:type="dxa"/>
            <w:vAlign w:val="bottom"/>
          </w:tcPr>
          <w:p w14:paraId="0C746301" w14:textId="7D381DB5" w:rsidR="007C5B19" w:rsidRPr="00806B7F" w:rsidRDefault="007C5B19" w:rsidP="007C5B19">
            <w:pPr>
              <w:rPr>
                <w:rFonts w:ascii="Arial" w:hAnsi="Arial" w:cs="Arial"/>
                <w:color w:val="000000"/>
                <w:sz w:val="20"/>
              </w:rPr>
            </w:pPr>
            <w:r w:rsidRPr="00806B7F">
              <w:rPr>
                <w:rFonts w:ascii="Arial" w:hAnsi="Arial" w:cs="Arial"/>
                <w:color w:val="000000"/>
                <w:sz w:val="20"/>
              </w:rPr>
              <w:t>Hyndburn Borough Council</w:t>
            </w:r>
          </w:p>
        </w:tc>
        <w:tc>
          <w:tcPr>
            <w:tcW w:w="1984" w:type="dxa"/>
          </w:tcPr>
          <w:p w14:paraId="6806D9D4" w14:textId="6CD8A894" w:rsidR="007C5B19" w:rsidRPr="00806B7F" w:rsidRDefault="007C5B19" w:rsidP="007C5B19">
            <w:pPr>
              <w:jc w:val="right"/>
              <w:rPr>
                <w:rFonts w:ascii="Arial" w:hAnsi="Arial" w:cs="Arial"/>
                <w:color w:val="000000"/>
                <w:sz w:val="20"/>
              </w:rPr>
            </w:pPr>
            <w:r w:rsidRPr="00806B7F">
              <w:rPr>
                <w:rFonts w:ascii="Arial" w:hAnsi="Arial" w:cs="Arial"/>
                <w:sz w:val="20"/>
              </w:rPr>
              <w:t>£1,805,416</w:t>
            </w:r>
          </w:p>
        </w:tc>
      </w:tr>
      <w:tr w:rsidR="007C5B19" w:rsidRPr="00806B7F" w14:paraId="15B04382" w14:textId="77777777" w:rsidTr="000346DF">
        <w:trPr>
          <w:trHeight w:val="262"/>
        </w:trPr>
        <w:tc>
          <w:tcPr>
            <w:tcW w:w="5387" w:type="dxa"/>
            <w:vAlign w:val="bottom"/>
          </w:tcPr>
          <w:p w14:paraId="3FC7E390" w14:textId="4EC83179" w:rsidR="007C5B19" w:rsidRPr="00806B7F" w:rsidRDefault="007C5B19" w:rsidP="007C5B19">
            <w:pPr>
              <w:rPr>
                <w:rFonts w:ascii="Arial" w:hAnsi="Arial" w:cs="Arial"/>
                <w:color w:val="000000"/>
                <w:sz w:val="20"/>
              </w:rPr>
            </w:pPr>
            <w:r w:rsidRPr="00806B7F">
              <w:rPr>
                <w:rFonts w:ascii="Arial" w:hAnsi="Arial" w:cs="Arial"/>
                <w:color w:val="000000"/>
                <w:sz w:val="20"/>
              </w:rPr>
              <w:t>Lancaster City Council</w:t>
            </w:r>
          </w:p>
        </w:tc>
        <w:tc>
          <w:tcPr>
            <w:tcW w:w="1984" w:type="dxa"/>
          </w:tcPr>
          <w:p w14:paraId="7271E021" w14:textId="711EC499" w:rsidR="007C5B19" w:rsidRPr="00806B7F" w:rsidRDefault="007C5B19" w:rsidP="007C5B19">
            <w:pPr>
              <w:jc w:val="right"/>
              <w:rPr>
                <w:rFonts w:ascii="Arial" w:hAnsi="Arial" w:cs="Arial"/>
                <w:color w:val="000000"/>
                <w:sz w:val="20"/>
              </w:rPr>
            </w:pPr>
            <w:r w:rsidRPr="00806B7F">
              <w:rPr>
                <w:rFonts w:ascii="Arial" w:hAnsi="Arial" w:cs="Arial"/>
                <w:sz w:val="20"/>
              </w:rPr>
              <w:t>£3,502,975</w:t>
            </w:r>
          </w:p>
        </w:tc>
      </w:tr>
      <w:tr w:rsidR="007C5B19" w:rsidRPr="00806B7F" w14:paraId="751120B4" w14:textId="77777777" w:rsidTr="000346DF">
        <w:trPr>
          <w:trHeight w:val="262"/>
        </w:trPr>
        <w:tc>
          <w:tcPr>
            <w:tcW w:w="5387" w:type="dxa"/>
            <w:vAlign w:val="bottom"/>
          </w:tcPr>
          <w:p w14:paraId="261A8CE6" w14:textId="44691306" w:rsidR="007C5B19" w:rsidRPr="00806B7F" w:rsidRDefault="007C5B19" w:rsidP="007C5B19">
            <w:pPr>
              <w:rPr>
                <w:rFonts w:ascii="Arial" w:hAnsi="Arial" w:cs="Arial"/>
                <w:color w:val="000000"/>
                <w:sz w:val="20"/>
              </w:rPr>
            </w:pPr>
            <w:r w:rsidRPr="00806B7F">
              <w:rPr>
                <w:rFonts w:ascii="Arial" w:hAnsi="Arial" w:cs="Arial"/>
                <w:color w:val="000000"/>
                <w:sz w:val="20"/>
              </w:rPr>
              <w:t>Pendle Borough Council</w:t>
            </w:r>
          </w:p>
        </w:tc>
        <w:tc>
          <w:tcPr>
            <w:tcW w:w="1984" w:type="dxa"/>
          </w:tcPr>
          <w:p w14:paraId="639C0FA5" w14:textId="0E0BA752" w:rsidR="007C5B19" w:rsidRPr="00806B7F" w:rsidRDefault="007C5B19" w:rsidP="007C5B19">
            <w:pPr>
              <w:jc w:val="right"/>
              <w:rPr>
                <w:rFonts w:ascii="Arial" w:hAnsi="Arial" w:cs="Arial"/>
                <w:color w:val="000000"/>
                <w:sz w:val="20"/>
              </w:rPr>
            </w:pPr>
            <w:r w:rsidRPr="00806B7F">
              <w:rPr>
                <w:rFonts w:ascii="Arial" w:hAnsi="Arial" w:cs="Arial"/>
                <w:sz w:val="20"/>
              </w:rPr>
              <w:t>£2,038,355</w:t>
            </w:r>
          </w:p>
        </w:tc>
      </w:tr>
      <w:tr w:rsidR="007C5B19" w:rsidRPr="00806B7F" w14:paraId="58CB03AA" w14:textId="77777777" w:rsidTr="000346DF">
        <w:trPr>
          <w:trHeight w:val="262"/>
        </w:trPr>
        <w:tc>
          <w:tcPr>
            <w:tcW w:w="5387" w:type="dxa"/>
            <w:vAlign w:val="bottom"/>
          </w:tcPr>
          <w:p w14:paraId="2D208B95" w14:textId="701EBBF8" w:rsidR="007C5B19" w:rsidRPr="00806B7F" w:rsidRDefault="007C5B19" w:rsidP="007C5B19">
            <w:pPr>
              <w:rPr>
                <w:rFonts w:ascii="Arial" w:hAnsi="Arial" w:cs="Arial"/>
                <w:color w:val="000000"/>
                <w:sz w:val="20"/>
              </w:rPr>
            </w:pPr>
            <w:r w:rsidRPr="00806B7F">
              <w:rPr>
                <w:rFonts w:ascii="Arial" w:hAnsi="Arial" w:cs="Arial"/>
                <w:color w:val="000000"/>
                <w:sz w:val="20"/>
              </w:rPr>
              <w:t>Preston City Council</w:t>
            </w:r>
          </w:p>
        </w:tc>
        <w:tc>
          <w:tcPr>
            <w:tcW w:w="1984" w:type="dxa"/>
          </w:tcPr>
          <w:p w14:paraId="5497A613" w14:textId="661E085C" w:rsidR="007C5B19" w:rsidRPr="00806B7F" w:rsidRDefault="007C5B19" w:rsidP="007C5B19">
            <w:pPr>
              <w:jc w:val="right"/>
              <w:rPr>
                <w:rFonts w:ascii="Arial" w:hAnsi="Arial" w:cs="Arial"/>
                <w:color w:val="000000"/>
                <w:sz w:val="20"/>
              </w:rPr>
            </w:pPr>
            <w:r w:rsidRPr="00806B7F">
              <w:rPr>
                <w:rFonts w:ascii="Arial" w:hAnsi="Arial" w:cs="Arial"/>
                <w:sz w:val="20"/>
              </w:rPr>
              <w:t>£3,381,133</w:t>
            </w:r>
          </w:p>
        </w:tc>
      </w:tr>
      <w:tr w:rsidR="007C5B19" w:rsidRPr="00806B7F" w14:paraId="2FF2E738" w14:textId="77777777" w:rsidTr="000346DF">
        <w:trPr>
          <w:trHeight w:val="262"/>
        </w:trPr>
        <w:tc>
          <w:tcPr>
            <w:tcW w:w="5387" w:type="dxa"/>
            <w:vAlign w:val="bottom"/>
          </w:tcPr>
          <w:p w14:paraId="7F5865A6" w14:textId="2933A796" w:rsidR="007C5B19" w:rsidRPr="00806B7F" w:rsidRDefault="007C5B19" w:rsidP="007C5B19">
            <w:pPr>
              <w:rPr>
                <w:rFonts w:ascii="Arial" w:hAnsi="Arial" w:cs="Arial"/>
                <w:color w:val="000000"/>
                <w:sz w:val="20"/>
              </w:rPr>
            </w:pPr>
            <w:r w:rsidRPr="00806B7F">
              <w:rPr>
                <w:rFonts w:ascii="Arial" w:hAnsi="Arial" w:cs="Arial"/>
                <w:color w:val="000000"/>
                <w:sz w:val="20"/>
              </w:rPr>
              <w:t>Ribble Valley Borough Council</w:t>
            </w:r>
          </w:p>
        </w:tc>
        <w:tc>
          <w:tcPr>
            <w:tcW w:w="1984" w:type="dxa"/>
          </w:tcPr>
          <w:p w14:paraId="7D4089C9" w14:textId="3DB0EA21" w:rsidR="007C5B19" w:rsidRPr="00806B7F" w:rsidRDefault="007C5B19" w:rsidP="007C5B19">
            <w:pPr>
              <w:jc w:val="right"/>
              <w:rPr>
                <w:rFonts w:ascii="Arial" w:hAnsi="Arial" w:cs="Arial"/>
                <w:color w:val="000000"/>
                <w:sz w:val="20"/>
              </w:rPr>
            </w:pPr>
            <w:r w:rsidRPr="00806B7F">
              <w:rPr>
                <w:rFonts w:ascii="Arial" w:hAnsi="Arial" w:cs="Arial"/>
                <w:sz w:val="20"/>
              </w:rPr>
              <w:t>£2,055,105</w:t>
            </w:r>
          </w:p>
        </w:tc>
      </w:tr>
      <w:tr w:rsidR="007C5B19" w:rsidRPr="00806B7F" w14:paraId="41662AB7" w14:textId="77777777" w:rsidTr="000346DF">
        <w:trPr>
          <w:trHeight w:val="262"/>
        </w:trPr>
        <w:tc>
          <w:tcPr>
            <w:tcW w:w="5387" w:type="dxa"/>
            <w:vAlign w:val="bottom"/>
          </w:tcPr>
          <w:p w14:paraId="149D2B49" w14:textId="4712B626" w:rsidR="007C5B19" w:rsidRPr="00806B7F" w:rsidRDefault="007C5B19" w:rsidP="007C5B19">
            <w:pPr>
              <w:rPr>
                <w:rFonts w:ascii="Arial" w:hAnsi="Arial" w:cs="Arial"/>
                <w:color w:val="000000"/>
                <w:sz w:val="20"/>
              </w:rPr>
            </w:pPr>
            <w:r w:rsidRPr="00806B7F">
              <w:rPr>
                <w:rFonts w:ascii="Arial" w:hAnsi="Arial" w:cs="Arial"/>
                <w:color w:val="000000"/>
                <w:sz w:val="20"/>
              </w:rPr>
              <w:t>Rossendale Borough Council</w:t>
            </w:r>
          </w:p>
        </w:tc>
        <w:tc>
          <w:tcPr>
            <w:tcW w:w="1984" w:type="dxa"/>
          </w:tcPr>
          <w:p w14:paraId="6C923E1F" w14:textId="33E2B88E" w:rsidR="007C5B19" w:rsidRPr="00806B7F" w:rsidRDefault="007C5B19" w:rsidP="007C5B19">
            <w:pPr>
              <w:jc w:val="right"/>
              <w:rPr>
                <w:rFonts w:ascii="Arial" w:hAnsi="Arial" w:cs="Arial"/>
                <w:color w:val="000000"/>
                <w:sz w:val="20"/>
              </w:rPr>
            </w:pPr>
            <w:r w:rsidRPr="00806B7F">
              <w:rPr>
                <w:rFonts w:ascii="Arial" w:hAnsi="Arial" w:cs="Arial"/>
                <w:sz w:val="20"/>
              </w:rPr>
              <w:t>£1,713,520</w:t>
            </w:r>
          </w:p>
        </w:tc>
      </w:tr>
      <w:tr w:rsidR="007C5B19" w:rsidRPr="00806B7F" w14:paraId="238154CA" w14:textId="77777777" w:rsidTr="000346DF">
        <w:trPr>
          <w:trHeight w:val="262"/>
        </w:trPr>
        <w:tc>
          <w:tcPr>
            <w:tcW w:w="5387" w:type="dxa"/>
            <w:vAlign w:val="bottom"/>
          </w:tcPr>
          <w:p w14:paraId="07818746" w14:textId="1BCEF6E1" w:rsidR="007C5B19" w:rsidRPr="00806B7F" w:rsidRDefault="007C5B19" w:rsidP="007C5B19">
            <w:pPr>
              <w:rPr>
                <w:rFonts w:ascii="Arial" w:hAnsi="Arial" w:cs="Arial"/>
                <w:color w:val="000000"/>
                <w:sz w:val="20"/>
              </w:rPr>
            </w:pPr>
            <w:r w:rsidRPr="00806B7F">
              <w:rPr>
                <w:rFonts w:ascii="Arial" w:hAnsi="Arial" w:cs="Arial"/>
                <w:color w:val="000000"/>
                <w:sz w:val="20"/>
              </w:rPr>
              <w:t>South Ribble Borough Council</w:t>
            </w:r>
          </w:p>
        </w:tc>
        <w:tc>
          <w:tcPr>
            <w:tcW w:w="1984" w:type="dxa"/>
          </w:tcPr>
          <w:p w14:paraId="0F2F4546" w14:textId="6DE1E0AA" w:rsidR="007C5B19" w:rsidRPr="00806B7F" w:rsidRDefault="007C5B19" w:rsidP="007C5B19">
            <w:pPr>
              <w:jc w:val="right"/>
              <w:rPr>
                <w:rFonts w:ascii="Arial" w:hAnsi="Arial" w:cs="Arial"/>
                <w:color w:val="000000"/>
                <w:sz w:val="20"/>
              </w:rPr>
            </w:pPr>
            <w:r w:rsidRPr="00806B7F">
              <w:rPr>
                <w:rFonts w:ascii="Arial" w:hAnsi="Arial" w:cs="Arial"/>
                <w:sz w:val="20"/>
              </w:rPr>
              <w:t>£3,056,600</w:t>
            </w:r>
          </w:p>
        </w:tc>
      </w:tr>
      <w:tr w:rsidR="007C5B19" w:rsidRPr="00806B7F" w14:paraId="7487B83A" w14:textId="77777777" w:rsidTr="000346DF">
        <w:trPr>
          <w:trHeight w:val="262"/>
        </w:trPr>
        <w:tc>
          <w:tcPr>
            <w:tcW w:w="5387" w:type="dxa"/>
            <w:vAlign w:val="bottom"/>
          </w:tcPr>
          <w:p w14:paraId="339E925D" w14:textId="0D74CC2D" w:rsidR="007C5B19" w:rsidRPr="00806B7F" w:rsidRDefault="007C5B19" w:rsidP="007C5B19">
            <w:pPr>
              <w:rPr>
                <w:rFonts w:ascii="Arial" w:hAnsi="Arial" w:cs="Arial"/>
                <w:color w:val="000000"/>
                <w:sz w:val="20"/>
              </w:rPr>
            </w:pPr>
            <w:r w:rsidRPr="00806B7F">
              <w:rPr>
                <w:rFonts w:ascii="Arial" w:hAnsi="Arial" w:cs="Arial"/>
                <w:color w:val="000000"/>
                <w:sz w:val="20"/>
              </w:rPr>
              <w:t>West Lancashire District Council</w:t>
            </w:r>
          </w:p>
        </w:tc>
        <w:tc>
          <w:tcPr>
            <w:tcW w:w="1984" w:type="dxa"/>
          </w:tcPr>
          <w:p w14:paraId="6561D07A" w14:textId="54C99BE9" w:rsidR="007C5B19" w:rsidRPr="00806B7F" w:rsidRDefault="007C5B19" w:rsidP="007C5B19">
            <w:pPr>
              <w:jc w:val="right"/>
              <w:rPr>
                <w:rFonts w:ascii="Arial" w:hAnsi="Arial" w:cs="Arial"/>
                <w:color w:val="000000"/>
                <w:sz w:val="20"/>
              </w:rPr>
            </w:pPr>
            <w:r w:rsidRPr="00806B7F">
              <w:rPr>
                <w:rFonts w:ascii="Arial" w:hAnsi="Arial" w:cs="Arial"/>
                <w:sz w:val="20"/>
              </w:rPr>
              <w:t>£3,134,139</w:t>
            </w:r>
          </w:p>
        </w:tc>
      </w:tr>
      <w:tr w:rsidR="007C5B19" w:rsidRPr="00806B7F" w14:paraId="6EF6FEB1" w14:textId="77777777" w:rsidTr="000346DF">
        <w:trPr>
          <w:trHeight w:val="262"/>
        </w:trPr>
        <w:tc>
          <w:tcPr>
            <w:tcW w:w="5387" w:type="dxa"/>
            <w:vAlign w:val="bottom"/>
          </w:tcPr>
          <w:p w14:paraId="15B37618" w14:textId="556F1103" w:rsidR="007C5B19" w:rsidRPr="00806B7F" w:rsidRDefault="007C5B19" w:rsidP="007C5B19">
            <w:pPr>
              <w:rPr>
                <w:rFonts w:ascii="Arial" w:hAnsi="Arial" w:cs="Arial"/>
                <w:color w:val="000000"/>
                <w:sz w:val="20"/>
              </w:rPr>
            </w:pPr>
            <w:r w:rsidRPr="00806B7F">
              <w:rPr>
                <w:rFonts w:ascii="Arial" w:hAnsi="Arial" w:cs="Arial"/>
                <w:color w:val="000000"/>
                <w:sz w:val="20"/>
              </w:rPr>
              <w:t>Wyre Borough Council</w:t>
            </w:r>
          </w:p>
        </w:tc>
        <w:tc>
          <w:tcPr>
            <w:tcW w:w="1984" w:type="dxa"/>
          </w:tcPr>
          <w:p w14:paraId="20C63549" w14:textId="20EC71FD" w:rsidR="007C5B19" w:rsidRPr="00806B7F" w:rsidRDefault="007C5B19" w:rsidP="007C5B19">
            <w:pPr>
              <w:jc w:val="right"/>
              <w:rPr>
                <w:rFonts w:ascii="Arial" w:hAnsi="Arial" w:cs="Arial"/>
                <w:color w:val="000000"/>
                <w:sz w:val="20"/>
              </w:rPr>
            </w:pPr>
            <w:r w:rsidRPr="00806B7F">
              <w:rPr>
                <w:rFonts w:ascii="Arial" w:hAnsi="Arial" w:cs="Arial"/>
                <w:sz w:val="20"/>
              </w:rPr>
              <w:t>£3,167,034</w:t>
            </w:r>
          </w:p>
        </w:tc>
      </w:tr>
      <w:tr w:rsidR="007C5B19" w:rsidRPr="00806B7F" w14:paraId="01564201" w14:textId="77777777" w:rsidTr="000346DF">
        <w:trPr>
          <w:trHeight w:val="276"/>
        </w:trPr>
        <w:tc>
          <w:tcPr>
            <w:tcW w:w="5387" w:type="dxa"/>
            <w:vAlign w:val="bottom"/>
          </w:tcPr>
          <w:p w14:paraId="1495CFF4" w14:textId="29DDBED8" w:rsidR="007C5B19" w:rsidRPr="00806B7F" w:rsidRDefault="007C5B19" w:rsidP="007C5B19">
            <w:pPr>
              <w:rPr>
                <w:rFonts w:ascii="Arial" w:hAnsi="Arial" w:cs="Arial"/>
                <w:color w:val="000000"/>
                <w:sz w:val="20"/>
              </w:rPr>
            </w:pPr>
            <w:r w:rsidRPr="00806B7F">
              <w:rPr>
                <w:rFonts w:ascii="Arial" w:hAnsi="Arial" w:cs="Arial"/>
                <w:color w:val="000000"/>
                <w:sz w:val="20"/>
              </w:rPr>
              <w:t>TOTAL</w:t>
            </w:r>
          </w:p>
        </w:tc>
        <w:tc>
          <w:tcPr>
            <w:tcW w:w="1984" w:type="dxa"/>
          </w:tcPr>
          <w:p w14:paraId="52577CA9" w14:textId="3AEF2655" w:rsidR="007C5B19" w:rsidRPr="00806B7F" w:rsidRDefault="007C5B19" w:rsidP="007C5B19">
            <w:pPr>
              <w:jc w:val="right"/>
              <w:rPr>
                <w:rFonts w:ascii="Arial" w:hAnsi="Arial" w:cs="Arial"/>
                <w:color w:val="000000"/>
                <w:sz w:val="20"/>
              </w:rPr>
            </w:pPr>
            <w:r w:rsidRPr="00806B7F">
              <w:rPr>
                <w:rFonts w:ascii="Arial" w:hAnsi="Arial" w:cs="Arial"/>
                <w:sz w:val="20"/>
              </w:rPr>
              <w:t>£37,675,505</w:t>
            </w:r>
          </w:p>
        </w:tc>
      </w:tr>
    </w:tbl>
    <w:p w14:paraId="577A6711" w14:textId="77777777" w:rsidR="00DB42BE" w:rsidRPr="00806B7F" w:rsidRDefault="00DB42BE" w:rsidP="00625087">
      <w:pPr>
        <w:jc w:val="both"/>
        <w:rPr>
          <w:rFonts w:ascii="Arial" w:hAnsi="Arial" w:cs="Arial"/>
          <w:b/>
          <w:sz w:val="20"/>
          <w:u w:val="single"/>
        </w:rPr>
      </w:pPr>
    </w:p>
    <w:p w14:paraId="21032034" w14:textId="77777777" w:rsidR="00DB42BE" w:rsidRPr="00806B7F" w:rsidRDefault="00DB42BE" w:rsidP="00625087">
      <w:pPr>
        <w:jc w:val="both"/>
        <w:rPr>
          <w:rFonts w:ascii="Arial" w:hAnsi="Arial" w:cs="Arial"/>
          <w:b/>
          <w:sz w:val="20"/>
          <w:u w:val="single"/>
        </w:rPr>
      </w:pPr>
    </w:p>
    <w:p w14:paraId="38A3323A" w14:textId="77777777" w:rsidR="00DB42BE" w:rsidRPr="00806B7F" w:rsidRDefault="00DB42BE" w:rsidP="00625087">
      <w:pPr>
        <w:jc w:val="both"/>
        <w:rPr>
          <w:rFonts w:ascii="Arial" w:hAnsi="Arial" w:cs="Arial"/>
          <w:b/>
          <w:sz w:val="20"/>
          <w:u w:val="single"/>
        </w:rPr>
      </w:pPr>
      <w:r w:rsidRPr="00806B7F">
        <w:rPr>
          <w:rFonts w:ascii="Arial" w:hAnsi="Arial" w:cs="Arial"/>
          <w:b/>
          <w:sz w:val="20"/>
          <w:u w:val="single"/>
        </w:rPr>
        <w:br w:type="page"/>
      </w:r>
    </w:p>
    <w:p w14:paraId="5C071F69" w14:textId="16FE6631" w:rsidR="007B3106" w:rsidRPr="00806B7F" w:rsidRDefault="00E022F8" w:rsidP="00625087">
      <w:pPr>
        <w:jc w:val="both"/>
        <w:rPr>
          <w:rFonts w:ascii="Arial" w:hAnsi="Arial" w:cs="Arial"/>
          <w:b/>
          <w:sz w:val="20"/>
          <w:u w:val="single"/>
        </w:rPr>
      </w:pPr>
      <w:r w:rsidRPr="00806B7F">
        <w:rPr>
          <w:rFonts w:ascii="Arial" w:hAnsi="Arial" w:cs="Arial"/>
          <w:b/>
          <w:sz w:val="20"/>
          <w:u w:val="single"/>
        </w:rPr>
        <w:t>SECTION 3</w:t>
      </w:r>
    </w:p>
    <w:p w14:paraId="184CEF2A" w14:textId="77777777" w:rsidR="007B3106" w:rsidRPr="00806B7F" w:rsidRDefault="007B3106" w:rsidP="00625087">
      <w:pPr>
        <w:jc w:val="both"/>
        <w:rPr>
          <w:rFonts w:ascii="Arial" w:hAnsi="Arial" w:cs="Arial"/>
          <w:b/>
          <w:sz w:val="20"/>
          <w:u w:val="single"/>
        </w:rPr>
      </w:pPr>
    </w:p>
    <w:p w14:paraId="5A7FE6F0" w14:textId="6A6B743A" w:rsidR="007B3106" w:rsidRPr="00806B7F" w:rsidRDefault="007B3106" w:rsidP="00625087">
      <w:pPr>
        <w:jc w:val="both"/>
        <w:rPr>
          <w:rFonts w:ascii="Arial" w:hAnsi="Arial" w:cs="Arial"/>
          <w:b/>
          <w:sz w:val="20"/>
          <w:u w:val="single"/>
        </w:rPr>
      </w:pPr>
      <w:r w:rsidRPr="00806B7F">
        <w:rPr>
          <w:rFonts w:ascii="Arial" w:hAnsi="Arial" w:cs="Arial"/>
          <w:b/>
          <w:sz w:val="20"/>
          <w:u w:val="single"/>
        </w:rPr>
        <w:t xml:space="preserve">CAPITAL </w:t>
      </w:r>
      <w:r w:rsidR="003C6901" w:rsidRPr="00806B7F">
        <w:rPr>
          <w:rFonts w:ascii="Arial" w:hAnsi="Arial" w:cs="Arial"/>
          <w:b/>
          <w:sz w:val="20"/>
          <w:u w:val="single"/>
        </w:rPr>
        <w:t>STRATEGY/</w:t>
      </w:r>
      <w:r w:rsidRPr="00806B7F">
        <w:rPr>
          <w:rFonts w:ascii="Arial" w:hAnsi="Arial" w:cs="Arial"/>
          <w:b/>
          <w:sz w:val="20"/>
          <w:u w:val="single"/>
        </w:rPr>
        <w:t xml:space="preserve">BUDGET </w:t>
      </w:r>
      <w:r w:rsidR="00BF2DCD" w:rsidRPr="00806B7F">
        <w:rPr>
          <w:rFonts w:ascii="Arial" w:hAnsi="Arial" w:cs="Arial"/>
          <w:b/>
          <w:sz w:val="20"/>
          <w:u w:val="single"/>
        </w:rPr>
        <w:t>20</w:t>
      </w:r>
      <w:r w:rsidR="00A83D2A" w:rsidRPr="00806B7F">
        <w:rPr>
          <w:rFonts w:ascii="Arial" w:hAnsi="Arial" w:cs="Arial"/>
          <w:b/>
          <w:sz w:val="20"/>
          <w:u w:val="single"/>
        </w:rPr>
        <w:t>2</w:t>
      </w:r>
      <w:r w:rsidR="00CA11D6" w:rsidRPr="00806B7F">
        <w:rPr>
          <w:rFonts w:ascii="Arial" w:hAnsi="Arial" w:cs="Arial"/>
          <w:b/>
          <w:sz w:val="20"/>
          <w:u w:val="single"/>
        </w:rPr>
        <w:t>3/24</w:t>
      </w:r>
      <w:r w:rsidR="00537310" w:rsidRPr="00806B7F">
        <w:rPr>
          <w:rFonts w:ascii="Arial" w:hAnsi="Arial" w:cs="Arial"/>
          <w:b/>
          <w:sz w:val="20"/>
          <w:u w:val="single"/>
        </w:rPr>
        <w:t>-20</w:t>
      </w:r>
      <w:r w:rsidR="00326E02" w:rsidRPr="00806B7F">
        <w:rPr>
          <w:rFonts w:ascii="Arial" w:hAnsi="Arial" w:cs="Arial"/>
          <w:b/>
          <w:sz w:val="20"/>
          <w:u w:val="single"/>
        </w:rPr>
        <w:t>2</w:t>
      </w:r>
      <w:r w:rsidR="00CA11D6" w:rsidRPr="00806B7F">
        <w:rPr>
          <w:rFonts w:ascii="Arial" w:hAnsi="Arial" w:cs="Arial"/>
          <w:b/>
          <w:sz w:val="20"/>
          <w:u w:val="single"/>
        </w:rPr>
        <w:t>7/28</w:t>
      </w:r>
    </w:p>
    <w:p w14:paraId="77CB665E" w14:textId="77777777" w:rsidR="007B3106" w:rsidRPr="00806B7F" w:rsidRDefault="007B3106" w:rsidP="00625087">
      <w:pPr>
        <w:jc w:val="both"/>
        <w:rPr>
          <w:rFonts w:ascii="Arial" w:hAnsi="Arial" w:cs="Arial"/>
          <w:b/>
          <w:sz w:val="20"/>
          <w:u w:val="single"/>
        </w:rPr>
      </w:pPr>
    </w:p>
    <w:p w14:paraId="08A20C88" w14:textId="77777777" w:rsidR="00CA11D6" w:rsidRPr="00806B7F" w:rsidRDefault="00CA11D6" w:rsidP="00CA11D6">
      <w:pPr>
        <w:jc w:val="both"/>
        <w:rPr>
          <w:rFonts w:ascii="Arial" w:hAnsi="Arial" w:cs="Arial"/>
          <w:sz w:val="20"/>
        </w:rPr>
      </w:pPr>
      <w:r w:rsidRPr="00806B7F">
        <w:rPr>
          <w:rFonts w:ascii="Arial" w:hAnsi="Arial" w:cs="Arial"/>
          <w:b/>
          <w:sz w:val="20"/>
        </w:rPr>
        <w:t>Capital Budget Strategy</w:t>
      </w:r>
    </w:p>
    <w:p w14:paraId="4BC77BBF" w14:textId="77777777" w:rsidR="00CA11D6" w:rsidRPr="00806B7F" w:rsidRDefault="00CA11D6" w:rsidP="00CA11D6">
      <w:pPr>
        <w:jc w:val="both"/>
        <w:rPr>
          <w:rFonts w:ascii="Arial" w:hAnsi="Arial" w:cs="Arial"/>
          <w:sz w:val="20"/>
        </w:rPr>
      </w:pPr>
    </w:p>
    <w:p w14:paraId="3EE32D06" w14:textId="77777777" w:rsidR="00CA11D6" w:rsidRPr="00806B7F" w:rsidRDefault="00CA11D6" w:rsidP="00CA11D6">
      <w:pPr>
        <w:jc w:val="both"/>
        <w:rPr>
          <w:rFonts w:ascii="Arial" w:hAnsi="Arial" w:cs="Arial"/>
          <w:sz w:val="20"/>
        </w:rPr>
      </w:pPr>
      <w:r w:rsidRPr="00806B7F">
        <w:rPr>
          <w:rFonts w:ascii="Arial" w:hAnsi="Arial" w:cs="Arial"/>
          <w:sz w:val="20"/>
        </w:rPr>
        <w:t>The Authority’s capital strategy is designed to ensure that the Authority’s capital investment:</w:t>
      </w:r>
    </w:p>
    <w:p w14:paraId="2C430278" w14:textId="77777777" w:rsidR="00CA11D6" w:rsidRPr="00806B7F" w:rsidRDefault="00CA11D6" w:rsidP="00CA11D6">
      <w:pPr>
        <w:jc w:val="both"/>
        <w:rPr>
          <w:rFonts w:ascii="Arial" w:hAnsi="Arial" w:cs="Arial"/>
          <w:sz w:val="20"/>
        </w:rPr>
      </w:pPr>
    </w:p>
    <w:p w14:paraId="21C26D6B"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assists in delivering the corporate objectives</w:t>
      </w:r>
    </w:p>
    <w:p w14:paraId="3AEC61B6"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provides the framework for capital funding and expenditure decisions, ensuring that capital investment is in line with priorities identified in asset management plans</w:t>
      </w:r>
    </w:p>
    <w:p w14:paraId="196D53AB"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ensures statutory requirements are met, i.e. Health and Safety issues</w:t>
      </w:r>
    </w:p>
    <w:p w14:paraId="122F84B7"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supports the Medium-Term Financial Strategy by ensuring all capital investment decisions consider the future impact on revenue budgets</w:t>
      </w:r>
    </w:p>
    <w:p w14:paraId="44031FCC"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demonstrates value for money in ensuring the Authority’s assets are enhanced/preserved</w:t>
      </w:r>
    </w:p>
    <w:p w14:paraId="46E79B3E" w14:textId="77777777" w:rsidR="00CA11D6" w:rsidRPr="00806B7F" w:rsidRDefault="00CA11D6" w:rsidP="00CA11D6">
      <w:pPr>
        <w:numPr>
          <w:ilvl w:val="0"/>
          <w:numId w:val="1"/>
        </w:numPr>
        <w:jc w:val="both"/>
        <w:rPr>
          <w:rFonts w:ascii="Arial" w:hAnsi="Arial" w:cs="Arial"/>
          <w:sz w:val="20"/>
        </w:rPr>
      </w:pPr>
      <w:r w:rsidRPr="00806B7F">
        <w:rPr>
          <w:rFonts w:ascii="Arial" w:hAnsi="Arial" w:cs="Arial"/>
          <w:sz w:val="20"/>
        </w:rPr>
        <w:t>describes the sources of capital funding available for the medium term and how these might be used to achieve a prudent and sustainable capital programme.</w:t>
      </w:r>
    </w:p>
    <w:p w14:paraId="3E3B73F6" w14:textId="77777777" w:rsidR="00CA11D6" w:rsidRPr="00806B7F" w:rsidRDefault="00CA11D6" w:rsidP="00CA11D6">
      <w:pPr>
        <w:jc w:val="both"/>
        <w:rPr>
          <w:rFonts w:ascii="Arial" w:hAnsi="Arial" w:cs="Arial"/>
          <w:sz w:val="20"/>
        </w:rPr>
      </w:pPr>
    </w:p>
    <w:p w14:paraId="09DC876D" w14:textId="77777777" w:rsidR="00CA11D6" w:rsidRPr="00806B7F" w:rsidRDefault="00CA11D6" w:rsidP="00CA11D6">
      <w:pPr>
        <w:jc w:val="both"/>
        <w:rPr>
          <w:rFonts w:ascii="Arial" w:hAnsi="Arial" w:cs="Arial"/>
          <w:b/>
          <w:sz w:val="20"/>
        </w:rPr>
      </w:pPr>
      <w:r w:rsidRPr="00806B7F">
        <w:rPr>
          <w:rFonts w:ascii="Arial" w:hAnsi="Arial" w:cs="Arial"/>
          <w:b/>
          <w:sz w:val="20"/>
        </w:rPr>
        <w:t>Managing capital expenditure</w:t>
      </w:r>
    </w:p>
    <w:p w14:paraId="6C441904" w14:textId="77777777" w:rsidR="00CA11D6" w:rsidRPr="00806B7F" w:rsidRDefault="00CA11D6" w:rsidP="00CA11D6">
      <w:pPr>
        <w:jc w:val="both"/>
        <w:rPr>
          <w:rFonts w:ascii="Arial" w:hAnsi="Arial" w:cs="Arial"/>
          <w:sz w:val="20"/>
        </w:rPr>
      </w:pPr>
    </w:p>
    <w:p w14:paraId="0B80A60B" w14:textId="77777777" w:rsidR="00CA11D6" w:rsidRPr="00806B7F" w:rsidRDefault="00CA11D6" w:rsidP="00CA11D6">
      <w:pPr>
        <w:jc w:val="both"/>
        <w:rPr>
          <w:rFonts w:ascii="Arial" w:hAnsi="Arial" w:cs="Arial"/>
          <w:sz w:val="20"/>
        </w:rPr>
      </w:pPr>
      <w:r w:rsidRPr="00806B7F">
        <w:rPr>
          <w:rFonts w:ascii="Arial" w:hAnsi="Arial" w:cs="Arial"/>
          <w:sz w:val="20"/>
        </w:rPr>
        <w:t>The Capital Programme is prepared annually through the budget setting process and is reported to the Authority for approval each February.  The programme sets out the capital projects taking place in the financial years 2023/24 to 2027/28 and will be updated in May to reflect the effects of the final level of slippage from the current financial year (2022/23).</w:t>
      </w:r>
    </w:p>
    <w:p w14:paraId="616EA393" w14:textId="77777777" w:rsidR="00CA11D6" w:rsidRPr="00806B7F" w:rsidRDefault="00CA11D6" w:rsidP="00CA11D6">
      <w:pPr>
        <w:jc w:val="both"/>
        <w:rPr>
          <w:rFonts w:ascii="Arial" w:hAnsi="Arial" w:cs="Arial"/>
          <w:sz w:val="20"/>
        </w:rPr>
      </w:pPr>
    </w:p>
    <w:p w14:paraId="6C86255A" w14:textId="77777777" w:rsidR="00CA11D6" w:rsidRPr="00806B7F" w:rsidRDefault="00CA11D6" w:rsidP="00CA11D6">
      <w:pPr>
        <w:jc w:val="both"/>
        <w:rPr>
          <w:rFonts w:ascii="Arial" w:hAnsi="Arial" w:cs="Arial"/>
          <w:sz w:val="20"/>
        </w:rPr>
      </w:pPr>
      <w:proofErr w:type="gramStart"/>
      <w:r w:rsidRPr="00806B7F">
        <w:rPr>
          <w:rFonts w:ascii="Arial" w:hAnsi="Arial" w:cs="Arial"/>
          <w:sz w:val="20"/>
        </w:rPr>
        <w:t>The majority of</w:t>
      </w:r>
      <w:proofErr w:type="gramEnd"/>
      <w:r w:rsidRPr="00806B7F">
        <w:rPr>
          <w:rFonts w:ascii="Arial" w:hAnsi="Arial" w:cs="Arial"/>
          <w:sz w:val="20"/>
        </w:rPr>
        <w:t xml:space="preserve"> projects originate from approved asset management plans, subject to assessments of ongoing requirements.  Bids for new capital projects are evaluated and prioritised by Executive Board prior to seeking Authority approval.</w:t>
      </w:r>
    </w:p>
    <w:p w14:paraId="7153DD90" w14:textId="77777777" w:rsidR="00CA11D6" w:rsidRPr="00806B7F" w:rsidRDefault="00CA11D6" w:rsidP="00CA11D6">
      <w:pPr>
        <w:jc w:val="both"/>
        <w:rPr>
          <w:rFonts w:ascii="Arial" w:hAnsi="Arial" w:cs="Arial"/>
          <w:sz w:val="20"/>
        </w:rPr>
      </w:pPr>
    </w:p>
    <w:p w14:paraId="3967BE7F" w14:textId="77777777" w:rsidR="00CA11D6" w:rsidRPr="00806B7F" w:rsidRDefault="00CA11D6" w:rsidP="00CA11D6">
      <w:pPr>
        <w:jc w:val="both"/>
        <w:rPr>
          <w:rFonts w:ascii="Arial" w:hAnsi="Arial" w:cs="Arial"/>
          <w:sz w:val="20"/>
        </w:rPr>
      </w:pPr>
      <w:r w:rsidRPr="00806B7F">
        <w:rPr>
          <w:rFonts w:ascii="Arial" w:hAnsi="Arial" w:cs="Arial"/>
          <w:sz w:val="20"/>
        </w:rPr>
        <w:t xml:space="preserve">A budget manager is responsible for the effective financial control and monitoring of their elements of the capital programme. Quarterly returns are submitted to the Director of Corporate Services on progress to date and estimated final costs.  Any variations are dealt with in accordance with the Financial Regulations (Section 4.71). Where expenditure is required or anticipated which has not been included in the capital programme, a revision to the Capital Programme must be approved by Resources Committee before that spending can proceed. </w:t>
      </w:r>
    </w:p>
    <w:p w14:paraId="5C03D83D" w14:textId="77777777" w:rsidR="00CA11D6" w:rsidRPr="00806B7F" w:rsidRDefault="00CA11D6" w:rsidP="00CA11D6">
      <w:pPr>
        <w:jc w:val="both"/>
        <w:rPr>
          <w:rFonts w:ascii="Arial" w:hAnsi="Arial" w:cs="Arial"/>
          <w:sz w:val="20"/>
        </w:rPr>
      </w:pPr>
    </w:p>
    <w:p w14:paraId="1A8B8EA7" w14:textId="77777777" w:rsidR="00CA11D6" w:rsidRPr="00806B7F" w:rsidRDefault="00CA11D6" w:rsidP="00CA11D6">
      <w:pPr>
        <w:jc w:val="both"/>
        <w:rPr>
          <w:rFonts w:ascii="Arial" w:hAnsi="Arial" w:cs="Arial"/>
          <w:sz w:val="20"/>
        </w:rPr>
      </w:pPr>
      <w:r w:rsidRPr="00806B7F">
        <w:rPr>
          <w:rFonts w:ascii="Arial" w:hAnsi="Arial" w:cs="Arial"/>
          <w:b/>
          <w:sz w:val="20"/>
        </w:rPr>
        <w:t>Proposed Capital Budget</w:t>
      </w:r>
    </w:p>
    <w:p w14:paraId="76EC651F" w14:textId="77777777" w:rsidR="00CA11D6" w:rsidRPr="00806B7F" w:rsidRDefault="00CA11D6" w:rsidP="00CA11D6">
      <w:pPr>
        <w:jc w:val="both"/>
        <w:rPr>
          <w:rFonts w:ascii="Arial" w:hAnsi="Arial" w:cs="Arial"/>
          <w:sz w:val="20"/>
        </w:rPr>
      </w:pPr>
    </w:p>
    <w:p w14:paraId="65F048E6" w14:textId="77777777" w:rsidR="00CA11D6" w:rsidRPr="00806B7F" w:rsidRDefault="00CA11D6" w:rsidP="00CA11D6">
      <w:pPr>
        <w:jc w:val="both"/>
        <w:rPr>
          <w:rFonts w:ascii="Arial" w:hAnsi="Arial" w:cs="Arial"/>
          <w:sz w:val="20"/>
        </w:rPr>
      </w:pPr>
      <w:r w:rsidRPr="00806B7F">
        <w:rPr>
          <w:rFonts w:ascii="Arial" w:hAnsi="Arial" w:cs="Arial"/>
          <w:sz w:val="20"/>
        </w:rPr>
        <w:t>Capital expenditure is expenditure on major assets such as new buildings, significant building modifications and major pieces of equipment/vehicles.</w:t>
      </w:r>
    </w:p>
    <w:p w14:paraId="4E299C76" w14:textId="77777777" w:rsidR="00CA11D6" w:rsidRPr="00806B7F" w:rsidRDefault="00CA11D6" w:rsidP="00CA11D6">
      <w:pPr>
        <w:jc w:val="both"/>
        <w:rPr>
          <w:rFonts w:ascii="Arial" w:hAnsi="Arial" w:cs="Arial"/>
          <w:sz w:val="20"/>
        </w:rPr>
      </w:pPr>
    </w:p>
    <w:p w14:paraId="2D642CD7" w14:textId="77777777" w:rsidR="00CA11D6" w:rsidRPr="00806B7F" w:rsidRDefault="00CA11D6" w:rsidP="00CA11D6">
      <w:pPr>
        <w:jc w:val="both"/>
        <w:rPr>
          <w:rFonts w:ascii="Arial" w:hAnsi="Arial" w:cs="Arial"/>
          <w:sz w:val="20"/>
        </w:rPr>
      </w:pPr>
      <w:r w:rsidRPr="00806B7F">
        <w:rPr>
          <w:rFonts w:ascii="Arial" w:hAnsi="Arial" w:cs="Arial"/>
          <w:sz w:val="20"/>
        </w:rPr>
        <w:t>The Service has developed asset management plans which assist in identifying the long-term capital requirements. These plans, together with the operational equipment register have been used to assist in identifying total requirements and the relevant priorities.</w:t>
      </w:r>
    </w:p>
    <w:p w14:paraId="77190300" w14:textId="77777777" w:rsidR="00CA11D6" w:rsidRPr="00806B7F" w:rsidRDefault="00CA11D6" w:rsidP="00CA11D6">
      <w:pPr>
        <w:jc w:val="both"/>
        <w:rPr>
          <w:rFonts w:ascii="Arial" w:hAnsi="Arial" w:cs="Arial"/>
          <w:sz w:val="20"/>
        </w:rPr>
      </w:pPr>
    </w:p>
    <w:p w14:paraId="15952178" w14:textId="77777777" w:rsidR="00CA11D6" w:rsidRPr="00806B7F" w:rsidRDefault="00CA11D6" w:rsidP="00CA11D6">
      <w:pPr>
        <w:keepNext/>
        <w:jc w:val="both"/>
        <w:outlineLvl w:val="4"/>
        <w:rPr>
          <w:rFonts w:ascii="Arial" w:hAnsi="Arial" w:cs="Arial"/>
          <w:b/>
          <w:sz w:val="20"/>
        </w:rPr>
      </w:pPr>
      <w:r w:rsidRPr="00806B7F">
        <w:rPr>
          <w:rFonts w:ascii="Arial" w:hAnsi="Arial" w:cs="Arial"/>
          <w:b/>
          <w:sz w:val="20"/>
        </w:rPr>
        <w:t>Vehicles</w:t>
      </w:r>
    </w:p>
    <w:p w14:paraId="1531C5D9" w14:textId="77777777" w:rsidR="00CA11D6" w:rsidRPr="00806B7F" w:rsidRDefault="00CA11D6" w:rsidP="00CA11D6">
      <w:pPr>
        <w:jc w:val="both"/>
        <w:rPr>
          <w:rFonts w:ascii="Arial" w:hAnsi="Arial" w:cs="Arial"/>
          <w:sz w:val="20"/>
        </w:rPr>
      </w:pPr>
    </w:p>
    <w:p w14:paraId="317FD3B9" w14:textId="77777777" w:rsidR="00CA11D6" w:rsidRPr="00806B7F" w:rsidRDefault="00CA11D6" w:rsidP="00CA11D6">
      <w:pPr>
        <w:jc w:val="both"/>
        <w:rPr>
          <w:rFonts w:ascii="Arial" w:hAnsi="Arial" w:cs="Arial"/>
          <w:sz w:val="20"/>
        </w:rPr>
      </w:pPr>
      <w:r w:rsidRPr="00806B7F">
        <w:rPr>
          <w:rFonts w:ascii="Arial" w:hAnsi="Arial" w:cs="Arial"/>
          <w:sz w:val="20"/>
        </w:rPr>
        <w:t>The Fleet Asset Management plan has been used as a basis to identify the following vehicle replacement programme, which is based on current approved lives:-</w:t>
      </w:r>
    </w:p>
    <w:p w14:paraId="0FEA3B66" w14:textId="77777777" w:rsidR="00CA11D6" w:rsidRPr="00806B7F" w:rsidRDefault="00CA11D6" w:rsidP="00CA11D6">
      <w:pPr>
        <w:jc w:val="both"/>
        <w:rPr>
          <w:rFonts w:ascii="Arial" w:hAnsi="Arial" w:cs="Arial"/>
          <w:sz w:val="20"/>
        </w:rPr>
      </w:pPr>
    </w:p>
    <w:p w14:paraId="27F56DB5"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3 Vehicle Requirements (Numbers and cost by type per year)</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74"/>
        <w:gridCol w:w="1219"/>
        <w:gridCol w:w="1077"/>
        <w:gridCol w:w="1077"/>
        <w:gridCol w:w="1077"/>
        <w:gridCol w:w="1078"/>
      </w:tblGrid>
      <w:tr w:rsidR="00CA11D6" w:rsidRPr="00806B7F" w14:paraId="3AB7AB23" w14:textId="77777777" w:rsidTr="00A369A1">
        <w:trPr>
          <w:trHeight w:val="262"/>
        </w:trPr>
        <w:tc>
          <w:tcPr>
            <w:tcW w:w="3574" w:type="dxa"/>
          </w:tcPr>
          <w:p w14:paraId="0D7E6E55" w14:textId="77777777" w:rsidR="00CA11D6" w:rsidRPr="00806B7F" w:rsidRDefault="00CA11D6" w:rsidP="00A369A1">
            <w:pPr>
              <w:keepNext/>
              <w:spacing w:before="120" w:after="120"/>
              <w:jc w:val="both"/>
              <w:outlineLvl w:val="5"/>
              <w:rPr>
                <w:rFonts w:ascii="Arial" w:hAnsi="Arial" w:cs="Arial"/>
                <w:b/>
                <w:sz w:val="20"/>
              </w:rPr>
            </w:pPr>
          </w:p>
        </w:tc>
        <w:tc>
          <w:tcPr>
            <w:tcW w:w="5528" w:type="dxa"/>
            <w:gridSpan w:val="5"/>
          </w:tcPr>
          <w:p w14:paraId="465B617C" w14:textId="77777777" w:rsidR="00CA11D6" w:rsidRPr="00806B7F" w:rsidRDefault="00CA11D6" w:rsidP="00A369A1">
            <w:pPr>
              <w:jc w:val="center"/>
              <w:rPr>
                <w:rFonts w:ascii="Arial" w:hAnsi="Arial" w:cs="Arial"/>
                <w:bCs/>
                <w:sz w:val="20"/>
              </w:rPr>
            </w:pPr>
            <w:r w:rsidRPr="00806B7F">
              <w:rPr>
                <w:rFonts w:ascii="Arial" w:hAnsi="Arial" w:cs="Arial"/>
                <w:bCs/>
                <w:sz w:val="20"/>
              </w:rPr>
              <w:t>No of Vehicles</w:t>
            </w:r>
          </w:p>
        </w:tc>
      </w:tr>
      <w:tr w:rsidR="00CA11D6" w:rsidRPr="00806B7F" w14:paraId="36EF92CC" w14:textId="77777777" w:rsidTr="00A369A1">
        <w:trPr>
          <w:trHeight w:val="262"/>
        </w:trPr>
        <w:tc>
          <w:tcPr>
            <w:tcW w:w="3574" w:type="dxa"/>
          </w:tcPr>
          <w:p w14:paraId="332D366E" w14:textId="77777777" w:rsidR="00CA11D6" w:rsidRPr="00806B7F" w:rsidRDefault="00CA11D6" w:rsidP="00A369A1">
            <w:pPr>
              <w:keepNext/>
              <w:spacing w:before="120" w:after="120"/>
              <w:jc w:val="both"/>
              <w:outlineLvl w:val="5"/>
              <w:rPr>
                <w:rFonts w:ascii="Arial" w:hAnsi="Arial" w:cs="Arial"/>
                <w:b/>
                <w:sz w:val="20"/>
              </w:rPr>
            </w:pPr>
            <w:r w:rsidRPr="00806B7F">
              <w:rPr>
                <w:rFonts w:ascii="Arial" w:hAnsi="Arial" w:cs="Arial"/>
                <w:b/>
                <w:sz w:val="20"/>
              </w:rPr>
              <w:t>Type of Vehicle</w:t>
            </w:r>
          </w:p>
        </w:tc>
        <w:tc>
          <w:tcPr>
            <w:tcW w:w="1219" w:type="dxa"/>
          </w:tcPr>
          <w:p w14:paraId="688DF632"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077" w:type="dxa"/>
          </w:tcPr>
          <w:p w14:paraId="292ACD02"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077" w:type="dxa"/>
          </w:tcPr>
          <w:p w14:paraId="6A078E54"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077" w:type="dxa"/>
          </w:tcPr>
          <w:p w14:paraId="3EEC2D18"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078" w:type="dxa"/>
          </w:tcPr>
          <w:p w14:paraId="058ABFDF"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r>
      <w:tr w:rsidR="00CA11D6" w:rsidRPr="00806B7F" w14:paraId="433348C4" w14:textId="77777777" w:rsidTr="00A369A1">
        <w:trPr>
          <w:trHeight w:val="262"/>
        </w:trPr>
        <w:tc>
          <w:tcPr>
            <w:tcW w:w="3574" w:type="dxa"/>
          </w:tcPr>
          <w:p w14:paraId="1FDF6C36"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Pumping Appliance</w:t>
            </w:r>
          </w:p>
        </w:tc>
        <w:tc>
          <w:tcPr>
            <w:tcW w:w="1219" w:type="dxa"/>
          </w:tcPr>
          <w:p w14:paraId="59470DC3" w14:textId="77777777" w:rsidR="00CA11D6" w:rsidRPr="00806B7F" w:rsidRDefault="00CA11D6" w:rsidP="00A369A1">
            <w:pPr>
              <w:jc w:val="center"/>
              <w:rPr>
                <w:rFonts w:ascii="Arial" w:hAnsi="Arial" w:cs="Arial"/>
                <w:bCs/>
                <w:sz w:val="20"/>
              </w:rPr>
            </w:pPr>
            <w:r w:rsidRPr="00806B7F">
              <w:rPr>
                <w:rFonts w:ascii="Arial" w:hAnsi="Arial" w:cs="Arial"/>
                <w:bCs/>
                <w:sz w:val="20"/>
              </w:rPr>
              <w:t>13</w:t>
            </w:r>
          </w:p>
        </w:tc>
        <w:tc>
          <w:tcPr>
            <w:tcW w:w="1077" w:type="dxa"/>
          </w:tcPr>
          <w:p w14:paraId="15E7C9E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838A6FC" w14:textId="77777777" w:rsidR="00CA11D6" w:rsidRPr="00806B7F" w:rsidRDefault="00CA11D6" w:rsidP="00A369A1">
            <w:pPr>
              <w:jc w:val="center"/>
              <w:rPr>
                <w:rFonts w:ascii="Arial" w:hAnsi="Arial" w:cs="Arial"/>
                <w:bCs/>
                <w:sz w:val="20"/>
              </w:rPr>
            </w:pPr>
            <w:r w:rsidRPr="00806B7F">
              <w:rPr>
                <w:rFonts w:ascii="Arial" w:hAnsi="Arial" w:cs="Arial"/>
                <w:bCs/>
                <w:sz w:val="20"/>
              </w:rPr>
              <w:t>3</w:t>
            </w:r>
          </w:p>
        </w:tc>
        <w:tc>
          <w:tcPr>
            <w:tcW w:w="1077" w:type="dxa"/>
          </w:tcPr>
          <w:p w14:paraId="306B011E" w14:textId="77777777" w:rsidR="00CA11D6" w:rsidRPr="00806B7F" w:rsidRDefault="00CA11D6" w:rsidP="00A369A1">
            <w:pPr>
              <w:jc w:val="center"/>
              <w:rPr>
                <w:rFonts w:ascii="Arial" w:hAnsi="Arial" w:cs="Arial"/>
                <w:bCs/>
                <w:sz w:val="20"/>
              </w:rPr>
            </w:pPr>
            <w:r w:rsidRPr="00806B7F">
              <w:rPr>
                <w:rFonts w:ascii="Arial" w:hAnsi="Arial" w:cs="Arial"/>
                <w:bCs/>
                <w:sz w:val="20"/>
              </w:rPr>
              <w:t>6</w:t>
            </w:r>
          </w:p>
        </w:tc>
        <w:tc>
          <w:tcPr>
            <w:tcW w:w="1078" w:type="dxa"/>
          </w:tcPr>
          <w:p w14:paraId="1416A136" w14:textId="77777777" w:rsidR="00CA11D6" w:rsidRPr="00806B7F" w:rsidRDefault="00CA11D6" w:rsidP="00A369A1">
            <w:pPr>
              <w:jc w:val="center"/>
              <w:rPr>
                <w:rFonts w:ascii="Arial" w:hAnsi="Arial" w:cs="Arial"/>
                <w:bCs/>
                <w:sz w:val="20"/>
              </w:rPr>
            </w:pPr>
            <w:r w:rsidRPr="00806B7F">
              <w:rPr>
                <w:rFonts w:ascii="Arial" w:hAnsi="Arial" w:cs="Arial"/>
                <w:bCs/>
                <w:sz w:val="20"/>
              </w:rPr>
              <w:t>11</w:t>
            </w:r>
          </w:p>
        </w:tc>
      </w:tr>
      <w:tr w:rsidR="00CA11D6" w:rsidRPr="00806B7F" w14:paraId="37F193AF" w14:textId="77777777" w:rsidTr="00A369A1">
        <w:trPr>
          <w:trHeight w:val="262"/>
        </w:trPr>
        <w:tc>
          <w:tcPr>
            <w:tcW w:w="3574" w:type="dxa"/>
          </w:tcPr>
          <w:p w14:paraId="217B713B"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Climate Change Vehicle</w:t>
            </w:r>
          </w:p>
        </w:tc>
        <w:tc>
          <w:tcPr>
            <w:tcW w:w="1219" w:type="dxa"/>
          </w:tcPr>
          <w:p w14:paraId="17B398BD" w14:textId="77777777" w:rsidR="00CA11D6" w:rsidRPr="00806B7F" w:rsidRDefault="00CA11D6" w:rsidP="00A369A1">
            <w:pPr>
              <w:jc w:val="center"/>
              <w:rPr>
                <w:rFonts w:ascii="Arial" w:hAnsi="Arial" w:cs="Arial"/>
                <w:bCs/>
                <w:sz w:val="20"/>
              </w:rPr>
            </w:pPr>
            <w:r w:rsidRPr="00806B7F">
              <w:rPr>
                <w:rFonts w:ascii="Arial" w:hAnsi="Arial" w:cs="Arial"/>
                <w:bCs/>
                <w:sz w:val="20"/>
              </w:rPr>
              <w:t>2</w:t>
            </w:r>
          </w:p>
        </w:tc>
        <w:tc>
          <w:tcPr>
            <w:tcW w:w="1077" w:type="dxa"/>
          </w:tcPr>
          <w:p w14:paraId="5FF735E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9DB649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60AFAD6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4E9B53F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71593066" w14:textId="77777777" w:rsidTr="00A369A1">
        <w:trPr>
          <w:trHeight w:val="262"/>
        </w:trPr>
        <w:tc>
          <w:tcPr>
            <w:tcW w:w="3574" w:type="dxa"/>
          </w:tcPr>
          <w:p w14:paraId="49BB6FB3"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Command Unit</w:t>
            </w:r>
          </w:p>
        </w:tc>
        <w:tc>
          <w:tcPr>
            <w:tcW w:w="1219" w:type="dxa"/>
          </w:tcPr>
          <w:p w14:paraId="36B8F8AD" w14:textId="77777777" w:rsidR="00CA11D6" w:rsidRPr="00806B7F" w:rsidRDefault="00CA11D6" w:rsidP="00A369A1">
            <w:pPr>
              <w:jc w:val="center"/>
              <w:rPr>
                <w:rFonts w:ascii="Arial" w:hAnsi="Arial" w:cs="Arial"/>
                <w:bCs/>
                <w:sz w:val="20"/>
              </w:rPr>
            </w:pPr>
            <w:r w:rsidRPr="00806B7F">
              <w:rPr>
                <w:rFonts w:ascii="Arial" w:hAnsi="Arial" w:cs="Arial"/>
                <w:bCs/>
                <w:sz w:val="20"/>
              </w:rPr>
              <w:t>3</w:t>
            </w:r>
          </w:p>
        </w:tc>
        <w:tc>
          <w:tcPr>
            <w:tcW w:w="1077" w:type="dxa"/>
          </w:tcPr>
          <w:p w14:paraId="7128C5B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4436A2A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F0B978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AC1A16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667FDBAC" w14:textId="77777777" w:rsidTr="00A369A1">
        <w:trPr>
          <w:trHeight w:val="262"/>
        </w:trPr>
        <w:tc>
          <w:tcPr>
            <w:tcW w:w="3574" w:type="dxa"/>
          </w:tcPr>
          <w:p w14:paraId="05A2A661"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Water Tower</w:t>
            </w:r>
          </w:p>
        </w:tc>
        <w:tc>
          <w:tcPr>
            <w:tcW w:w="1219" w:type="dxa"/>
          </w:tcPr>
          <w:p w14:paraId="4BD58B50" w14:textId="77777777" w:rsidR="00CA11D6" w:rsidRPr="00806B7F" w:rsidRDefault="00CA11D6" w:rsidP="00A369A1">
            <w:pPr>
              <w:jc w:val="center"/>
              <w:rPr>
                <w:rFonts w:ascii="Arial" w:hAnsi="Arial" w:cs="Arial"/>
                <w:bCs/>
                <w:sz w:val="20"/>
              </w:rPr>
            </w:pPr>
            <w:r w:rsidRPr="00806B7F">
              <w:rPr>
                <w:rFonts w:ascii="Arial" w:hAnsi="Arial" w:cs="Arial"/>
                <w:bCs/>
                <w:sz w:val="20"/>
              </w:rPr>
              <w:t>2</w:t>
            </w:r>
          </w:p>
        </w:tc>
        <w:tc>
          <w:tcPr>
            <w:tcW w:w="1077" w:type="dxa"/>
          </w:tcPr>
          <w:p w14:paraId="5A4E5F1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0BA3E0B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8EF6AC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03E0EA0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4C747EDB" w14:textId="77777777" w:rsidTr="00A369A1">
        <w:trPr>
          <w:trHeight w:val="262"/>
        </w:trPr>
        <w:tc>
          <w:tcPr>
            <w:tcW w:w="3574" w:type="dxa"/>
          </w:tcPr>
          <w:p w14:paraId="521B455A"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Aerial appliance</w:t>
            </w:r>
          </w:p>
        </w:tc>
        <w:tc>
          <w:tcPr>
            <w:tcW w:w="1219" w:type="dxa"/>
          </w:tcPr>
          <w:p w14:paraId="7B406ECD" w14:textId="77777777" w:rsidR="00CA11D6" w:rsidRPr="00806B7F" w:rsidRDefault="00CA11D6" w:rsidP="00A369A1">
            <w:pPr>
              <w:jc w:val="center"/>
              <w:rPr>
                <w:rFonts w:ascii="Arial" w:hAnsi="Arial" w:cs="Arial"/>
                <w:bCs/>
                <w:sz w:val="20"/>
              </w:rPr>
            </w:pPr>
            <w:r w:rsidRPr="00806B7F">
              <w:rPr>
                <w:rFonts w:ascii="Arial" w:hAnsi="Arial" w:cs="Arial"/>
                <w:bCs/>
                <w:sz w:val="20"/>
              </w:rPr>
              <w:t>1</w:t>
            </w:r>
          </w:p>
        </w:tc>
        <w:tc>
          <w:tcPr>
            <w:tcW w:w="1077" w:type="dxa"/>
          </w:tcPr>
          <w:p w14:paraId="71E797E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CBB1BE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112A8CE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286BD91A"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133FAE64" w14:textId="77777777" w:rsidTr="00A369A1">
        <w:trPr>
          <w:trHeight w:val="262"/>
        </w:trPr>
        <w:tc>
          <w:tcPr>
            <w:tcW w:w="3574" w:type="dxa"/>
          </w:tcPr>
          <w:p w14:paraId="2C336B2E"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All-Terrain Vehicle</w:t>
            </w:r>
          </w:p>
        </w:tc>
        <w:tc>
          <w:tcPr>
            <w:tcW w:w="1219" w:type="dxa"/>
          </w:tcPr>
          <w:p w14:paraId="4BA39276" w14:textId="77777777" w:rsidR="00CA11D6" w:rsidRPr="00806B7F" w:rsidRDefault="00CA11D6" w:rsidP="00A369A1">
            <w:pPr>
              <w:jc w:val="center"/>
              <w:rPr>
                <w:rFonts w:ascii="Arial" w:hAnsi="Arial" w:cs="Arial"/>
                <w:bCs/>
                <w:sz w:val="20"/>
              </w:rPr>
            </w:pPr>
            <w:r w:rsidRPr="00806B7F">
              <w:rPr>
                <w:rFonts w:ascii="Arial" w:hAnsi="Arial" w:cs="Arial"/>
                <w:bCs/>
                <w:sz w:val="20"/>
              </w:rPr>
              <w:t>1</w:t>
            </w:r>
          </w:p>
        </w:tc>
        <w:tc>
          <w:tcPr>
            <w:tcW w:w="1077" w:type="dxa"/>
          </w:tcPr>
          <w:p w14:paraId="5D368F0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111A21C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28E195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106F273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33F85266" w14:textId="77777777" w:rsidTr="00A369A1">
        <w:trPr>
          <w:trHeight w:val="262"/>
        </w:trPr>
        <w:tc>
          <w:tcPr>
            <w:tcW w:w="3574" w:type="dxa"/>
          </w:tcPr>
          <w:p w14:paraId="0D11E429"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Prime mover</w:t>
            </w:r>
          </w:p>
        </w:tc>
        <w:tc>
          <w:tcPr>
            <w:tcW w:w="1219" w:type="dxa"/>
          </w:tcPr>
          <w:p w14:paraId="026AA45B" w14:textId="77777777" w:rsidR="00CA11D6" w:rsidRPr="00806B7F" w:rsidRDefault="00CA11D6" w:rsidP="00A369A1">
            <w:pPr>
              <w:jc w:val="center"/>
              <w:rPr>
                <w:rFonts w:ascii="Arial" w:hAnsi="Arial" w:cs="Arial"/>
                <w:bCs/>
                <w:sz w:val="20"/>
              </w:rPr>
            </w:pPr>
            <w:r w:rsidRPr="00806B7F">
              <w:rPr>
                <w:rFonts w:ascii="Arial" w:hAnsi="Arial" w:cs="Arial"/>
                <w:bCs/>
                <w:sz w:val="20"/>
              </w:rPr>
              <w:t>2</w:t>
            </w:r>
          </w:p>
        </w:tc>
        <w:tc>
          <w:tcPr>
            <w:tcW w:w="1077" w:type="dxa"/>
          </w:tcPr>
          <w:p w14:paraId="502FF80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B4AC42A"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E5462C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665DB51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1F16077E" w14:textId="77777777" w:rsidTr="00A369A1">
        <w:trPr>
          <w:trHeight w:val="262"/>
        </w:trPr>
        <w:tc>
          <w:tcPr>
            <w:tcW w:w="3574" w:type="dxa"/>
          </w:tcPr>
          <w:p w14:paraId="587DEB3E"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Pod</w:t>
            </w:r>
          </w:p>
        </w:tc>
        <w:tc>
          <w:tcPr>
            <w:tcW w:w="1219" w:type="dxa"/>
          </w:tcPr>
          <w:p w14:paraId="71B6A1B5" w14:textId="77777777" w:rsidR="00CA11D6" w:rsidRPr="00806B7F" w:rsidRDefault="00CA11D6" w:rsidP="00A369A1">
            <w:pPr>
              <w:jc w:val="center"/>
              <w:rPr>
                <w:rFonts w:ascii="Arial" w:hAnsi="Arial" w:cs="Arial"/>
                <w:bCs/>
                <w:snapToGrid w:val="0"/>
                <w:color w:val="000000"/>
                <w:sz w:val="20"/>
                <w:lang w:eastAsia="en-US"/>
              </w:rPr>
            </w:pPr>
            <w:r w:rsidRPr="00806B7F">
              <w:rPr>
                <w:rFonts w:ascii="Arial" w:hAnsi="Arial" w:cs="Arial"/>
                <w:bCs/>
                <w:snapToGrid w:val="0"/>
                <w:color w:val="000000"/>
                <w:sz w:val="20"/>
                <w:lang w:eastAsia="en-US"/>
              </w:rPr>
              <w:t>3</w:t>
            </w:r>
          </w:p>
        </w:tc>
        <w:tc>
          <w:tcPr>
            <w:tcW w:w="1077" w:type="dxa"/>
          </w:tcPr>
          <w:p w14:paraId="06668415" w14:textId="77777777" w:rsidR="00CA11D6" w:rsidRPr="00806B7F" w:rsidRDefault="00CA11D6" w:rsidP="00A369A1">
            <w:pPr>
              <w:jc w:val="center"/>
              <w:rPr>
                <w:rFonts w:ascii="Arial" w:hAnsi="Arial" w:cs="Arial"/>
                <w:bCs/>
                <w:snapToGrid w:val="0"/>
                <w:color w:val="000000"/>
                <w:sz w:val="20"/>
                <w:lang w:eastAsia="en-US"/>
              </w:rPr>
            </w:pPr>
            <w:r w:rsidRPr="00806B7F">
              <w:rPr>
                <w:rFonts w:ascii="Arial" w:hAnsi="Arial" w:cs="Arial"/>
                <w:bCs/>
                <w:snapToGrid w:val="0"/>
                <w:color w:val="000000"/>
                <w:sz w:val="20"/>
                <w:lang w:eastAsia="en-US"/>
              </w:rPr>
              <w:t>-</w:t>
            </w:r>
          </w:p>
        </w:tc>
        <w:tc>
          <w:tcPr>
            <w:tcW w:w="1077" w:type="dxa"/>
          </w:tcPr>
          <w:p w14:paraId="25E5DFB0" w14:textId="77777777" w:rsidR="00CA11D6" w:rsidRPr="00806B7F" w:rsidRDefault="00CA11D6" w:rsidP="00A369A1">
            <w:pPr>
              <w:jc w:val="center"/>
              <w:rPr>
                <w:rFonts w:ascii="Arial" w:hAnsi="Arial" w:cs="Arial"/>
                <w:bCs/>
                <w:snapToGrid w:val="0"/>
                <w:color w:val="000000"/>
                <w:sz w:val="20"/>
                <w:lang w:eastAsia="en-US"/>
              </w:rPr>
            </w:pPr>
            <w:r w:rsidRPr="00806B7F">
              <w:rPr>
                <w:rFonts w:ascii="Arial" w:hAnsi="Arial" w:cs="Arial"/>
                <w:bCs/>
                <w:sz w:val="20"/>
              </w:rPr>
              <w:t>-</w:t>
            </w:r>
          </w:p>
        </w:tc>
        <w:tc>
          <w:tcPr>
            <w:tcW w:w="1077" w:type="dxa"/>
          </w:tcPr>
          <w:p w14:paraId="7EC33667" w14:textId="77777777" w:rsidR="00CA11D6" w:rsidRPr="00806B7F" w:rsidRDefault="00CA11D6" w:rsidP="00A369A1">
            <w:pPr>
              <w:jc w:val="center"/>
              <w:rPr>
                <w:rFonts w:ascii="Arial" w:hAnsi="Arial" w:cs="Arial"/>
                <w:bCs/>
                <w:snapToGrid w:val="0"/>
                <w:color w:val="000000"/>
                <w:sz w:val="20"/>
                <w:lang w:eastAsia="en-US"/>
              </w:rPr>
            </w:pPr>
            <w:r w:rsidRPr="00806B7F">
              <w:rPr>
                <w:rFonts w:ascii="Arial" w:hAnsi="Arial" w:cs="Arial"/>
                <w:bCs/>
                <w:sz w:val="20"/>
              </w:rPr>
              <w:t>-</w:t>
            </w:r>
          </w:p>
        </w:tc>
        <w:tc>
          <w:tcPr>
            <w:tcW w:w="1078" w:type="dxa"/>
          </w:tcPr>
          <w:p w14:paraId="220B1AF6" w14:textId="77777777" w:rsidR="00CA11D6" w:rsidRPr="00806B7F" w:rsidRDefault="00CA11D6" w:rsidP="00A369A1">
            <w:pPr>
              <w:jc w:val="center"/>
              <w:rPr>
                <w:rFonts w:ascii="Arial" w:hAnsi="Arial" w:cs="Arial"/>
                <w:bCs/>
                <w:snapToGrid w:val="0"/>
                <w:color w:val="000000"/>
                <w:sz w:val="20"/>
                <w:lang w:eastAsia="en-US"/>
              </w:rPr>
            </w:pPr>
            <w:r w:rsidRPr="00806B7F">
              <w:rPr>
                <w:rFonts w:ascii="Arial" w:hAnsi="Arial" w:cs="Arial"/>
                <w:bCs/>
                <w:sz w:val="20"/>
              </w:rPr>
              <w:t>1</w:t>
            </w:r>
          </w:p>
        </w:tc>
      </w:tr>
      <w:tr w:rsidR="00CA11D6" w:rsidRPr="00806B7F" w14:paraId="636AF25B" w14:textId="77777777" w:rsidTr="00A369A1">
        <w:trPr>
          <w:trHeight w:val="262"/>
        </w:trPr>
        <w:tc>
          <w:tcPr>
            <w:tcW w:w="3574" w:type="dxa"/>
          </w:tcPr>
          <w:p w14:paraId="2B2A2220"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Operational Support Vehicles</w:t>
            </w:r>
          </w:p>
        </w:tc>
        <w:tc>
          <w:tcPr>
            <w:tcW w:w="1219" w:type="dxa"/>
          </w:tcPr>
          <w:p w14:paraId="0A6BE5B1" w14:textId="77777777" w:rsidR="00CA11D6" w:rsidRPr="00806B7F" w:rsidRDefault="00CA11D6" w:rsidP="00A369A1">
            <w:pPr>
              <w:jc w:val="center"/>
              <w:rPr>
                <w:rFonts w:ascii="Arial" w:hAnsi="Arial" w:cs="Arial"/>
                <w:bCs/>
                <w:sz w:val="20"/>
              </w:rPr>
            </w:pPr>
            <w:r w:rsidRPr="00806B7F">
              <w:rPr>
                <w:rFonts w:ascii="Arial" w:hAnsi="Arial" w:cs="Arial"/>
                <w:bCs/>
                <w:sz w:val="20"/>
              </w:rPr>
              <w:t>37</w:t>
            </w:r>
          </w:p>
        </w:tc>
        <w:tc>
          <w:tcPr>
            <w:tcW w:w="1077" w:type="dxa"/>
          </w:tcPr>
          <w:p w14:paraId="68577663" w14:textId="77777777" w:rsidR="00CA11D6" w:rsidRPr="00806B7F" w:rsidRDefault="00CA11D6" w:rsidP="00A369A1">
            <w:pPr>
              <w:jc w:val="center"/>
              <w:rPr>
                <w:rFonts w:ascii="Arial" w:hAnsi="Arial" w:cs="Arial"/>
                <w:bCs/>
                <w:sz w:val="20"/>
              </w:rPr>
            </w:pPr>
            <w:r w:rsidRPr="00806B7F">
              <w:rPr>
                <w:rFonts w:ascii="Arial" w:hAnsi="Arial" w:cs="Arial"/>
                <w:bCs/>
                <w:sz w:val="20"/>
              </w:rPr>
              <w:t>20</w:t>
            </w:r>
          </w:p>
        </w:tc>
        <w:tc>
          <w:tcPr>
            <w:tcW w:w="1077" w:type="dxa"/>
          </w:tcPr>
          <w:p w14:paraId="7E65B1EA" w14:textId="77777777" w:rsidR="00CA11D6" w:rsidRPr="00806B7F" w:rsidRDefault="00CA11D6" w:rsidP="00A369A1">
            <w:pPr>
              <w:jc w:val="center"/>
              <w:rPr>
                <w:rFonts w:ascii="Arial" w:hAnsi="Arial" w:cs="Arial"/>
                <w:bCs/>
                <w:sz w:val="20"/>
              </w:rPr>
            </w:pPr>
            <w:r w:rsidRPr="00806B7F">
              <w:rPr>
                <w:rFonts w:ascii="Arial" w:hAnsi="Arial" w:cs="Arial"/>
                <w:bCs/>
                <w:sz w:val="20"/>
              </w:rPr>
              <w:t>12</w:t>
            </w:r>
          </w:p>
        </w:tc>
        <w:tc>
          <w:tcPr>
            <w:tcW w:w="1077" w:type="dxa"/>
          </w:tcPr>
          <w:p w14:paraId="1E676B2D" w14:textId="77777777" w:rsidR="00CA11D6" w:rsidRPr="00806B7F" w:rsidRDefault="00CA11D6" w:rsidP="00A369A1">
            <w:pPr>
              <w:jc w:val="center"/>
              <w:rPr>
                <w:rFonts w:ascii="Arial" w:hAnsi="Arial" w:cs="Arial"/>
                <w:bCs/>
                <w:sz w:val="20"/>
              </w:rPr>
            </w:pPr>
            <w:r w:rsidRPr="00806B7F">
              <w:rPr>
                <w:rFonts w:ascii="Arial" w:hAnsi="Arial" w:cs="Arial"/>
                <w:bCs/>
                <w:sz w:val="20"/>
              </w:rPr>
              <w:t>16</w:t>
            </w:r>
          </w:p>
        </w:tc>
        <w:tc>
          <w:tcPr>
            <w:tcW w:w="1078" w:type="dxa"/>
          </w:tcPr>
          <w:p w14:paraId="008758EB" w14:textId="77777777" w:rsidR="00CA11D6" w:rsidRPr="00806B7F" w:rsidRDefault="00CA11D6" w:rsidP="00A369A1">
            <w:pPr>
              <w:jc w:val="center"/>
              <w:rPr>
                <w:rFonts w:ascii="Arial" w:hAnsi="Arial" w:cs="Arial"/>
                <w:bCs/>
                <w:sz w:val="20"/>
              </w:rPr>
            </w:pPr>
            <w:r w:rsidRPr="00806B7F">
              <w:rPr>
                <w:rFonts w:ascii="Arial" w:hAnsi="Arial" w:cs="Arial"/>
                <w:bCs/>
                <w:sz w:val="20"/>
              </w:rPr>
              <w:t>18</w:t>
            </w:r>
          </w:p>
        </w:tc>
      </w:tr>
      <w:tr w:rsidR="00CA11D6" w:rsidRPr="00806B7F" w14:paraId="22008FFA" w14:textId="77777777" w:rsidTr="00A369A1">
        <w:trPr>
          <w:trHeight w:val="262"/>
        </w:trPr>
        <w:tc>
          <w:tcPr>
            <w:tcW w:w="3574" w:type="dxa"/>
          </w:tcPr>
          <w:p w14:paraId="18E075BD" w14:textId="77777777" w:rsidR="00CA11D6" w:rsidRPr="00806B7F" w:rsidRDefault="00CA11D6" w:rsidP="00A369A1">
            <w:pPr>
              <w:jc w:val="both"/>
              <w:rPr>
                <w:rFonts w:ascii="Arial" w:hAnsi="Arial" w:cs="Arial"/>
                <w:snapToGrid w:val="0"/>
                <w:color w:val="000000"/>
                <w:sz w:val="20"/>
                <w:lang w:eastAsia="en-US"/>
              </w:rPr>
            </w:pPr>
          </w:p>
        </w:tc>
        <w:tc>
          <w:tcPr>
            <w:tcW w:w="1219" w:type="dxa"/>
          </w:tcPr>
          <w:p w14:paraId="76118915" w14:textId="77777777" w:rsidR="00CA11D6" w:rsidRPr="00806B7F" w:rsidRDefault="00CA11D6" w:rsidP="00A369A1">
            <w:pPr>
              <w:jc w:val="center"/>
              <w:rPr>
                <w:rFonts w:ascii="Arial" w:hAnsi="Arial" w:cs="Arial"/>
                <w:bCs/>
                <w:sz w:val="20"/>
              </w:rPr>
            </w:pPr>
            <w:r w:rsidRPr="00806B7F">
              <w:rPr>
                <w:rFonts w:ascii="Arial" w:hAnsi="Arial" w:cs="Arial"/>
                <w:bCs/>
                <w:sz w:val="20"/>
              </w:rPr>
              <w:t>64</w:t>
            </w:r>
          </w:p>
        </w:tc>
        <w:tc>
          <w:tcPr>
            <w:tcW w:w="1077" w:type="dxa"/>
          </w:tcPr>
          <w:p w14:paraId="19C4D807" w14:textId="77777777" w:rsidR="00CA11D6" w:rsidRPr="00806B7F" w:rsidRDefault="00CA11D6" w:rsidP="00A369A1">
            <w:pPr>
              <w:jc w:val="center"/>
              <w:rPr>
                <w:rFonts w:ascii="Arial" w:hAnsi="Arial" w:cs="Arial"/>
                <w:bCs/>
                <w:sz w:val="20"/>
              </w:rPr>
            </w:pPr>
            <w:r w:rsidRPr="00806B7F">
              <w:rPr>
                <w:rFonts w:ascii="Arial" w:hAnsi="Arial" w:cs="Arial"/>
                <w:bCs/>
                <w:sz w:val="20"/>
              </w:rPr>
              <w:t>20</w:t>
            </w:r>
          </w:p>
        </w:tc>
        <w:tc>
          <w:tcPr>
            <w:tcW w:w="1077" w:type="dxa"/>
          </w:tcPr>
          <w:p w14:paraId="2FA03F83" w14:textId="77777777" w:rsidR="00CA11D6" w:rsidRPr="00806B7F" w:rsidRDefault="00CA11D6" w:rsidP="00A369A1">
            <w:pPr>
              <w:jc w:val="center"/>
              <w:rPr>
                <w:rFonts w:ascii="Arial" w:hAnsi="Arial" w:cs="Arial"/>
                <w:bCs/>
                <w:sz w:val="20"/>
              </w:rPr>
            </w:pPr>
            <w:r w:rsidRPr="00806B7F">
              <w:rPr>
                <w:rFonts w:ascii="Arial" w:hAnsi="Arial" w:cs="Arial"/>
                <w:bCs/>
                <w:sz w:val="20"/>
              </w:rPr>
              <w:t>15</w:t>
            </w:r>
          </w:p>
        </w:tc>
        <w:tc>
          <w:tcPr>
            <w:tcW w:w="1077" w:type="dxa"/>
          </w:tcPr>
          <w:p w14:paraId="31B15C8F" w14:textId="77777777" w:rsidR="00CA11D6" w:rsidRPr="00806B7F" w:rsidRDefault="00CA11D6" w:rsidP="00A369A1">
            <w:pPr>
              <w:jc w:val="center"/>
              <w:rPr>
                <w:rFonts w:ascii="Arial" w:hAnsi="Arial" w:cs="Arial"/>
                <w:bCs/>
                <w:sz w:val="20"/>
              </w:rPr>
            </w:pPr>
            <w:r w:rsidRPr="00806B7F">
              <w:rPr>
                <w:rFonts w:ascii="Arial" w:hAnsi="Arial" w:cs="Arial"/>
                <w:bCs/>
                <w:sz w:val="20"/>
              </w:rPr>
              <w:t>22</w:t>
            </w:r>
          </w:p>
        </w:tc>
        <w:tc>
          <w:tcPr>
            <w:tcW w:w="1078" w:type="dxa"/>
          </w:tcPr>
          <w:p w14:paraId="7C3896DD" w14:textId="77777777" w:rsidR="00CA11D6" w:rsidRPr="00806B7F" w:rsidRDefault="00CA11D6" w:rsidP="00A369A1">
            <w:pPr>
              <w:jc w:val="center"/>
              <w:rPr>
                <w:rFonts w:ascii="Arial" w:hAnsi="Arial" w:cs="Arial"/>
                <w:bCs/>
                <w:sz w:val="20"/>
              </w:rPr>
            </w:pPr>
            <w:r w:rsidRPr="00806B7F">
              <w:rPr>
                <w:rFonts w:ascii="Arial" w:hAnsi="Arial" w:cs="Arial"/>
                <w:bCs/>
                <w:sz w:val="20"/>
              </w:rPr>
              <w:t>30</w:t>
            </w:r>
          </w:p>
        </w:tc>
      </w:tr>
      <w:tr w:rsidR="00CA11D6" w:rsidRPr="00806B7F" w14:paraId="2AB0A02E" w14:textId="77777777" w:rsidTr="00A369A1">
        <w:trPr>
          <w:trHeight w:val="262"/>
        </w:trPr>
        <w:tc>
          <w:tcPr>
            <w:tcW w:w="3574" w:type="dxa"/>
          </w:tcPr>
          <w:p w14:paraId="0AA02EAF" w14:textId="77777777" w:rsidR="00CA11D6" w:rsidRPr="00806B7F" w:rsidRDefault="00CA11D6" w:rsidP="00A369A1">
            <w:pPr>
              <w:jc w:val="both"/>
              <w:rPr>
                <w:rFonts w:ascii="Arial" w:hAnsi="Arial" w:cs="Arial"/>
                <w:snapToGrid w:val="0"/>
                <w:color w:val="000000"/>
                <w:sz w:val="20"/>
                <w:lang w:eastAsia="en-US"/>
              </w:rPr>
            </w:pPr>
          </w:p>
        </w:tc>
        <w:tc>
          <w:tcPr>
            <w:tcW w:w="5528" w:type="dxa"/>
            <w:gridSpan w:val="5"/>
          </w:tcPr>
          <w:p w14:paraId="3E2BA047" w14:textId="77777777" w:rsidR="00CA11D6" w:rsidRPr="00806B7F" w:rsidRDefault="00CA11D6" w:rsidP="00A369A1">
            <w:pPr>
              <w:jc w:val="center"/>
              <w:rPr>
                <w:rFonts w:ascii="Arial" w:hAnsi="Arial" w:cs="Arial"/>
                <w:bCs/>
                <w:sz w:val="20"/>
              </w:rPr>
            </w:pPr>
            <w:r w:rsidRPr="00806B7F">
              <w:rPr>
                <w:rFonts w:ascii="Arial" w:hAnsi="Arial" w:cs="Arial"/>
                <w:bCs/>
                <w:sz w:val="20"/>
              </w:rPr>
              <w:t>Budget (£m)</w:t>
            </w:r>
          </w:p>
        </w:tc>
      </w:tr>
      <w:tr w:rsidR="00CA11D6" w:rsidRPr="00806B7F" w14:paraId="16271129" w14:textId="77777777" w:rsidTr="00A369A1">
        <w:trPr>
          <w:trHeight w:val="262"/>
        </w:trPr>
        <w:tc>
          <w:tcPr>
            <w:tcW w:w="3574" w:type="dxa"/>
          </w:tcPr>
          <w:p w14:paraId="54FDDD20"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Pumping Appliance</w:t>
            </w:r>
          </w:p>
        </w:tc>
        <w:tc>
          <w:tcPr>
            <w:tcW w:w="1219" w:type="dxa"/>
          </w:tcPr>
          <w:p w14:paraId="2A18FB5A" w14:textId="77777777" w:rsidR="00CA11D6" w:rsidRPr="00806B7F" w:rsidRDefault="00CA11D6" w:rsidP="00A369A1">
            <w:pPr>
              <w:jc w:val="center"/>
              <w:rPr>
                <w:rFonts w:ascii="Arial" w:hAnsi="Arial" w:cs="Arial"/>
                <w:bCs/>
                <w:sz w:val="20"/>
              </w:rPr>
            </w:pPr>
            <w:r w:rsidRPr="00806B7F">
              <w:rPr>
                <w:rFonts w:ascii="Arial" w:hAnsi="Arial" w:cs="Arial"/>
                <w:bCs/>
                <w:sz w:val="20"/>
              </w:rPr>
              <w:t>1.930</w:t>
            </w:r>
          </w:p>
        </w:tc>
        <w:tc>
          <w:tcPr>
            <w:tcW w:w="1077" w:type="dxa"/>
          </w:tcPr>
          <w:p w14:paraId="1B6F86A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08DC881" w14:textId="77777777" w:rsidR="00CA11D6" w:rsidRPr="00806B7F" w:rsidRDefault="00CA11D6" w:rsidP="00A369A1">
            <w:pPr>
              <w:jc w:val="center"/>
              <w:rPr>
                <w:rFonts w:ascii="Arial" w:hAnsi="Arial" w:cs="Arial"/>
                <w:bCs/>
                <w:sz w:val="20"/>
              </w:rPr>
            </w:pPr>
            <w:r w:rsidRPr="00806B7F">
              <w:rPr>
                <w:rFonts w:ascii="Arial" w:hAnsi="Arial" w:cs="Arial"/>
                <w:bCs/>
                <w:sz w:val="20"/>
              </w:rPr>
              <w:t>0.660</w:t>
            </w:r>
          </w:p>
        </w:tc>
        <w:tc>
          <w:tcPr>
            <w:tcW w:w="1077" w:type="dxa"/>
          </w:tcPr>
          <w:p w14:paraId="7A51BECC" w14:textId="77777777" w:rsidR="00CA11D6" w:rsidRPr="00806B7F" w:rsidRDefault="00CA11D6" w:rsidP="00A369A1">
            <w:pPr>
              <w:jc w:val="center"/>
              <w:rPr>
                <w:rFonts w:ascii="Arial" w:hAnsi="Arial" w:cs="Arial"/>
                <w:bCs/>
                <w:sz w:val="20"/>
              </w:rPr>
            </w:pPr>
            <w:r w:rsidRPr="00806B7F">
              <w:rPr>
                <w:rFonts w:ascii="Arial" w:hAnsi="Arial" w:cs="Arial"/>
                <w:bCs/>
                <w:sz w:val="20"/>
              </w:rPr>
              <w:t>1.320</w:t>
            </w:r>
          </w:p>
        </w:tc>
        <w:tc>
          <w:tcPr>
            <w:tcW w:w="1078" w:type="dxa"/>
          </w:tcPr>
          <w:p w14:paraId="2D119252" w14:textId="77777777" w:rsidR="00CA11D6" w:rsidRPr="00806B7F" w:rsidRDefault="00CA11D6" w:rsidP="00A369A1">
            <w:pPr>
              <w:jc w:val="center"/>
              <w:rPr>
                <w:rFonts w:ascii="Arial" w:hAnsi="Arial" w:cs="Arial"/>
                <w:bCs/>
                <w:sz w:val="20"/>
              </w:rPr>
            </w:pPr>
            <w:r w:rsidRPr="00806B7F">
              <w:rPr>
                <w:rFonts w:ascii="Arial" w:hAnsi="Arial" w:cs="Arial"/>
                <w:bCs/>
                <w:sz w:val="20"/>
              </w:rPr>
              <w:t>2.420</w:t>
            </w:r>
          </w:p>
        </w:tc>
      </w:tr>
      <w:tr w:rsidR="00CA11D6" w:rsidRPr="00806B7F" w14:paraId="7717C333" w14:textId="77777777" w:rsidTr="00A369A1">
        <w:trPr>
          <w:trHeight w:val="262"/>
        </w:trPr>
        <w:tc>
          <w:tcPr>
            <w:tcW w:w="3574" w:type="dxa"/>
          </w:tcPr>
          <w:p w14:paraId="73C9FC4D"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Climate Change Vehicle</w:t>
            </w:r>
          </w:p>
        </w:tc>
        <w:tc>
          <w:tcPr>
            <w:tcW w:w="1219" w:type="dxa"/>
          </w:tcPr>
          <w:p w14:paraId="26E10ED5" w14:textId="77777777" w:rsidR="00CA11D6" w:rsidRPr="00806B7F" w:rsidRDefault="00CA11D6" w:rsidP="00A369A1">
            <w:pPr>
              <w:jc w:val="center"/>
              <w:rPr>
                <w:rFonts w:ascii="Arial" w:hAnsi="Arial" w:cs="Arial"/>
                <w:bCs/>
                <w:sz w:val="20"/>
              </w:rPr>
            </w:pPr>
            <w:r w:rsidRPr="00806B7F">
              <w:rPr>
                <w:rFonts w:ascii="Arial" w:hAnsi="Arial" w:cs="Arial"/>
                <w:bCs/>
                <w:sz w:val="20"/>
              </w:rPr>
              <w:t>0.500</w:t>
            </w:r>
          </w:p>
        </w:tc>
        <w:tc>
          <w:tcPr>
            <w:tcW w:w="1077" w:type="dxa"/>
          </w:tcPr>
          <w:p w14:paraId="2302DAC5" w14:textId="77777777" w:rsidR="00CA11D6" w:rsidRPr="00806B7F" w:rsidDel="00911CF6"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F8F85CB" w14:textId="77777777" w:rsidR="00CA11D6" w:rsidRPr="00806B7F" w:rsidDel="00911CF6"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000C8881" w14:textId="77777777" w:rsidR="00CA11D6" w:rsidRPr="00806B7F" w:rsidDel="00911CF6"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BDD6279" w14:textId="77777777" w:rsidR="00CA11D6" w:rsidRPr="00806B7F" w:rsidDel="00911CF6"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6B7061B6" w14:textId="77777777" w:rsidTr="00A369A1">
        <w:trPr>
          <w:trHeight w:val="262"/>
        </w:trPr>
        <w:tc>
          <w:tcPr>
            <w:tcW w:w="3574" w:type="dxa"/>
          </w:tcPr>
          <w:p w14:paraId="65A8841F"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Command Unit</w:t>
            </w:r>
          </w:p>
        </w:tc>
        <w:tc>
          <w:tcPr>
            <w:tcW w:w="1219" w:type="dxa"/>
          </w:tcPr>
          <w:p w14:paraId="0CE17833" w14:textId="77777777" w:rsidR="00CA11D6" w:rsidRPr="00806B7F" w:rsidRDefault="00CA11D6" w:rsidP="00A369A1">
            <w:pPr>
              <w:jc w:val="center"/>
              <w:rPr>
                <w:rFonts w:ascii="Arial" w:hAnsi="Arial" w:cs="Arial"/>
                <w:bCs/>
                <w:sz w:val="20"/>
              </w:rPr>
            </w:pPr>
            <w:r w:rsidRPr="00806B7F">
              <w:rPr>
                <w:rFonts w:ascii="Arial" w:hAnsi="Arial" w:cs="Arial"/>
                <w:bCs/>
                <w:sz w:val="20"/>
              </w:rPr>
              <w:t>0.715</w:t>
            </w:r>
          </w:p>
        </w:tc>
        <w:tc>
          <w:tcPr>
            <w:tcW w:w="1077" w:type="dxa"/>
          </w:tcPr>
          <w:p w14:paraId="40CCF55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11EC3ED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F3418E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CABF20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0A9E973D" w14:textId="77777777" w:rsidTr="00A369A1">
        <w:trPr>
          <w:trHeight w:val="262"/>
        </w:trPr>
        <w:tc>
          <w:tcPr>
            <w:tcW w:w="3574" w:type="dxa"/>
          </w:tcPr>
          <w:p w14:paraId="51617070"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Water Tower</w:t>
            </w:r>
          </w:p>
        </w:tc>
        <w:tc>
          <w:tcPr>
            <w:tcW w:w="1219" w:type="dxa"/>
          </w:tcPr>
          <w:p w14:paraId="22235321" w14:textId="77777777" w:rsidR="00CA11D6" w:rsidRPr="00806B7F" w:rsidRDefault="00CA11D6" w:rsidP="00A369A1">
            <w:pPr>
              <w:jc w:val="center"/>
              <w:rPr>
                <w:rFonts w:ascii="Arial" w:hAnsi="Arial" w:cs="Arial"/>
                <w:bCs/>
                <w:sz w:val="20"/>
              </w:rPr>
            </w:pPr>
            <w:r w:rsidRPr="00806B7F">
              <w:rPr>
                <w:rFonts w:ascii="Arial" w:hAnsi="Arial" w:cs="Arial"/>
                <w:bCs/>
                <w:sz w:val="20"/>
              </w:rPr>
              <w:t>1.027</w:t>
            </w:r>
          </w:p>
        </w:tc>
        <w:tc>
          <w:tcPr>
            <w:tcW w:w="1077" w:type="dxa"/>
          </w:tcPr>
          <w:p w14:paraId="4038D5A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F6A52F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0CFED1D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26C5BAD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1F9F32AF" w14:textId="77777777" w:rsidTr="00A369A1">
        <w:trPr>
          <w:trHeight w:val="262"/>
        </w:trPr>
        <w:tc>
          <w:tcPr>
            <w:tcW w:w="3574" w:type="dxa"/>
          </w:tcPr>
          <w:p w14:paraId="011CC8AB"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Aerial appliance</w:t>
            </w:r>
          </w:p>
        </w:tc>
        <w:tc>
          <w:tcPr>
            <w:tcW w:w="1219" w:type="dxa"/>
          </w:tcPr>
          <w:p w14:paraId="484B02DD" w14:textId="77777777" w:rsidR="00CA11D6" w:rsidRPr="00806B7F" w:rsidRDefault="00CA11D6" w:rsidP="00A369A1">
            <w:pPr>
              <w:jc w:val="center"/>
              <w:rPr>
                <w:rFonts w:ascii="Arial" w:hAnsi="Arial" w:cs="Arial"/>
                <w:bCs/>
                <w:sz w:val="20"/>
              </w:rPr>
            </w:pPr>
            <w:r w:rsidRPr="00806B7F">
              <w:rPr>
                <w:rFonts w:ascii="Arial" w:hAnsi="Arial" w:cs="Arial"/>
                <w:bCs/>
                <w:sz w:val="20"/>
              </w:rPr>
              <w:t>0.534</w:t>
            </w:r>
          </w:p>
        </w:tc>
        <w:tc>
          <w:tcPr>
            <w:tcW w:w="1077" w:type="dxa"/>
          </w:tcPr>
          <w:p w14:paraId="00B9C1B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14937D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0F0DD7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536D353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5CD32CDD" w14:textId="77777777" w:rsidTr="00A369A1">
        <w:trPr>
          <w:trHeight w:val="262"/>
        </w:trPr>
        <w:tc>
          <w:tcPr>
            <w:tcW w:w="3574" w:type="dxa"/>
          </w:tcPr>
          <w:p w14:paraId="396823CA"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All-Terrain Vehicle</w:t>
            </w:r>
          </w:p>
        </w:tc>
        <w:tc>
          <w:tcPr>
            <w:tcW w:w="1219" w:type="dxa"/>
          </w:tcPr>
          <w:p w14:paraId="6B31C968" w14:textId="77777777" w:rsidR="00CA11D6" w:rsidRPr="00806B7F" w:rsidRDefault="00CA11D6" w:rsidP="00A369A1">
            <w:pPr>
              <w:jc w:val="center"/>
              <w:rPr>
                <w:rFonts w:ascii="Arial" w:hAnsi="Arial" w:cs="Arial"/>
                <w:bCs/>
                <w:sz w:val="20"/>
              </w:rPr>
            </w:pPr>
            <w:r w:rsidRPr="00806B7F">
              <w:rPr>
                <w:rFonts w:ascii="Arial" w:hAnsi="Arial" w:cs="Arial"/>
                <w:bCs/>
                <w:sz w:val="20"/>
              </w:rPr>
              <w:t>0.018</w:t>
            </w:r>
          </w:p>
        </w:tc>
        <w:tc>
          <w:tcPr>
            <w:tcW w:w="1077" w:type="dxa"/>
          </w:tcPr>
          <w:p w14:paraId="7008907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139C196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66873FF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6DAE8FE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76070232" w14:textId="77777777" w:rsidTr="00A369A1">
        <w:trPr>
          <w:trHeight w:val="262"/>
        </w:trPr>
        <w:tc>
          <w:tcPr>
            <w:tcW w:w="3574" w:type="dxa"/>
          </w:tcPr>
          <w:p w14:paraId="2C6D110C"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Prime mover</w:t>
            </w:r>
          </w:p>
        </w:tc>
        <w:tc>
          <w:tcPr>
            <w:tcW w:w="1219" w:type="dxa"/>
          </w:tcPr>
          <w:p w14:paraId="6F33CF60" w14:textId="77777777" w:rsidR="00CA11D6" w:rsidRPr="00806B7F" w:rsidRDefault="00CA11D6" w:rsidP="00A369A1">
            <w:pPr>
              <w:jc w:val="center"/>
              <w:rPr>
                <w:rFonts w:ascii="Arial" w:hAnsi="Arial" w:cs="Arial"/>
                <w:bCs/>
                <w:sz w:val="20"/>
              </w:rPr>
            </w:pPr>
            <w:r w:rsidRPr="00806B7F">
              <w:rPr>
                <w:rFonts w:ascii="Arial" w:hAnsi="Arial" w:cs="Arial"/>
                <w:bCs/>
                <w:sz w:val="20"/>
              </w:rPr>
              <w:t>0.260</w:t>
            </w:r>
          </w:p>
        </w:tc>
        <w:tc>
          <w:tcPr>
            <w:tcW w:w="1077" w:type="dxa"/>
          </w:tcPr>
          <w:p w14:paraId="31A783C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0277EE9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4E08192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27B8C26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DFB7D0A" w14:textId="77777777" w:rsidTr="00A369A1">
        <w:trPr>
          <w:trHeight w:val="262"/>
        </w:trPr>
        <w:tc>
          <w:tcPr>
            <w:tcW w:w="3574" w:type="dxa"/>
          </w:tcPr>
          <w:p w14:paraId="05EC2005"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Pod</w:t>
            </w:r>
          </w:p>
        </w:tc>
        <w:tc>
          <w:tcPr>
            <w:tcW w:w="1219" w:type="dxa"/>
          </w:tcPr>
          <w:p w14:paraId="4E950A00" w14:textId="77777777" w:rsidR="00CA11D6" w:rsidRPr="00806B7F" w:rsidRDefault="00CA11D6" w:rsidP="00A369A1">
            <w:pPr>
              <w:jc w:val="center"/>
              <w:rPr>
                <w:rFonts w:ascii="Arial" w:hAnsi="Arial" w:cs="Arial"/>
                <w:bCs/>
                <w:sz w:val="20"/>
              </w:rPr>
            </w:pPr>
            <w:r w:rsidRPr="00806B7F">
              <w:rPr>
                <w:rFonts w:ascii="Arial" w:hAnsi="Arial" w:cs="Arial"/>
                <w:bCs/>
                <w:sz w:val="20"/>
              </w:rPr>
              <w:t>0.083</w:t>
            </w:r>
          </w:p>
        </w:tc>
        <w:tc>
          <w:tcPr>
            <w:tcW w:w="1077" w:type="dxa"/>
          </w:tcPr>
          <w:p w14:paraId="46AD85F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09F8C75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8035AE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23C3EA2D" w14:textId="77777777" w:rsidR="00CA11D6" w:rsidRPr="00806B7F" w:rsidRDefault="00CA11D6" w:rsidP="00A369A1">
            <w:pPr>
              <w:jc w:val="center"/>
              <w:rPr>
                <w:rFonts w:ascii="Arial" w:hAnsi="Arial" w:cs="Arial"/>
                <w:bCs/>
                <w:sz w:val="20"/>
              </w:rPr>
            </w:pPr>
            <w:r w:rsidRPr="00806B7F">
              <w:rPr>
                <w:rFonts w:ascii="Arial" w:hAnsi="Arial" w:cs="Arial"/>
                <w:bCs/>
                <w:sz w:val="20"/>
              </w:rPr>
              <w:t>0.030</w:t>
            </w:r>
          </w:p>
        </w:tc>
      </w:tr>
      <w:tr w:rsidR="00CA11D6" w:rsidRPr="00806B7F" w14:paraId="7D56E041" w14:textId="77777777" w:rsidTr="00A369A1">
        <w:trPr>
          <w:trHeight w:val="262"/>
        </w:trPr>
        <w:tc>
          <w:tcPr>
            <w:tcW w:w="3574" w:type="dxa"/>
          </w:tcPr>
          <w:p w14:paraId="23F8C76B"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Operational Support Vehicles</w:t>
            </w:r>
          </w:p>
        </w:tc>
        <w:tc>
          <w:tcPr>
            <w:tcW w:w="1219" w:type="dxa"/>
          </w:tcPr>
          <w:p w14:paraId="1A072519" w14:textId="77777777" w:rsidR="00CA11D6" w:rsidRPr="00806B7F" w:rsidRDefault="00CA11D6" w:rsidP="00A369A1">
            <w:pPr>
              <w:jc w:val="center"/>
              <w:rPr>
                <w:rFonts w:ascii="Arial" w:hAnsi="Arial" w:cs="Arial"/>
                <w:bCs/>
                <w:sz w:val="20"/>
              </w:rPr>
            </w:pPr>
            <w:r w:rsidRPr="00806B7F">
              <w:rPr>
                <w:rFonts w:ascii="Arial" w:hAnsi="Arial" w:cs="Arial"/>
                <w:bCs/>
                <w:sz w:val="20"/>
              </w:rPr>
              <w:t>1.030</w:t>
            </w:r>
          </w:p>
        </w:tc>
        <w:tc>
          <w:tcPr>
            <w:tcW w:w="1077" w:type="dxa"/>
          </w:tcPr>
          <w:p w14:paraId="1F26DFAA" w14:textId="77777777" w:rsidR="00CA11D6" w:rsidRPr="00806B7F" w:rsidRDefault="00CA11D6" w:rsidP="00A369A1">
            <w:pPr>
              <w:jc w:val="center"/>
              <w:rPr>
                <w:rFonts w:ascii="Arial" w:hAnsi="Arial" w:cs="Arial"/>
                <w:bCs/>
                <w:sz w:val="20"/>
              </w:rPr>
            </w:pPr>
            <w:r w:rsidRPr="00806B7F">
              <w:rPr>
                <w:rFonts w:ascii="Arial" w:hAnsi="Arial" w:cs="Arial"/>
                <w:bCs/>
                <w:sz w:val="20"/>
              </w:rPr>
              <w:t>0.678</w:t>
            </w:r>
          </w:p>
        </w:tc>
        <w:tc>
          <w:tcPr>
            <w:tcW w:w="1077" w:type="dxa"/>
          </w:tcPr>
          <w:p w14:paraId="315F3D59" w14:textId="77777777" w:rsidR="00CA11D6" w:rsidRPr="00806B7F" w:rsidRDefault="00CA11D6" w:rsidP="00A369A1">
            <w:pPr>
              <w:jc w:val="center"/>
              <w:rPr>
                <w:rFonts w:ascii="Arial" w:hAnsi="Arial" w:cs="Arial"/>
                <w:bCs/>
                <w:sz w:val="20"/>
              </w:rPr>
            </w:pPr>
            <w:r w:rsidRPr="00806B7F">
              <w:rPr>
                <w:rFonts w:ascii="Arial" w:hAnsi="Arial" w:cs="Arial"/>
                <w:bCs/>
                <w:sz w:val="20"/>
              </w:rPr>
              <w:t>0.315</w:t>
            </w:r>
          </w:p>
        </w:tc>
        <w:tc>
          <w:tcPr>
            <w:tcW w:w="1077" w:type="dxa"/>
          </w:tcPr>
          <w:p w14:paraId="2DC148D7" w14:textId="77777777" w:rsidR="00CA11D6" w:rsidRPr="00806B7F" w:rsidRDefault="00CA11D6" w:rsidP="00A369A1">
            <w:pPr>
              <w:jc w:val="center"/>
              <w:rPr>
                <w:rFonts w:ascii="Arial" w:hAnsi="Arial" w:cs="Arial"/>
                <w:bCs/>
                <w:sz w:val="20"/>
              </w:rPr>
            </w:pPr>
            <w:r w:rsidRPr="00806B7F">
              <w:rPr>
                <w:rFonts w:ascii="Arial" w:hAnsi="Arial" w:cs="Arial"/>
                <w:bCs/>
                <w:sz w:val="20"/>
              </w:rPr>
              <w:t>0.512</w:t>
            </w:r>
          </w:p>
        </w:tc>
        <w:tc>
          <w:tcPr>
            <w:tcW w:w="1078" w:type="dxa"/>
          </w:tcPr>
          <w:p w14:paraId="6B141AD9" w14:textId="77777777" w:rsidR="00CA11D6" w:rsidRPr="00806B7F" w:rsidRDefault="00CA11D6" w:rsidP="00A369A1">
            <w:pPr>
              <w:jc w:val="center"/>
              <w:rPr>
                <w:rFonts w:ascii="Arial" w:hAnsi="Arial" w:cs="Arial"/>
                <w:bCs/>
                <w:sz w:val="20"/>
              </w:rPr>
            </w:pPr>
            <w:r w:rsidRPr="00806B7F">
              <w:rPr>
                <w:rFonts w:ascii="Arial" w:hAnsi="Arial" w:cs="Arial"/>
                <w:bCs/>
                <w:sz w:val="20"/>
              </w:rPr>
              <w:t>0.584</w:t>
            </w:r>
          </w:p>
        </w:tc>
      </w:tr>
      <w:tr w:rsidR="00CA11D6" w:rsidRPr="00806B7F" w14:paraId="154482FD" w14:textId="77777777" w:rsidTr="00A369A1">
        <w:trPr>
          <w:trHeight w:val="262"/>
        </w:trPr>
        <w:tc>
          <w:tcPr>
            <w:tcW w:w="3574" w:type="dxa"/>
          </w:tcPr>
          <w:p w14:paraId="08E60D56" w14:textId="77777777" w:rsidR="00CA11D6" w:rsidRPr="00806B7F" w:rsidRDefault="00CA11D6" w:rsidP="00A369A1">
            <w:pPr>
              <w:jc w:val="both"/>
              <w:rPr>
                <w:rFonts w:ascii="Arial" w:hAnsi="Arial" w:cs="Arial"/>
                <w:snapToGrid w:val="0"/>
                <w:color w:val="000000"/>
                <w:sz w:val="20"/>
                <w:lang w:eastAsia="en-US"/>
              </w:rPr>
            </w:pPr>
          </w:p>
        </w:tc>
        <w:tc>
          <w:tcPr>
            <w:tcW w:w="1219" w:type="dxa"/>
          </w:tcPr>
          <w:p w14:paraId="7C9A491F" w14:textId="77777777" w:rsidR="00CA11D6" w:rsidRPr="00806B7F" w:rsidRDefault="00CA11D6" w:rsidP="00A369A1">
            <w:pPr>
              <w:jc w:val="center"/>
              <w:rPr>
                <w:rFonts w:ascii="Arial" w:hAnsi="Arial" w:cs="Arial"/>
                <w:bCs/>
                <w:sz w:val="20"/>
              </w:rPr>
            </w:pPr>
            <w:r w:rsidRPr="00806B7F">
              <w:rPr>
                <w:rFonts w:ascii="Arial" w:hAnsi="Arial" w:cs="Arial"/>
                <w:bCs/>
                <w:sz w:val="20"/>
              </w:rPr>
              <w:t>6.097</w:t>
            </w:r>
          </w:p>
        </w:tc>
        <w:tc>
          <w:tcPr>
            <w:tcW w:w="1077" w:type="dxa"/>
          </w:tcPr>
          <w:p w14:paraId="45F422E5" w14:textId="77777777" w:rsidR="00CA11D6" w:rsidRPr="00806B7F" w:rsidRDefault="00CA11D6" w:rsidP="00A369A1">
            <w:pPr>
              <w:jc w:val="center"/>
              <w:rPr>
                <w:rFonts w:ascii="Arial" w:hAnsi="Arial" w:cs="Arial"/>
                <w:bCs/>
                <w:sz w:val="20"/>
              </w:rPr>
            </w:pPr>
            <w:r w:rsidRPr="00806B7F">
              <w:rPr>
                <w:rFonts w:ascii="Arial" w:hAnsi="Arial" w:cs="Arial"/>
                <w:bCs/>
                <w:sz w:val="20"/>
              </w:rPr>
              <w:t>0.678</w:t>
            </w:r>
          </w:p>
        </w:tc>
        <w:tc>
          <w:tcPr>
            <w:tcW w:w="1077" w:type="dxa"/>
          </w:tcPr>
          <w:p w14:paraId="41EB961D" w14:textId="77777777" w:rsidR="00CA11D6" w:rsidRPr="00806B7F" w:rsidRDefault="00CA11D6" w:rsidP="00A369A1">
            <w:pPr>
              <w:jc w:val="center"/>
              <w:rPr>
                <w:rFonts w:ascii="Arial" w:hAnsi="Arial" w:cs="Arial"/>
                <w:bCs/>
                <w:sz w:val="20"/>
              </w:rPr>
            </w:pPr>
            <w:r w:rsidRPr="00806B7F">
              <w:rPr>
                <w:rFonts w:ascii="Arial" w:hAnsi="Arial" w:cs="Arial"/>
                <w:bCs/>
                <w:sz w:val="20"/>
              </w:rPr>
              <w:t>0.975</w:t>
            </w:r>
          </w:p>
        </w:tc>
        <w:tc>
          <w:tcPr>
            <w:tcW w:w="1077" w:type="dxa"/>
          </w:tcPr>
          <w:p w14:paraId="05EAB818" w14:textId="77777777" w:rsidR="00CA11D6" w:rsidRPr="00806B7F" w:rsidRDefault="00CA11D6" w:rsidP="00A369A1">
            <w:pPr>
              <w:jc w:val="center"/>
              <w:rPr>
                <w:rFonts w:ascii="Arial" w:hAnsi="Arial" w:cs="Arial"/>
                <w:bCs/>
                <w:sz w:val="20"/>
              </w:rPr>
            </w:pPr>
            <w:r w:rsidRPr="00806B7F">
              <w:rPr>
                <w:rFonts w:ascii="Arial" w:hAnsi="Arial" w:cs="Arial"/>
                <w:bCs/>
                <w:sz w:val="20"/>
              </w:rPr>
              <w:t>1.832</w:t>
            </w:r>
          </w:p>
        </w:tc>
        <w:tc>
          <w:tcPr>
            <w:tcW w:w="1078" w:type="dxa"/>
          </w:tcPr>
          <w:p w14:paraId="18A5373B" w14:textId="77777777" w:rsidR="00CA11D6" w:rsidRPr="00806B7F" w:rsidRDefault="00CA11D6" w:rsidP="00A369A1">
            <w:pPr>
              <w:jc w:val="center"/>
              <w:rPr>
                <w:rFonts w:ascii="Arial" w:hAnsi="Arial" w:cs="Arial"/>
                <w:bCs/>
                <w:sz w:val="20"/>
              </w:rPr>
            </w:pPr>
            <w:r w:rsidRPr="00806B7F">
              <w:rPr>
                <w:rFonts w:ascii="Arial" w:hAnsi="Arial" w:cs="Arial"/>
                <w:bCs/>
                <w:sz w:val="20"/>
              </w:rPr>
              <w:t>3.034</w:t>
            </w:r>
          </w:p>
        </w:tc>
      </w:tr>
    </w:tbl>
    <w:p w14:paraId="0061F25D" w14:textId="77777777" w:rsidR="00CA11D6" w:rsidRPr="00806B7F" w:rsidRDefault="00CA11D6" w:rsidP="00CA11D6">
      <w:pPr>
        <w:jc w:val="both"/>
        <w:rPr>
          <w:rFonts w:ascii="Arial" w:hAnsi="Arial" w:cs="Arial"/>
          <w:sz w:val="20"/>
        </w:rPr>
      </w:pPr>
    </w:p>
    <w:p w14:paraId="489B9414" w14:textId="77777777" w:rsidR="00CA11D6" w:rsidRPr="00806B7F" w:rsidRDefault="00CA11D6" w:rsidP="00CA11D6">
      <w:pPr>
        <w:jc w:val="both"/>
        <w:rPr>
          <w:rFonts w:ascii="Arial" w:hAnsi="Arial" w:cs="Arial"/>
          <w:sz w:val="20"/>
        </w:rPr>
      </w:pPr>
      <w:r w:rsidRPr="00806B7F">
        <w:rPr>
          <w:rFonts w:ascii="Arial" w:hAnsi="Arial" w:cs="Arial"/>
          <w:sz w:val="20"/>
        </w:rPr>
        <w:t>(Note several of the vehicles shown in 23/24 have already been ordered and are subject to phased payment, hence the cost shown is the element which is due in 23/24)</w:t>
      </w:r>
    </w:p>
    <w:p w14:paraId="138CA93F" w14:textId="77777777" w:rsidR="00CA11D6" w:rsidRPr="00806B7F" w:rsidRDefault="00CA11D6" w:rsidP="00CA11D6">
      <w:pPr>
        <w:jc w:val="both"/>
        <w:rPr>
          <w:rFonts w:ascii="Arial" w:hAnsi="Arial" w:cs="Arial"/>
          <w:sz w:val="20"/>
        </w:rPr>
      </w:pPr>
    </w:p>
    <w:p w14:paraId="16459FEB" w14:textId="77777777" w:rsidR="00CA11D6" w:rsidRPr="00806B7F" w:rsidRDefault="00CA11D6" w:rsidP="00CA11D6">
      <w:pPr>
        <w:jc w:val="both"/>
        <w:rPr>
          <w:rFonts w:ascii="Arial" w:hAnsi="Arial" w:cs="Arial"/>
          <w:sz w:val="20"/>
        </w:rPr>
      </w:pPr>
      <w:r w:rsidRPr="00806B7F">
        <w:rPr>
          <w:rFonts w:ascii="Arial" w:hAnsi="Arial" w:cs="Arial"/>
          <w:sz w:val="20"/>
        </w:rPr>
        <w:t>Numbers are based on order date. Several of the vehicles have long lead times, and stage payments, hence the actual timing of spend is subject to change, with any deliveries spanning across years inevitably resulting in the need to move spend between years, usually this will be in the form of slippage into subsequent years, but occasionally there will be a need to pull budget forward to reflect an earlier delivery/stage completion date. This will be reported to Resources Committee as delivery dates are agreed.</w:t>
      </w:r>
    </w:p>
    <w:p w14:paraId="0814BF89" w14:textId="77777777" w:rsidR="00CA11D6" w:rsidRPr="00806B7F" w:rsidRDefault="00CA11D6" w:rsidP="00CA11D6">
      <w:pPr>
        <w:jc w:val="both"/>
        <w:rPr>
          <w:rFonts w:ascii="Arial" w:hAnsi="Arial" w:cs="Arial"/>
          <w:sz w:val="20"/>
        </w:rPr>
      </w:pPr>
    </w:p>
    <w:p w14:paraId="1F0490FC" w14:textId="7C837A99" w:rsidR="00CA11D6" w:rsidRPr="00806B7F" w:rsidRDefault="00CA11D6" w:rsidP="00CA11D6">
      <w:pPr>
        <w:jc w:val="both"/>
        <w:rPr>
          <w:rFonts w:ascii="Arial" w:hAnsi="Arial" w:cs="Arial"/>
          <w:sz w:val="20"/>
        </w:rPr>
      </w:pPr>
      <w:r w:rsidRPr="00806B7F">
        <w:rPr>
          <w:rFonts w:ascii="Arial" w:hAnsi="Arial" w:cs="Arial"/>
          <w:sz w:val="20"/>
        </w:rPr>
        <w:t>All vehicles are replacements for existing vehicles, although in the case of the Water Towers and Climate Change vehicles these are in lieu of standard pumping appliances.</w:t>
      </w:r>
    </w:p>
    <w:p w14:paraId="0D3ADF74" w14:textId="77777777" w:rsidR="00CA11D6" w:rsidRPr="00806B7F" w:rsidRDefault="00CA11D6" w:rsidP="00CA11D6">
      <w:pPr>
        <w:jc w:val="both"/>
        <w:rPr>
          <w:rFonts w:ascii="Arial" w:hAnsi="Arial" w:cs="Arial"/>
          <w:sz w:val="20"/>
        </w:rPr>
      </w:pPr>
    </w:p>
    <w:p w14:paraId="269B18B1" w14:textId="77777777" w:rsidR="00CA11D6" w:rsidRPr="00806B7F" w:rsidRDefault="00CA11D6" w:rsidP="00CA11D6">
      <w:pPr>
        <w:jc w:val="both"/>
        <w:rPr>
          <w:rFonts w:ascii="Arial" w:hAnsi="Arial" w:cs="Arial"/>
          <w:sz w:val="20"/>
        </w:rPr>
      </w:pPr>
      <w:r w:rsidRPr="00806B7F">
        <w:rPr>
          <w:rFonts w:ascii="Arial" w:hAnsi="Arial" w:cs="Arial"/>
          <w:sz w:val="20"/>
        </w:rPr>
        <w:t xml:space="preserve">It is worth noting that LFRS currently has several vehicles provided and maintained by Government under New Dimensions (5 Prime Movers and 1 Utility Terrain Vehicle), which under LFRS replacement schedules would be due for replacement during the period of the programme.  However, our understanding is that Government will issue replacement vehicles if they are beyond economic repair, or if the national provision requirement changes.  Should LFRS be required to purchase replacement vehicles, grant from Government may be available to fund them.  Based on the current position, we have not included these vehicles (or any potential grant) in our replacement plan.   </w:t>
      </w:r>
    </w:p>
    <w:p w14:paraId="270F16F1" w14:textId="77777777" w:rsidR="00CA11D6" w:rsidRPr="00806B7F" w:rsidRDefault="00CA11D6" w:rsidP="00CA11D6">
      <w:pPr>
        <w:jc w:val="both"/>
        <w:rPr>
          <w:rFonts w:ascii="Arial" w:hAnsi="Arial" w:cs="Arial"/>
          <w:sz w:val="20"/>
        </w:rPr>
      </w:pPr>
    </w:p>
    <w:p w14:paraId="08EFF0D3" w14:textId="77777777" w:rsidR="00CA11D6" w:rsidRPr="00806B7F" w:rsidRDefault="00CA11D6" w:rsidP="00CA11D6">
      <w:pPr>
        <w:jc w:val="both"/>
        <w:rPr>
          <w:rFonts w:ascii="Arial" w:hAnsi="Arial" w:cs="Arial"/>
          <w:sz w:val="20"/>
        </w:rPr>
      </w:pPr>
      <w:r w:rsidRPr="00806B7F">
        <w:rPr>
          <w:rFonts w:ascii="Arial" w:hAnsi="Arial" w:cs="Arial"/>
          <w:sz w:val="20"/>
        </w:rPr>
        <w:t xml:space="preserve">In addition, Fleet Services continue to review future requirements for the replacement of all vehicles in the portfolio, hence there may be some scope to modify requirements as these reviews are completed, and future replacement programmes will be adjusted accordingly. It is worth noting that as electric vehicles continue to </w:t>
      </w:r>
      <w:proofErr w:type="gramStart"/>
      <w:r w:rsidRPr="00806B7F">
        <w:rPr>
          <w:rFonts w:ascii="Arial" w:hAnsi="Arial" w:cs="Arial"/>
          <w:sz w:val="20"/>
        </w:rPr>
        <w:t>develop</w:t>
      </w:r>
      <w:proofErr w:type="gramEnd"/>
      <w:r w:rsidRPr="00806B7F">
        <w:rPr>
          <w:rFonts w:ascii="Arial" w:hAnsi="Arial" w:cs="Arial"/>
          <w:sz w:val="20"/>
        </w:rPr>
        <w:t xml:space="preserve"> we will consider the suitability of these for future replacements which, based on current price differentials, will increase the costs shown above. </w:t>
      </w:r>
    </w:p>
    <w:p w14:paraId="77F676E3" w14:textId="77777777" w:rsidR="00CA11D6" w:rsidRPr="00806B7F" w:rsidRDefault="00CA11D6" w:rsidP="00CA11D6">
      <w:pPr>
        <w:jc w:val="both"/>
        <w:rPr>
          <w:rFonts w:ascii="Arial" w:hAnsi="Arial" w:cs="Arial"/>
          <w:b/>
          <w:sz w:val="20"/>
        </w:rPr>
      </w:pPr>
    </w:p>
    <w:p w14:paraId="453BD10F" w14:textId="77777777" w:rsidR="00CA11D6" w:rsidRPr="00806B7F" w:rsidRDefault="00CA11D6" w:rsidP="00CA11D6">
      <w:pPr>
        <w:jc w:val="both"/>
        <w:rPr>
          <w:rFonts w:ascii="Arial" w:hAnsi="Arial" w:cs="Arial"/>
          <w:b/>
          <w:sz w:val="20"/>
        </w:rPr>
      </w:pPr>
      <w:r w:rsidRPr="00806B7F">
        <w:rPr>
          <w:rFonts w:ascii="Arial" w:hAnsi="Arial" w:cs="Arial"/>
          <w:b/>
          <w:sz w:val="20"/>
        </w:rPr>
        <w:t>Operational Equipment</w:t>
      </w:r>
    </w:p>
    <w:p w14:paraId="22D00A30" w14:textId="77777777" w:rsidR="00CA11D6" w:rsidRPr="00806B7F" w:rsidRDefault="00CA11D6" w:rsidP="00CA11D6">
      <w:pPr>
        <w:jc w:val="both"/>
        <w:rPr>
          <w:rFonts w:ascii="Arial" w:hAnsi="Arial" w:cs="Arial"/>
          <w:sz w:val="20"/>
        </w:rPr>
      </w:pPr>
    </w:p>
    <w:p w14:paraId="22238FD5" w14:textId="77777777" w:rsidR="00CA11D6" w:rsidRPr="00806B7F" w:rsidRDefault="00CA11D6" w:rsidP="00CA11D6">
      <w:pPr>
        <w:jc w:val="both"/>
        <w:rPr>
          <w:rFonts w:ascii="Arial" w:hAnsi="Arial" w:cs="Arial"/>
          <w:sz w:val="20"/>
        </w:rPr>
      </w:pPr>
      <w:proofErr w:type="gramStart"/>
      <w:r w:rsidRPr="00806B7F">
        <w:rPr>
          <w:rFonts w:ascii="Arial" w:hAnsi="Arial" w:cs="Arial"/>
          <w:sz w:val="20"/>
        </w:rPr>
        <w:t>With the exception of</w:t>
      </w:r>
      <w:proofErr w:type="gramEnd"/>
      <w:r w:rsidRPr="00806B7F">
        <w:rPr>
          <w:rFonts w:ascii="Arial" w:hAnsi="Arial" w:cs="Arial"/>
          <w:sz w:val="20"/>
        </w:rPr>
        <w:t xml:space="preserve"> Body Armour all requirements are replacements for existing end of life equipment: Each of these groups of assets is subject to review prior to replacement, which may result in a change of requirements or the asset life.  </w:t>
      </w:r>
    </w:p>
    <w:p w14:paraId="4951A14A" w14:textId="77777777" w:rsidR="00CA11D6" w:rsidRPr="00806B7F" w:rsidRDefault="00CA11D6" w:rsidP="00CA11D6">
      <w:pPr>
        <w:jc w:val="both"/>
        <w:rPr>
          <w:rFonts w:ascii="Arial" w:hAnsi="Arial" w:cs="Arial"/>
          <w:sz w:val="20"/>
        </w:rPr>
      </w:pPr>
    </w:p>
    <w:p w14:paraId="5BA57597"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4 Equipment Requirements (Cost per year)</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077"/>
        <w:gridCol w:w="1077"/>
        <w:gridCol w:w="1077"/>
        <w:gridCol w:w="1078"/>
      </w:tblGrid>
      <w:tr w:rsidR="00CA11D6" w:rsidRPr="00806B7F" w14:paraId="3F8DE03F" w14:textId="77777777" w:rsidTr="00A369A1">
        <w:trPr>
          <w:trHeight w:val="255"/>
        </w:trPr>
        <w:tc>
          <w:tcPr>
            <w:tcW w:w="3544" w:type="dxa"/>
            <w:shd w:val="clear" w:color="auto" w:fill="auto"/>
            <w:noWrap/>
          </w:tcPr>
          <w:p w14:paraId="759CF64C" w14:textId="77777777" w:rsidR="00CA11D6" w:rsidRPr="00806B7F" w:rsidRDefault="00CA11D6" w:rsidP="00A369A1">
            <w:pPr>
              <w:jc w:val="both"/>
              <w:rPr>
                <w:rFonts w:ascii="Arial" w:hAnsi="Arial" w:cs="Arial"/>
                <w:b/>
                <w:bCs/>
                <w:sz w:val="20"/>
              </w:rPr>
            </w:pPr>
            <w:bookmarkStart w:id="0" w:name="_Hlk59458932"/>
          </w:p>
        </w:tc>
        <w:tc>
          <w:tcPr>
            <w:tcW w:w="1276" w:type="dxa"/>
            <w:shd w:val="clear" w:color="auto" w:fill="auto"/>
            <w:noWrap/>
          </w:tcPr>
          <w:p w14:paraId="21A1B6A6"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077" w:type="dxa"/>
            <w:shd w:val="clear" w:color="auto" w:fill="auto"/>
            <w:noWrap/>
          </w:tcPr>
          <w:p w14:paraId="53E8CDA7"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077" w:type="dxa"/>
            <w:shd w:val="clear" w:color="auto" w:fill="auto"/>
            <w:noWrap/>
          </w:tcPr>
          <w:p w14:paraId="25266739"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077" w:type="dxa"/>
            <w:shd w:val="clear" w:color="auto" w:fill="auto"/>
            <w:noWrap/>
          </w:tcPr>
          <w:p w14:paraId="4D52AA3B"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078" w:type="dxa"/>
            <w:shd w:val="clear" w:color="auto" w:fill="auto"/>
            <w:noWrap/>
          </w:tcPr>
          <w:p w14:paraId="77597FEF"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r>
      <w:tr w:rsidR="00CA11D6" w:rsidRPr="00806B7F" w14:paraId="1450A762" w14:textId="77777777" w:rsidTr="00A369A1">
        <w:trPr>
          <w:trHeight w:val="255"/>
        </w:trPr>
        <w:tc>
          <w:tcPr>
            <w:tcW w:w="3544" w:type="dxa"/>
            <w:shd w:val="clear" w:color="auto" w:fill="auto"/>
            <w:noWrap/>
          </w:tcPr>
          <w:p w14:paraId="40E0A46F" w14:textId="77777777" w:rsidR="00CA11D6" w:rsidRPr="00806B7F" w:rsidRDefault="00CA11D6" w:rsidP="00A369A1">
            <w:pPr>
              <w:jc w:val="both"/>
              <w:rPr>
                <w:rFonts w:ascii="Arial" w:hAnsi="Arial" w:cs="Arial"/>
                <w:sz w:val="20"/>
              </w:rPr>
            </w:pPr>
          </w:p>
        </w:tc>
        <w:tc>
          <w:tcPr>
            <w:tcW w:w="1276" w:type="dxa"/>
            <w:shd w:val="clear" w:color="auto" w:fill="auto"/>
            <w:noWrap/>
          </w:tcPr>
          <w:p w14:paraId="0510FE1C"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77F12C18"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7A359033"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73E9DB8D"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8" w:type="dxa"/>
            <w:shd w:val="clear" w:color="auto" w:fill="auto"/>
            <w:noWrap/>
          </w:tcPr>
          <w:p w14:paraId="6D98A722"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3F397DDD" w14:textId="77777777" w:rsidTr="00A369A1">
        <w:trPr>
          <w:trHeight w:val="255"/>
        </w:trPr>
        <w:tc>
          <w:tcPr>
            <w:tcW w:w="3544" w:type="dxa"/>
            <w:shd w:val="clear" w:color="auto" w:fill="auto"/>
            <w:noWrap/>
          </w:tcPr>
          <w:p w14:paraId="753220F5" w14:textId="77777777" w:rsidR="00CA11D6" w:rsidRPr="00806B7F" w:rsidRDefault="00CA11D6" w:rsidP="00A369A1">
            <w:pPr>
              <w:rPr>
                <w:rFonts w:ascii="Arial" w:hAnsi="Arial" w:cs="Arial"/>
                <w:b/>
                <w:bCs/>
                <w:sz w:val="20"/>
              </w:rPr>
            </w:pPr>
            <w:r w:rsidRPr="00806B7F">
              <w:rPr>
                <w:rFonts w:ascii="Arial" w:hAnsi="Arial" w:cs="Arial"/>
                <w:b/>
                <w:bCs/>
                <w:sz w:val="20"/>
              </w:rPr>
              <w:t>Replacement of Existing Equipment</w:t>
            </w:r>
          </w:p>
        </w:tc>
        <w:tc>
          <w:tcPr>
            <w:tcW w:w="1276" w:type="dxa"/>
            <w:shd w:val="clear" w:color="auto" w:fill="auto"/>
            <w:noWrap/>
          </w:tcPr>
          <w:p w14:paraId="1F27465A"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40C29B2D"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04C7D4D5"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013CADCC"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0FE42A5A" w14:textId="77777777" w:rsidR="00CA11D6" w:rsidRPr="00806B7F" w:rsidRDefault="00CA11D6" w:rsidP="00A369A1">
            <w:pPr>
              <w:jc w:val="center"/>
              <w:rPr>
                <w:rFonts w:ascii="Arial" w:hAnsi="Arial" w:cs="Arial"/>
                <w:bCs/>
                <w:sz w:val="20"/>
              </w:rPr>
            </w:pPr>
          </w:p>
        </w:tc>
      </w:tr>
      <w:bookmarkEnd w:id="0"/>
      <w:tr w:rsidR="00CA11D6" w:rsidRPr="00806B7F" w14:paraId="4C2D9546" w14:textId="77777777" w:rsidTr="00A369A1">
        <w:trPr>
          <w:trHeight w:val="255"/>
        </w:trPr>
        <w:tc>
          <w:tcPr>
            <w:tcW w:w="3544" w:type="dxa"/>
            <w:shd w:val="clear" w:color="auto" w:fill="auto"/>
            <w:noWrap/>
          </w:tcPr>
          <w:p w14:paraId="1B9E4AFC" w14:textId="77777777" w:rsidR="00CA11D6" w:rsidRPr="00806B7F" w:rsidRDefault="00CA11D6" w:rsidP="00A369A1">
            <w:pPr>
              <w:rPr>
                <w:rFonts w:ascii="Arial" w:hAnsi="Arial" w:cs="Arial"/>
                <w:sz w:val="20"/>
              </w:rPr>
            </w:pPr>
            <w:r w:rsidRPr="00806B7F">
              <w:rPr>
                <w:rFonts w:ascii="Arial" w:hAnsi="Arial" w:cs="Arial"/>
                <w:sz w:val="20"/>
              </w:rPr>
              <w:t>Thermal Imaging Cameras</w:t>
            </w:r>
          </w:p>
        </w:tc>
        <w:tc>
          <w:tcPr>
            <w:tcW w:w="1276" w:type="dxa"/>
            <w:shd w:val="clear" w:color="auto" w:fill="auto"/>
            <w:noWrap/>
          </w:tcPr>
          <w:p w14:paraId="22AF707A" w14:textId="77777777" w:rsidR="00CA11D6" w:rsidRPr="00806B7F" w:rsidRDefault="00CA11D6" w:rsidP="00A369A1">
            <w:pPr>
              <w:jc w:val="center"/>
              <w:rPr>
                <w:rFonts w:ascii="Arial" w:hAnsi="Arial" w:cs="Arial"/>
                <w:bCs/>
                <w:sz w:val="20"/>
              </w:rPr>
            </w:pPr>
            <w:r w:rsidRPr="00806B7F">
              <w:rPr>
                <w:rFonts w:ascii="Arial" w:hAnsi="Arial" w:cs="Arial"/>
                <w:bCs/>
                <w:sz w:val="20"/>
              </w:rPr>
              <w:t>0.325</w:t>
            </w:r>
          </w:p>
        </w:tc>
        <w:tc>
          <w:tcPr>
            <w:tcW w:w="1077" w:type="dxa"/>
            <w:shd w:val="clear" w:color="auto" w:fill="auto"/>
            <w:noWrap/>
          </w:tcPr>
          <w:p w14:paraId="3F7AC45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3CC585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3166B82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shd w:val="clear" w:color="auto" w:fill="auto"/>
            <w:noWrap/>
          </w:tcPr>
          <w:p w14:paraId="4CB4B91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53F34989" w14:textId="77777777" w:rsidTr="00A369A1">
        <w:trPr>
          <w:trHeight w:val="255"/>
        </w:trPr>
        <w:tc>
          <w:tcPr>
            <w:tcW w:w="3544" w:type="dxa"/>
            <w:shd w:val="clear" w:color="auto" w:fill="auto"/>
            <w:noWrap/>
          </w:tcPr>
          <w:p w14:paraId="0BC48A2E" w14:textId="77777777" w:rsidR="00CA11D6" w:rsidRPr="00806B7F" w:rsidRDefault="00CA11D6" w:rsidP="00A369A1">
            <w:pPr>
              <w:jc w:val="both"/>
              <w:rPr>
                <w:rFonts w:ascii="Arial" w:hAnsi="Arial" w:cs="Arial"/>
                <w:sz w:val="20"/>
              </w:rPr>
            </w:pPr>
            <w:r w:rsidRPr="00806B7F">
              <w:rPr>
                <w:rFonts w:ascii="Arial" w:hAnsi="Arial" w:cs="Arial"/>
                <w:sz w:val="20"/>
              </w:rPr>
              <w:t>Breathing Apparatus (BA) and Telemetry equipment</w:t>
            </w:r>
          </w:p>
        </w:tc>
        <w:tc>
          <w:tcPr>
            <w:tcW w:w="1276" w:type="dxa"/>
            <w:shd w:val="clear" w:color="auto" w:fill="auto"/>
            <w:noWrap/>
          </w:tcPr>
          <w:p w14:paraId="0DF5C1D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2819C7E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0175D6A"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c>
          <w:tcPr>
            <w:tcW w:w="1077" w:type="dxa"/>
            <w:shd w:val="clear" w:color="auto" w:fill="auto"/>
            <w:noWrap/>
          </w:tcPr>
          <w:p w14:paraId="1B675339" w14:textId="77777777" w:rsidR="00CA11D6" w:rsidRPr="00806B7F" w:rsidRDefault="00CA11D6" w:rsidP="00A369A1">
            <w:pPr>
              <w:jc w:val="center"/>
              <w:rPr>
                <w:rFonts w:ascii="Arial" w:hAnsi="Arial" w:cs="Arial"/>
                <w:bCs/>
                <w:sz w:val="20"/>
              </w:rPr>
            </w:pPr>
            <w:r w:rsidRPr="00806B7F">
              <w:rPr>
                <w:rFonts w:ascii="Arial" w:hAnsi="Arial" w:cs="Arial"/>
                <w:bCs/>
                <w:sz w:val="20"/>
              </w:rPr>
              <w:t>0.900</w:t>
            </w:r>
          </w:p>
        </w:tc>
        <w:tc>
          <w:tcPr>
            <w:tcW w:w="1078" w:type="dxa"/>
            <w:shd w:val="clear" w:color="auto" w:fill="auto"/>
            <w:noWrap/>
          </w:tcPr>
          <w:p w14:paraId="65F06F86" w14:textId="77777777" w:rsidR="00CA11D6" w:rsidRPr="00806B7F" w:rsidRDefault="00CA11D6" w:rsidP="00A369A1">
            <w:pPr>
              <w:jc w:val="center"/>
              <w:rPr>
                <w:rFonts w:ascii="Arial" w:hAnsi="Arial" w:cs="Arial"/>
                <w:bCs/>
                <w:sz w:val="20"/>
              </w:rPr>
            </w:pPr>
            <w:r w:rsidRPr="00806B7F">
              <w:rPr>
                <w:rFonts w:ascii="Arial" w:hAnsi="Arial" w:cs="Arial"/>
                <w:bCs/>
                <w:sz w:val="20"/>
              </w:rPr>
              <w:t>0.320</w:t>
            </w:r>
          </w:p>
        </w:tc>
      </w:tr>
      <w:tr w:rsidR="00CA11D6" w:rsidRPr="00806B7F" w14:paraId="3D29DF17" w14:textId="77777777" w:rsidTr="00A369A1">
        <w:trPr>
          <w:trHeight w:val="255"/>
        </w:trPr>
        <w:tc>
          <w:tcPr>
            <w:tcW w:w="3544" w:type="dxa"/>
            <w:shd w:val="clear" w:color="auto" w:fill="auto"/>
            <w:noWrap/>
          </w:tcPr>
          <w:p w14:paraId="3758EF27" w14:textId="77777777" w:rsidR="00CA11D6" w:rsidRPr="00806B7F" w:rsidRDefault="00CA11D6" w:rsidP="00A369A1">
            <w:pPr>
              <w:jc w:val="both"/>
              <w:rPr>
                <w:rFonts w:ascii="Arial" w:hAnsi="Arial" w:cs="Arial"/>
                <w:sz w:val="20"/>
              </w:rPr>
            </w:pPr>
            <w:r w:rsidRPr="00806B7F">
              <w:rPr>
                <w:rFonts w:ascii="Arial" w:hAnsi="Arial" w:cs="Arial"/>
                <w:sz w:val="20"/>
              </w:rPr>
              <w:t>Cutting and extrication equipment</w:t>
            </w:r>
          </w:p>
        </w:tc>
        <w:tc>
          <w:tcPr>
            <w:tcW w:w="1276" w:type="dxa"/>
            <w:shd w:val="clear" w:color="auto" w:fill="auto"/>
            <w:noWrap/>
          </w:tcPr>
          <w:p w14:paraId="69DB7199" w14:textId="77777777" w:rsidR="00CA11D6" w:rsidRPr="00806B7F" w:rsidRDefault="00CA11D6" w:rsidP="00A369A1">
            <w:pPr>
              <w:jc w:val="center"/>
              <w:rPr>
                <w:rFonts w:ascii="Arial" w:hAnsi="Arial" w:cs="Arial"/>
                <w:bCs/>
                <w:sz w:val="20"/>
              </w:rPr>
            </w:pPr>
            <w:r w:rsidRPr="00806B7F">
              <w:rPr>
                <w:rFonts w:ascii="Arial" w:hAnsi="Arial" w:cs="Arial"/>
                <w:bCs/>
                <w:sz w:val="20"/>
              </w:rPr>
              <w:t>0.750</w:t>
            </w:r>
          </w:p>
        </w:tc>
        <w:tc>
          <w:tcPr>
            <w:tcW w:w="1077" w:type="dxa"/>
            <w:shd w:val="clear" w:color="auto" w:fill="auto"/>
            <w:noWrap/>
          </w:tcPr>
          <w:p w14:paraId="22A1F0E5" w14:textId="77777777" w:rsidR="00CA11D6" w:rsidRPr="00806B7F" w:rsidRDefault="00CA11D6" w:rsidP="00A369A1">
            <w:pPr>
              <w:jc w:val="center"/>
              <w:rPr>
                <w:rFonts w:ascii="Arial" w:hAnsi="Arial" w:cs="Arial"/>
                <w:bCs/>
                <w:sz w:val="20"/>
              </w:rPr>
            </w:pPr>
            <w:r w:rsidRPr="00806B7F">
              <w:rPr>
                <w:rFonts w:ascii="Arial" w:hAnsi="Arial" w:cs="Arial"/>
                <w:bCs/>
                <w:sz w:val="20"/>
              </w:rPr>
              <w:t>0.750</w:t>
            </w:r>
          </w:p>
        </w:tc>
        <w:tc>
          <w:tcPr>
            <w:tcW w:w="1077" w:type="dxa"/>
            <w:shd w:val="clear" w:color="auto" w:fill="auto"/>
            <w:noWrap/>
          </w:tcPr>
          <w:p w14:paraId="39A353C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49D1401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shd w:val="clear" w:color="auto" w:fill="auto"/>
            <w:noWrap/>
          </w:tcPr>
          <w:p w14:paraId="7B95CEC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756C3FD3" w14:textId="77777777" w:rsidTr="00A369A1">
        <w:trPr>
          <w:trHeight w:val="283"/>
        </w:trPr>
        <w:tc>
          <w:tcPr>
            <w:tcW w:w="3544" w:type="dxa"/>
            <w:shd w:val="clear" w:color="auto" w:fill="auto"/>
            <w:noWrap/>
          </w:tcPr>
          <w:p w14:paraId="0A603D84" w14:textId="77777777" w:rsidR="00CA11D6" w:rsidRPr="00806B7F" w:rsidRDefault="00CA11D6" w:rsidP="00A369A1">
            <w:pPr>
              <w:rPr>
                <w:rFonts w:ascii="Arial" w:hAnsi="Arial" w:cs="Arial"/>
                <w:sz w:val="20"/>
              </w:rPr>
            </w:pPr>
            <w:r w:rsidRPr="00806B7F">
              <w:rPr>
                <w:rFonts w:ascii="Arial" w:hAnsi="Arial" w:cs="Arial"/>
                <w:sz w:val="20"/>
              </w:rPr>
              <w:t>Disposable Gas Tight suits</w:t>
            </w:r>
          </w:p>
        </w:tc>
        <w:tc>
          <w:tcPr>
            <w:tcW w:w="1276" w:type="dxa"/>
            <w:shd w:val="clear" w:color="auto" w:fill="auto"/>
            <w:noWrap/>
          </w:tcPr>
          <w:p w14:paraId="2924A15C"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7D4F06EF" w14:textId="77777777" w:rsidR="00CA11D6" w:rsidRPr="00806B7F" w:rsidRDefault="00CA11D6" w:rsidP="00A369A1">
            <w:pPr>
              <w:jc w:val="center"/>
              <w:rPr>
                <w:rFonts w:ascii="Arial" w:hAnsi="Arial" w:cs="Arial"/>
                <w:bCs/>
                <w:sz w:val="20"/>
              </w:rPr>
            </w:pPr>
            <w:r w:rsidRPr="00806B7F">
              <w:rPr>
                <w:rFonts w:ascii="Arial" w:hAnsi="Arial" w:cs="Arial"/>
                <w:bCs/>
                <w:sz w:val="20"/>
              </w:rPr>
              <w:t>0.042</w:t>
            </w:r>
          </w:p>
        </w:tc>
        <w:tc>
          <w:tcPr>
            <w:tcW w:w="1077" w:type="dxa"/>
            <w:shd w:val="clear" w:color="auto" w:fill="auto"/>
            <w:noWrap/>
          </w:tcPr>
          <w:p w14:paraId="5BC9E7B9"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6BCB896F"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7A64505F" w14:textId="77777777" w:rsidR="00CA11D6" w:rsidRPr="00806B7F" w:rsidRDefault="00CA11D6" w:rsidP="00A369A1">
            <w:pPr>
              <w:jc w:val="center"/>
              <w:rPr>
                <w:rFonts w:ascii="Arial" w:hAnsi="Arial" w:cs="Arial"/>
                <w:bCs/>
                <w:sz w:val="20"/>
              </w:rPr>
            </w:pPr>
          </w:p>
        </w:tc>
      </w:tr>
      <w:tr w:rsidR="00CA11D6" w:rsidRPr="00806B7F" w14:paraId="66F1C5B4" w14:textId="77777777" w:rsidTr="00A369A1">
        <w:trPr>
          <w:trHeight w:val="283"/>
        </w:trPr>
        <w:tc>
          <w:tcPr>
            <w:tcW w:w="3544" w:type="dxa"/>
            <w:shd w:val="clear" w:color="auto" w:fill="auto"/>
            <w:noWrap/>
          </w:tcPr>
          <w:p w14:paraId="54D97078" w14:textId="77777777" w:rsidR="00CA11D6" w:rsidRPr="00806B7F" w:rsidRDefault="00CA11D6" w:rsidP="00A369A1">
            <w:pPr>
              <w:rPr>
                <w:rFonts w:ascii="Arial" w:hAnsi="Arial" w:cs="Arial"/>
                <w:b/>
                <w:bCs/>
                <w:sz w:val="20"/>
              </w:rPr>
            </w:pPr>
            <w:r w:rsidRPr="00806B7F">
              <w:rPr>
                <w:rFonts w:ascii="Arial" w:hAnsi="Arial" w:cs="Arial"/>
                <w:b/>
                <w:bCs/>
                <w:sz w:val="20"/>
              </w:rPr>
              <w:t>New Equipment</w:t>
            </w:r>
          </w:p>
        </w:tc>
        <w:tc>
          <w:tcPr>
            <w:tcW w:w="1276" w:type="dxa"/>
            <w:shd w:val="clear" w:color="auto" w:fill="auto"/>
            <w:noWrap/>
          </w:tcPr>
          <w:p w14:paraId="34BC9E4F"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43121A0F"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287E97BA"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1B8F9217"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6DE435D3" w14:textId="77777777" w:rsidR="00CA11D6" w:rsidRPr="00806B7F" w:rsidRDefault="00CA11D6" w:rsidP="00A369A1">
            <w:pPr>
              <w:jc w:val="center"/>
              <w:rPr>
                <w:rFonts w:ascii="Arial" w:hAnsi="Arial" w:cs="Arial"/>
                <w:bCs/>
                <w:sz w:val="20"/>
              </w:rPr>
            </w:pPr>
          </w:p>
        </w:tc>
      </w:tr>
      <w:tr w:rsidR="00CA11D6" w:rsidRPr="00806B7F" w14:paraId="1229C164" w14:textId="77777777" w:rsidTr="00A369A1">
        <w:trPr>
          <w:trHeight w:val="283"/>
        </w:trPr>
        <w:tc>
          <w:tcPr>
            <w:tcW w:w="3544" w:type="dxa"/>
            <w:shd w:val="clear" w:color="auto" w:fill="auto"/>
            <w:noWrap/>
          </w:tcPr>
          <w:p w14:paraId="643A7383" w14:textId="77777777" w:rsidR="00CA11D6" w:rsidRPr="00806B7F" w:rsidRDefault="00CA11D6" w:rsidP="00A369A1">
            <w:pPr>
              <w:rPr>
                <w:rFonts w:ascii="Arial" w:hAnsi="Arial" w:cs="Arial"/>
                <w:sz w:val="20"/>
              </w:rPr>
            </w:pPr>
            <w:r w:rsidRPr="00806B7F">
              <w:rPr>
                <w:rFonts w:ascii="Arial" w:hAnsi="Arial" w:cs="Arial"/>
                <w:sz w:val="20"/>
              </w:rPr>
              <w:t>Body Armour</w:t>
            </w:r>
          </w:p>
        </w:tc>
        <w:tc>
          <w:tcPr>
            <w:tcW w:w="1276" w:type="dxa"/>
            <w:shd w:val="clear" w:color="auto" w:fill="auto"/>
            <w:noWrap/>
          </w:tcPr>
          <w:p w14:paraId="316E62B9"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c>
          <w:tcPr>
            <w:tcW w:w="1077" w:type="dxa"/>
            <w:shd w:val="clear" w:color="auto" w:fill="auto"/>
            <w:noWrap/>
          </w:tcPr>
          <w:p w14:paraId="72CE2FE4"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6B10321D"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675F7F24"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559D649D" w14:textId="77777777" w:rsidR="00CA11D6" w:rsidRPr="00806B7F" w:rsidRDefault="00CA11D6" w:rsidP="00A369A1">
            <w:pPr>
              <w:jc w:val="center"/>
              <w:rPr>
                <w:rFonts w:ascii="Arial" w:hAnsi="Arial" w:cs="Arial"/>
                <w:bCs/>
                <w:sz w:val="20"/>
              </w:rPr>
            </w:pPr>
          </w:p>
        </w:tc>
      </w:tr>
      <w:tr w:rsidR="00CA11D6" w:rsidRPr="00806B7F" w14:paraId="00D96A3D" w14:textId="77777777" w:rsidTr="00A369A1">
        <w:trPr>
          <w:trHeight w:val="255"/>
        </w:trPr>
        <w:tc>
          <w:tcPr>
            <w:tcW w:w="3544" w:type="dxa"/>
            <w:shd w:val="clear" w:color="auto" w:fill="auto"/>
            <w:noWrap/>
          </w:tcPr>
          <w:p w14:paraId="66ECD173" w14:textId="77777777" w:rsidR="00CA11D6" w:rsidRPr="00806B7F" w:rsidRDefault="00CA11D6" w:rsidP="00A369A1">
            <w:pPr>
              <w:jc w:val="both"/>
              <w:rPr>
                <w:rFonts w:ascii="Arial" w:hAnsi="Arial" w:cs="Arial"/>
                <w:sz w:val="20"/>
              </w:rPr>
            </w:pPr>
          </w:p>
        </w:tc>
        <w:tc>
          <w:tcPr>
            <w:tcW w:w="1276" w:type="dxa"/>
            <w:shd w:val="clear" w:color="auto" w:fill="auto"/>
            <w:noWrap/>
          </w:tcPr>
          <w:p w14:paraId="262C047E" w14:textId="77777777" w:rsidR="00CA11D6" w:rsidRPr="00806B7F" w:rsidRDefault="00CA11D6" w:rsidP="00A369A1">
            <w:pPr>
              <w:jc w:val="center"/>
              <w:rPr>
                <w:rFonts w:ascii="Arial" w:hAnsi="Arial" w:cs="Arial"/>
                <w:bCs/>
                <w:sz w:val="20"/>
              </w:rPr>
            </w:pPr>
            <w:r w:rsidRPr="00806B7F">
              <w:rPr>
                <w:rFonts w:ascii="Arial" w:hAnsi="Arial" w:cs="Arial"/>
                <w:bCs/>
                <w:sz w:val="20"/>
              </w:rPr>
              <w:t>1.325</w:t>
            </w:r>
          </w:p>
        </w:tc>
        <w:tc>
          <w:tcPr>
            <w:tcW w:w="1077" w:type="dxa"/>
            <w:shd w:val="clear" w:color="auto" w:fill="auto"/>
            <w:noWrap/>
          </w:tcPr>
          <w:p w14:paraId="01B515D7" w14:textId="77777777" w:rsidR="00CA11D6" w:rsidRPr="00806B7F" w:rsidRDefault="00CA11D6" w:rsidP="00A369A1">
            <w:pPr>
              <w:jc w:val="center"/>
              <w:rPr>
                <w:rFonts w:ascii="Arial" w:hAnsi="Arial" w:cs="Arial"/>
                <w:bCs/>
                <w:sz w:val="20"/>
              </w:rPr>
            </w:pPr>
            <w:r w:rsidRPr="00806B7F">
              <w:rPr>
                <w:rFonts w:ascii="Arial" w:hAnsi="Arial" w:cs="Arial"/>
                <w:bCs/>
                <w:sz w:val="20"/>
              </w:rPr>
              <w:t>0.792</w:t>
            </w:r>
          </w:p>
        </w:tc>
        <w:tc>
          <w:tcPr>
            <w:tcW w:w="1077" w:type="dxa"/>
            <w:shd w:val="clear" w:color="auto" w:fill="auto"/>
            <w:noWrap/>
          </w:tcPr>
          <w:p w14:paraId="1B139833"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c>
          <w:tcPr>
            <w:tcW w:w="1077" w:type="dxa"/>
            <w:shd w:val="clear" w:color="auto" w:fill="auto"/>
            <w:noWrap/>
          </w:tcPr>
          <w:p w14:paraId="59C28DC2" w14:textId="77777777" w:rsidR="00CA11D6" w:rsidRPr="00806B7F" w:rsidRDefault="00CA11D6" w:rsidP="00A369A1">
            <w:pPr>
              <w:jc w:val="center"/>
              <w:rPr>
                <w:rFonts w:ascii="Arial" w:hAnsi="Arial" w:cs="Arial"/>
                <w:bCs/>
                <w:sz w:val="20"/>
              </w:rPr>
            </w:pPr>
            <w:r w:rsidRPr="00806B7F">
              <w:rPr>
                <w:rFonts w:ascii="Arial" w:hAnsi="Arial" w:cs="Arial"/>
                <w:bCs/>
                <w:sz w:val="20"/>
              </w:rPr>
              <w:t>0.900</w:t>
            </w:r>
          </w:p>
        </w:tc>
        <w:tc>
          <w:tcPr>
            <w:tcW w:w="1078" w:type="dxa"/>
            <w:shd w:val="clear" w:color="auto" w:fill="auto"/>
            <w:noWrap/>
          </w:tcPr>
          <w:p w14:paraId="17C522EC" w14:textId="77777777" w:rsidR="00CA11D6" w:rsidRPr="00806B7F" w:rsidRDefault="00CA11D6" w:rsidP="00A369A1">
            <w:pPr>
              <w:jc w:val="center"/>
              <w:rPr>
                <w:rFonts w:ascii="Arial" w:hAnsi="Arial" w:cs="Arial"/>
                <w:bCs/>
                <w:sz w:val="20"/>
              </w:rPr>
            </w:pPr>
            <w:r w:rsidRPr="00806B7F">
              <w:rPr>
                <w:rFonts w:ascii="Arial" w:hAnsi="Arial" w:cs="Arial"/>
                <w:bCs/>
                <w:sz w:val="20"/>
              </w:rPr>
              <w:t>0.320</w:t>
            </w:r>
          </w:p>
        </w:tc>
      </w:tr>
    </w:tbl>
    <w:p w14:paraId="2FCD69F9" w14:textId="77777777" w:rsidR="00CA11D6" w:rsidRPr="00806B7F" w:rsidRDefault="00CA11D6" w:rsidP="00CA11D6">
      <w:pPr>
        <w:jc w:val="both"/>
        <w:rPr>
          <w:rFonts w:ascii="Arial" w:hAnsi="Arial" w:cs="Arial"/>
          <w:sz w:val="20"/>
        </w:rPr>
      </w:pPr>
    </w:p>
    <w:p w14:paraId="766737B1" w14:textId="77777777" w:rsidR="00CA11D6" w:rsidRPr="00806B7F" w:rsidRDefault="00CA11D6" w:rsidP="00CA11D6">
      <w:pPr>
        <w:jc w:val="both"/>
        <w:rPr>
          <w:rFonts w:ascii="Arial" w:hAnsi="Arial" w:cs="Arial"/>
          <w:sz w:val="20"/>
        </w:rPr>
      </w:pPr>
      <w:r w:rsidRPr="00806B7F">
        <w:rPr>
          <w:rFonts w:ascii="Arial" w:hAnsi="Arial" w:cs="Arial"/>
          <w:sz w:val="20"/>
        </w:rPr>
        <w:t xml:space="preserve">The replacement Breathing Apparatus project is in its early stages. Until such time as actual requirements in terms of type, numbers, </w:t>
      </w:r>
      <w:proofErr w:type="gramStart"/>
      <w:r w:rsidRPr="00806B7F">
        <w:rPr>
          <w:rFonts w:ascii="Arial" w:hAnsi="Arial" w:cs="Arial"/>
          <w:sz w:val="20"/>
        </w:rPr>
        <w:t>telemetry</w:t>
      </w:r>
      <w:proofErr w:type="gramEnd"/>
      <w:r w:rsidRPr="00806B7F">
        <w:rPr>
          <w:rFonts w:ascii="Arial" w:hAnsi="Arial" w:cs="Arial"/>
          <w:sz w:val="20"/>
        </w:rPr>
        <w:t xml:space="preserve"> and communications  are known we will not be in a position to produce a more accurate cost or timing projection, however we currently anticipate some phasing of the implementation, hence costs are spread over 3 years. This may change as we progress through the project.</w:t>
      </w:r>
    </w:p>
    <w:p w14:paraId="70D07C85" w14:textId="77777777" w:rsidR="00CA11D6" w:rsidRPr="00806B7F" w:rsidRDefault="00CA11D6" w:rsidP="00CA11D6">
      <w:pPr>
        <w:jc w:val="both"/>
        <w:rPr>
          <w:rFonts w:ascii="Arial" w:hAnsi="Arial" w:cs="Arial"/>
          <w:sz w:val="20"/>
        </w:rPr>
      </w:pPr>
    </w:p>
    <w:p w14:paraId="0945DC40" w14:textId="77777777" w:rsidR="00CA11D6" w:rsidRPr="00806B7F" w:rsidRDefault="00CA11D6" w:rsidP="00CA11D6">
      <w:pPr>
        <w:jc w:val="both"/>
        <w:rPr>
          <w:rFonts w:ascii="Arial" w:hAnsi="Arial" w:cs="Arial"/>
          <w:sz w:val="20"/>
        </w:rPr>
      </w:pPr>
      <w:r w:rsidRPr="00806B7F">
        <w:rPr>
          <w:rFonts w:ascii="Arial" w:hAnsi="Arial" w:cs="Arial"/>
          <w:sz w:val="20"/>
        </w:rPr>
        <w:t>Body armour requirements are subject to a trial and hence requirements may change following the outcome of this.</w:t>
      </w:r>
    </w:p>
    <w:p w14:paraId="581F464F" w14:textId="77777777" w:rsidR="00CA11D6" w:rsidRPr="00806B7F" w:rsidRDefault="00CA11D6" w:rsidP="00CA11D6">
      <w:pPr>
        <w:jc w:val="both"/>
        <w:rPr>
          <w:rFonts w:ascii="Arial" w:hAnsi="Arial" w:cs="Arial"/>
          <w:sz w:val="20"/>
        </w:rPr>
      </w:pPr>
    </w:p>
    <w:p w14:paraId="42D93458" w14:textId="77777777" w:rsidR="00CA11D6" w:rsidRPr="00806B7F" w:rsidRDefault="00CA11D6" w:rsidP="00CA11D6">
      <w:pPr>
        <w:jc w:val="both"/>
        <w:rPr>
          <w:rFonts w:ascii="Arial" w:hAnsi="Arial" w:cs="Arial"/>
          <w:sz w:val="20"/>
        </w:rPr>
      </w:pPr>
      <w:r w:rsidRPr="00806B7F">
        <w:rPr>
          <w:rFonts w:ascii="Arial" w:hAnsi="Arial" w:cs="Arial"/>
          <w:b/>
          <w:sz w:val="20"/>
        </w:rPr>
        <w:t>ICT</w:t>
      </w:r>
    </w:p>
    <w:p w14:paraId="21B9E02C" w14:textId="77777777" w:rsidR="00CA11D6" w:rsidRPr="00806B7F" w:rsidRDefault="00CA11D6" w:rsidP="00CA11D6">
      <w:pPr>
        <w:jc w:val="both"/>
        <w:rPr>
          <w:rFonts w:ascii="Arial" w:hAnsi="Arial" w:cs="Arial"/>
          <w:sz w:val="20"/>
        </w:rPr>
      </w:pPr>
    </w:p>
    <w:p w14:paraId="72D9C768" w14:textId="77777777" w:rsidR="00CA11D6" w:rsidRPr="00806B7F" w:rsidRDefault="00CA11D6" w:rsidP="00CA11D6">
      <w:pPr>
        <w:jc w:val="both"/>
        <w:rPr>
          <w:rFonts w:ascii="Arial" w:hAnsi="Arial" w:cs="Arial"/>
          <w:sz w:val="20"/>
        </w:rPr>
      </w:pPr>
      <w:r w:rsidRPr="00806B7F">
        <w:rPr>
          <w:rFonts w:ascii="Arial" w:hAnsi="Arial" w:cs="Arial"/>
          <w:sz w:val="20"/>
        </w:rPr>
        <w:t xml:space="preserve">The spend is on replacement/upgraded systems. All replacements identified in the programme will be subject to review, with both the requirement for the potential upgrade/replacement and the cost of such being revisited prior to any expenditure being incurred. </w:t>
      </w:r>
    </w:p>
    <w:p w14:paraId="27C3CF4D" w14:textId="77777777" w:rsidR="00CA11D6" w:rsidRPr="00806B7F" w:rsidRDefault="00CA11D6" w:rsidP="00CA11D6">
      <w:pPr>
        <w:jc w:val="both"/>
        <w:rPr>
          <w:rFonts w:ascii="Arial" w:hAnsi="Arial" w:cs="Arial"/>
          <w:sz w:val="20"/>
        </w:rPr>
      </w:pPr>
    </w:p>
    <w:p w14:paraId="1DF493D1"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5 ICT Requirements (Cost per year)</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219"/>
        <w:gridCol w:w="1077"/>
        <w:gridCol w:w="1077"/>
        <w:gridCol w:w="1078"/>
        <w:gridCol w:w="1077"/>
      </w:tblGrid>
      <w:tr w:rsidR="00CA11D6" w:rsidRPr="00806B7F" w14:paraId="4717B78B" w14:textId="77777777" w:rsidTr="00A369A1">
        <w:trPr>
          <w:trHeight w:val="255"/>
        </w:trPr>
        <w:tc>
          <w:tcPr>
            <w:tcW w:w="3686" w:type="dxa"/>
            <w:shd w:val="clear" w:color="auto" w:fill="auto"/>
            <w:noWrap/>
          </w:tcPr>
          <w:p w14:paraId="4AD78068" w14:textId="77777777" w:rsidR="00CA11D6" w:rsidRPr="00806B7F" w:rsidRDefault="00CA11D6" w:rsidP="00A369A1">
            <w:pPr>
              <w:rPr>
                <w:rFonts w:ascii="Arial" w:hAnsi="Arial" w:cs="Arial"/>
                <w:b/>
                <w:bCs/>
                <w:sz w:val="20"/>
              </w:rPr>
            </w:pPr>
          </w:p>
        </w:tc>
        <w:tc>
          <w:tcPr>
            <w:tcW w:w="1219" w:type="dxa"/>
            <w:shd w:val="clear" w:color="auto" w:fill="auto"/>
            <w:noWrap/>
          </w:tcPr>
          <w:p w14:paraId="4865FA8F"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077" w:type="dxa"/>
            <w:shd w:val="clear" w:color="auto" w:fill="auto"/>
            <w:noWrap/>
          </w:tcPr>
          <w:p w14:paraId="0B4A258E"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077" w:type="dxa"/>
            <w:shd w:val="clear" w:color="auto" w:fill="auto"/>
            <w:noWrap/>
          </w:tcPr>
          <w:p w14:paraId="368F77C0"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078" w:type="dxa"/>
          </w:tcPr>
          <w:p w14:paraId="38F1DF4F"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077" w:type="dxa"/>
          </w:tcPr>
          <w:p w14:paraId="3210BC62"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r>
      <w:tr w:rsidR="00CA11D6" w:rsidRPr="00806B7F" w14:paraId="47A56CD2" w14:textId="77777777" w:rsidTr="00A369A1">
        <w:trPr>
          <w:trHeight w:val="255"/>
        </w:trPr>
        <w:tc>
          <w:tcPr>
            <w:tcW w:w="3686" w:type="dxa"/>
            <w:shd w:val="clear" w:color="auto" w:fill="auto"/>
            <w:noWrap/>
          </w:tcPr>
          <w:p w14:paraId="73E93552" w14:textId="77777777" w:rsidR="00CA11D6" w:rsidRPr="00806B7F" w:rsidRDefault="00CA11D6" w:rsidP="00A369A1">
            <w:pPr>
              <w:rPr>
                <w:rFonts w:ascii="Arial" w:hAnsi="Arial" w:cs="Arial"/>
                <w:b/>
                <w:sz w:val="20"/>
              </w:rPr>
            </w:pPr>
          </w:p>
        </w:tc>
        <w:tc>
          <w:tcPr>
            <w:tcW w:w="1219" w:type="dxa"/>
            <w:shd w:val="clear" w:color="auto" w:fill="auto"/>
            <w:noWrap/>
          </w:tcPr>
          <w:p w14:paraId="54AF8539"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6C96AE0D"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6BA01A76"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8" w:type="dxa"/>
          </w:tcPr>
          <w:p w14:paraId="782416E0"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tcPr>
          <w:p w14:paraId="1B8E92E0"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5D531C87" w14:textId="77777777" w:rsidTr="00A369A1">
        <w:trPr>
          <w:trHeight w:val="255"/>
        </w:trPr>
        <w:tc>
          <w:tcPr>
            <w:tcW w:w="3686" w:type="dxa"/>
            <w:shd w:val="clear" w:color="auto" w:fill="auto"/>
            <w:noWrap/>
          </w:tcPr>
          <w:p w14:paraId="304C9F23" w14:textId="77777777" w:rsidR="00CA11D6" w:rsidRPr="00806B7F" w:rsidRDefault="00CA11D6" w:rsidP="00A369A1">
            <w:pPr>
              <w:rPr>
                <w:rFonts w:ascii="Arial" w:hAnsi="Arial" w:cs="Arial"/>
                <w:sz w:val="20"/>
              </w:rPr>
            </w:pPr>
            <w:r w:rsidRPr="00806B7F">
              <w:rPr>
                <w:rFonts w:ascii="Arial" w:hAnsi="Arial" w:cs="Arial"/>
                <w:b/>
                <w:sz w:val="20"/>
              </w:rPr>
              <w:t>Replace Existing Systems</w:t>
            </w:r>
          </w:p>
        </w:tc>
        <w:tc>
          <w:tcPr>
            <w:tcW w:w="1219" w:type="dxa"/>
            <w:shd w:val="clear" w:color="auto" w:fill="auto"/>
            <w:noWrap/>
          </w:tcPr>
          <w:p w14:paraId="0681DC4F"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3EED66F7"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3493E846" w14:textId="77777777" w:rsidR="00CA11D6" w:rsidRPr="00806B7F" w:rsidRDefault="00CA11D6" w:rsidP="00A369A1">
            <w:pPr>
              <w:jc w:val="center"/>
              <w:rPr>
                <w:rFonts w:ascii="Arial" w:hAnsi="Arial" w:cs="Arial"/>
                <w:bCs/>
                <w:sz w:val="20"/>
              </w:rPr>
            </w:pPr>
          </w:p>
        </w:tc>
        <w:tc>
          <w:tcPr>
            <w:tcW w:w="1078" w:type="dxa"/>
          </w:tcPr>
          <w:p w14:paraId="29429767" w14:textId="77777777" w:rsidR="00CA11D6" w:rsidRPr="00806B7F" w:rsidRDefault="00CA11D6" w:rsidP="00A369A1">
            <w:pPr>
              <w:jc w:val="center"/>
              <w:rPr>
                <w:rFonts w:ascii="Arial" w:hAnsi="Arial" w:cs="Arial"/>
                <w:bCs/>
                <w:sz w:val="20"/>
              </w:rPr>
            </w:pPr>
          </w:p>
        </w:tc>
        <w:tc>
          <w:tcPr>
            <w:tcW w:w="1077" w:type="dxa"/>
          </w:tcPr>
          <w:p w14:paraId="7AB71950" w14:textId="77777777" w:rsidR="00CA11D6" w:rsidRPr="00806B7F" w:rsidRDefault="00CA11D6" w:rsidP="00A369A1">
            <w:pPr>
              <w:jc w:val="center"/>
              <w:rPr>
                <w:rFonts w:ascii="Arial" w:hAnsi="Arial" w:cs="Arial"/>
                <w:bCs/>
                <w:sz w:val="20"/>
              </w:rPr>
            </w:pPr>
          </w:p>
        </w:tc>
      </w:tr>
      <w:tr w:rsidR="00CA11D6" w:rsidRPr="00806B7F" w14:paraId="55C73373" w14:textId="77777777" w:rsidTr="00A369A1">
        <w:trPr>
          <w:trHeight w:val="255"/>
        </w:trPr>
        <w:tc>
          <w:tcPr>
            <w:tcW w:w="3686" w:type="dxa"/>
            <w:shd w:val="clear" w:color="auto" w:fill="auto"/>
            <w:noWrap/>
          </w:tcPr>
          <w:p w14:paraId="587A5AA8" w14:textId="77777777" w:rsidR="00CA11D6" w:rsidRPr="00806B7F" w:rsidRDefault="00CA11D6" w:rsidP="00A369A1">
            <w:pPr>
              <w:rPr>
                <w:rFonts w:ascii="Arial" w:hAnsi="Arial" w:cs="Arial"/>
                <w:sz w:val="20"/>
              </w:rPr>
            </w:pPr>
            <w:r w:rsidRPr="00806B7F">
              <w:rPr>
                <w:rFonts w:ascii="Arial" w:hAnsi="Arial" w:cs="Arial"/>
                <w:sz w:val="20"/>
              </w:rPr>
              <w:t>Pooled PPE system</w:t>
            </w:r>
          </w:p>
        </w:tc>
        <w:tc>
          <w:tcPr>
            <w:tcW w:w="1219" w:type="dxa"/>
            <w:shd w:val="clear" w:color="auto" w:fill="auto"/>
            <w:noWrap/>
          </w:tcPr>
          <w:p w14:paraId="68F4C34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10F4A2B6"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1412D5C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319F9C2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335E60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08FBB1F" w14:textId="77777777" w:rsidTr="00A369A1">
        <w:trPr>
          <w:trHeight w:val="255"/>
        </w:trPr>
        <w:tc>
          <w:tcPr>
            <w:tcW w:w="3686" w:type="dxa"/>
            <w:shd w:val="clear" w:color="auto" w:fill="auto"/>
            <w:noWrap/>
          </w:tcPr>
          <w:p w14:paraId="560D9B7E" w14:textId="77777777" w:rsidR="00CA11D6" w:rsidRPr="00806B7F" w:rsidRDefault="00CA11D6" w:rsidP="00A369A1">
            <w:pPr>
              <w:rPr>
                <w:rFonts w:ascii="Arial" w:hAnsi="Arial" w:cs="Arial"/>
                <w:sz w:val="20"/>
              </w:rPr>
            </w:pPr>
            <w:r w:rsidRPr="00806B7F">
              <w:rPr>
                <w:rFonts w:ascii="Arial" w:hAnsi="Arial" w:cs="Arial"/>
                <w:sz w:val="20"/>
              </w:rPr>
              <w:t>Stock Management system</w:t>
            </w:r>
          </w:p>
        </w:tc>
        <w:tc>
          <w:tcPr>
            <w:tcW w:w="1219" w:type="dxa"/>
            <w:shd w:val="clear" w:color="auto" w:fill="auto"/>
            <w:noWrap/>
          </w:tcPr>
          <w:p w14:paraId="63130D0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CE6F691"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738E07A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2AC81F3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A62EFA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443AACDA" w14:textId="77777777" w:rsidTr="00A369A1">
        <w:trPr>
          <w:trHeight w:val="255"/>
        </w:trPr>
        <w:tc>
          <w:tcPr>
            <w:tcW w:w="3686" w:type="dxa"/>
            <w:shd w:val="clear" w:color="auto" w:fill="auto"/>
            <w:noWrap/>
          </w:tcPr>
          <w:p w14:paraId="450A609D" w14:textId="77777777" w:rsidR="00CA11D6" w:rsidRPr="00806B7F" w:rsidRDefault="00CA11D6" w:rsidP="00A369A1">
            <w:pPr>
              <w:rPr>
                <w:rFonts w:ascii="Arial" w:hAnsi="Arial" w:cs="Arial"/>
                <w:sz w:val="20"/>
              </w:rPr>
            </w:pPr>
            <w:r w:rsidRPr="00806B7F">
              <w:rPr>
                <w:rFonts w:ascii="Arial" w:hAnsi="Arial" w:cs="Arial"/>
                <w:sz w:val="20"/>
              </w:rPr>
              <w:t xml:space="preserve">Asset Management system </w:t>
            </w:r>
          </w:p>
        </w:tc>
        <w:tc>
          <w:tcPr>
            <w:tcW w:w="1219" w:type="dxa"/>
            <w:shd w:val="clear" w:color="auto" w:fill="auto"/>
            <w:noWrap/>
          </w:tcPr>
          <w:p w14:paraId="3A294466"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5C31BCF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7B2B4D9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474D398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8A3EFF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1FC9DFFC" w14:textId="77777777" w:rsidTr="00A369A1">
        <w:trPr>
          <w:trHeight w:val="255"/>
        </w:trPr>
        <w:tc>
          <w:tcPr>
            <w:tcW w:w="3686" w:type="dxa"/>
            <w:shd w:val="clear" w:color="auto" w:fill="auto"/>
            <w:noWrap/>
          </w:tcPr>
          <w:p w14:paraId="1A060F6C" w14:textId="77777777" w:rsidR="00CA11D6" w:rsidRPr="00806B7F" w:rsidRDefault="00CA11D6" w:rsidP="00A369A1">
            <w:pPr>
              <w:rPr>
                <w:rFonts w:ascii="Arial" w:hAnsi="Arial" w:cs="Arial"/>
                <w:sz w:val="20"/>
              </w:rPr>
            </w:pPr>
            <w:r w:rsidRPr="00806B7F">
              <w:rPr>
                <w:rFonts w:ascii="Arial" w:hAnsi="Arial" w:cs="Arial"/>
                <w:bCs/>
                <w:sz w:val="20"/>
              </w:rPr>
              <w:t>HFSC referral system</w:t>
            </w:r>
          </w:p>
        </w:tc>
        <w:tc>
          <w:tcPr>
            <w:tcW w:w="1219" w:type="dxa"/>
            <w:shd w:val="clear" w:color="auto" w:fill="auto"/>
            <w:noWrap/>
          </w:tcPr>
          <w:p w14:paraId="758A6F1C"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5AD56CF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48C16FC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3FEA2CC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15C41E4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02B665AD" w14:textId="77777777" w:rsidTr="00A369A1">
        <w:trPr>
          <w:trHeight w:val="255"/>
        </w:trPr>
        <w:tc>
          <w:tcPr>
            <w:tcW w:w="3686" w:type="dxa"/>
            <w:shd w:val="clear" w:color="auto" w:fill="auto"/>
            <w:noWrap/>
          </w:tcPr>
          <w:p w14:paraId="1EA292C0" w14:textId="77777777" w:rsidR="00CA11D6" w:rsidRPr="00806B7F" w:rsidRDefault="00CA11D6" w:rsidP="00A369A1">
            <w:pPr>
              <w:rPr>
                <w:rFonts w:ascii="Arial" w:hAnsi="Arial" w:cs="Arial"/>
                <w:sz w:val="20"/>
              </w:rPr>
            </w:pPr>
            <w:r w:rsidRPr="00806B7F">
              <w:rPr>
                <w:rFonts w:ascii="Arial" w:hAnsi="Arial" w:cs="Arial"/>
                <w:sz w:val="20"/>
              </w:rPr>
              <w:t>Fire Risk Management System</w:t>
            </w:r>
          </w:p>
        </w:tc>
        <w:tc>
          <w:tcPr>
            <w:tcW w:w="1219" w:type="dxa"/>
            <w:shd w:val="clear" w:color="auto" w:fill="auto"/>
            <w:noWrap/>
          </w:tcPr>
          <w:p w14:paraId="5DE49F2C"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26BB498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79FFB0A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6127F75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554993C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F443089" w14:textId="77777777" w:rsidTr="00A369A1">
        <w:trPr>
          <w:trHeight w:val="255"/>
        </w:trPr>
        <w:tc>
          <w:tcPr>
            <w:tcW w:w="3686" w:type="dxa"/>
            <w:shd w:val="clear" w:color="auto" w:fill="auto"/>
            <w:noWrap/>
          </w:tcPr>
          <w:p w14:paraId="2A675C6A" w14:textId="77777777" w:rsidR="00CA11D6" w:rsidRPr="00806B7F" w:rsidRDefault="00CA11D6" w:rsidP="00A369A1">
            <w:pPr>
              <w:rPr>
                <w:rFonts w:ascii="Arial" w:hAnsi="Arial" w:cs="Arial"/>
                <w:sz w:val="20"/>
              </w:rPr>
            </w:pPr>
            <w:r w:rsidRPr="00806B7F">
              <w:rPr>
                <w:rFonts w:ascii="Arial" w:hAnsi="Arial" w:cs="Arial"/>
                <w:sz w:val="20"/>
              </w:rPr>
              <w:t>Rota management package (WT/On call)</w:t>
            </w:r>
          </w:p>
        </w:tc>
        <w:tc>
          <w:tcPr>
            <w:tcW w:w="1219" w:type="dxa"/>
            <w:shd w:val="clear" w:color="auto" w:fill="auto"/>
            <w:noWrap/>
          </w:tcPr>
          <w:p w14:paraId="5A511BA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749FFCDC"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38B4808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FB3979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7CAEF1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B7251FE" w14:textId="77777777" w:rsidTr="00A369A1">
        <w:trPr>
          <w:trHeight w:val="255"/>
        </w:trPr>
        <w:tc>
          <w:tcPr>
            <w:tcW w:w="3686" w:type="dxa"/>
            <w:shd w:val="clear" w:color="auto" w:fill="auto"/>
            <w:noWrap/>
          </w:tcPr>
          <w:p w14:paraId="6606BB0E" w14:textId="77777777" w:rsidR="00CA11D6" w:rsidRPr="00806B7F" w:rsidRDefault="00CA11D6" w:rsidP="00A369A1">
            <w:pPr>
              <w:rPr>
                <w:rFonts w:ascii="Arial" w:hAnsi="Arial" w:cs="Arial"/>
                <w:sz w:val="20"/>
              </w:rPr>
            </w:pPr>
            <w:r w:rsidRPr="00806B7F">
              <w:rPr>
                <w:rFonts w:ascii="Arial" w:hAnsi="Arial" w:cs="Arial"/>
                <w:sz w:val="20"/>
              </w:rPr>
              <w:t>Storage Area Network</w:t>
            </w:r>
          </w:p>
        </w:tc>
        <w:tc>
          <w:tcPr>
            <w:tcW w:w="1219" w:type="dxa"/>
            <w:shd w:val="clear" w:color="auto" w:fill="auto"/>
            <w:noWrap/>
          </w:tcPr>
          <w:p w14:paraId="2B42E64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4088CB45" w14:textId="77777777" w:rsidR="00CA11D6" w:rsidRPr="00806B7F" w:rsidRDefault="00CA11D6" w:rsidP="00A369A1">
            <w:pPr>
              <w:jc w:val="center"/>
              <w:rPr>
                <w:rFonts w:ascii="Arial" w:hAnsi="Arial" w:cs="Arial"/>
                <w:bCs/>
                <w:sz w:val="20"/>
              </w:rPr>
            </w:pPr>
            <w:r w:rsidRPr="00806B7F">
              <w:rPr>
                <w:rFonts w:ascii="Arial" w:hAnsi="Arial" w:cs="Arial"/>
                <w:bCs/>
                <w:sz w:val="20"/>
              </w:rPr>
              <w:t>0.200</w:t>
            </w:r>
          </w:p>
        </w:tc>
        <w:tc>
          <w:tcPr>
            <w:tcW w:w="1077" w:type="dxa"/>
            <w:shd w:val="clear" w:color="auto" w:fill="auto"/>
            <w:noWrap/>
          </w:tcPr>
          <w:p w14:paraId="5AEAE69D" w14:textId="77777777" w:rsidR="00CA11D6" w:rsidRPr="00806B7F" w:rsidRDefault="00CA11D6" w:rsidP="00A369A1">
            <w:pPr>
              <w:jc w:val="center"/>
              <w:rPr>
                <w:rFonts w:ascii="Arial" w:hAnsi="Arial" w:cs="Arial"/>
                <w:bCs/>
                <w:sz w:val="20"/>
              </w:rPr>
            </w:pPr>
            <w:r w:rsidRPr="00806B7F">
              <w:rPr>
                <w:rFonts w:ascii="Arial" w:hAnsi="Arial" w:cs="Arial"/>
                <w:bCs/>
                <w:sz w:val="20"/>
              </w:rPr>
              <w:t>0.090</w:t>
            </w:r>
          </w:p>
        </w:tc>
        <w:tc>
          <w:tcPr>
            <w:tcW w:w="1078" w:type="dxa"/>
          </w:tcPr>
          <w:p w14:paraId="009DF8F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4765E79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0B994459" w14:textId="77777777" w:rsidTr="00A369A1">
        <w:trPr>
          <w:trHeight w:val="255"/>
        </w:trPr>
        <w:tc>
          <w:tcPr>
            <w:tcW w:w="3686" w:type="dxa"/>
            <w:shd w:val="clear" w:color="auto" w:fill="auto"/>
            <w:noWrap/>
          </w:tcPr>
          <w:p w14:paraId="5BC03CD0" w14:textId="77777777" w:rsidR="00CA11D6" w:rsidRPr="00806B7F" w:rsidRDefault="00CA11D6" w:rsidP="00A369A1">
            <w:pPr>
              <w:rPr>
                <w:rFonts w:ascii="Arial" w:hAnsi="Arial" w:cs="Arial"/>
                <w:sz w:val="20"/>
              </w:rPr>
            </w:pPr>
            <w:r w:rsidRPr="00806B7F">
              <w:rPr>
                <w:rFonts w:ascii="Arial" w:hAnsi="Arial" w:cs="Arial"/>
                <w:sz w:val="20"/>
              </w:rPr>
              <w:t xml:space="preserve">GIS Risk Info </w:t>
            </w:r>
          </w:p>
        </w:tc>
        <w:tc>
          <w:tcPr>
            <w:tcW w:w="1219" w:type="dxa"/>
            <w:shd w:val="clear" w:color="auto" w:fill="auto"/>
            <w:noWrap/>
          </w:tcPr>
          <w:p w14:paraId="78E9D29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3D412C05" w14:textId="77777777" w:rsidR="00CA11D6" w:rsidRPr="00806B7F" w:rsidRDefault="00CA11D6" w:rsidP="00A369A1">
            <w:pPr>
              <w:jc w:val="center"/>
              <w:rPr>
                <w:rFonts w:ascii="Arial" w:hAnsi="Arial" w:cs="Arial"/>
                <w:bCs/>
                <w:sz w:val="20"/>
              </w:rPr>
            </w:pPr>
            <w:r w:rsidRPr="00806B7F">
              <w:rPr>
                <w:rFonts w:ascii="Arial" w:hAnsi="Arial" w:cs="Arial"/>
                <w:bCs/>
                <w:sz w:val="20"/>
              </w:rPr>
              <w:t>0.100</w:t>
            </w:r>
          </w:p>
        </w:tc>
        <w:tc>
          <w:tcPr>
            <w:tcW w:w="1077" w:type="dxa"/>
            <w:shd w:val="clear" w:color="auto" w:fill="auto"/>
            <w:noWrap/>
          </w:tcPr>
          <w:p w14:paraId="0842A02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F068D9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972FE7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2E57E87" w14:textId="77777777" w:rsidTr="00A369A1">
        <w:trPr>
          <w:trHeight w:val="255"/>
        </w:trPr>
        <w:tc>
          <w:tcPr>
            <w:tcW w:w="3686" w:type="dxa"/>
            <w:shd w:val="clear" w:color="auto" w:fill="auto"/>
            <w:noWrap/>
          </w:tcPr>
          <w:p w14:paraId="11DFBC63" w14:textId="77777777" w:rsidR="00CA11D6" w:rsidRPr="00806B7F" w:rsidRDefault="00CA11D6" w:rsidP="00A369A1">
            <w:pPr>
              <w:rPr>
                <w:rFonts w:ascii="Arial" w:hAnsi="Arial" w:cs="Arial"/>
                <w:sz w:val="20"/>
              </w:rPr>
            </w:pPr>
            <w:r w:rsidRPr="00806B7F">
              <w:rPr>
                <w:rFonts w:ascii="Arial" w:hAnsi="Arial" w:cs="Arial"/>
                <w:sz w:val="20"/>
              </w:rPr>
              <w:t xml:space="preserve">WAN </w:t>
            </w:r>
          </w:p>
        </w:tc>
        <w:tc>
          <w:tcPr>
            <w:tcW w:w="1219" w:type="dxa"/>
            <w:shd w:val="clear" w:color="auto" w:fill="auto"/>
            <w:noWrap/>
          </w:tcPr>
          <w:p w14:paraId="4F4AE25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6D98B7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2C8B4CA" w14:textId="77777777" w:rsidR="00CA11D6" w:rsidRPr="00806B7F" w:rsidRDefault="00CA11D6" w:rsidP="00A369A1">
            <w:pPr>
              <w:jc w:val="center"/>
              <w:rPr>
                <w:rFonts w:ascii="Arial" w:hAnsi="Arial" w:cs="Arial"/>
                <w:bCs/>
                <w:sz w:val="20"/>
              </w:rPr>
            </w:pPr>
            <w:r w:rsidRPr="00806B7F">
              <w:rPr>
                <w:rFonts w:ascii="Arial" w:hAnsi="Arial" w:cs="Arial"/>
                <w:bCs/>
                <w:sz w:val="20"/>
              </w:rPr>
              <w:t>0.450</w:t>
            </w:r>
          </w:p>
        </w:tc>
        <w:tc>
          <w:tcPr>
            <w:tcW w:w="1078" w:type="dxa"/>
          </w:tcPr>
          <w:p w14:paraId="48CC91A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6AFDBA6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65F5E792" w14:textId="77777777" w:rsidTr="00A369A1">
        <w:trPr>
          <w:trHeight w:val="255"/>
        </w:trPr>
        <w:tc>
          <w:tcPr>
            <w:tcW w:w="3686" w:type="dxa"/>
            <w:shd w:val="clear" w:color="auto" w:fill="auto"/>
            <w:noWrap/>
          </w:tcPr>
          <w:p w14:paraId="5933CAFF" w14:textId="77777777" w:rsidR="00CA11D6" w:rsidRPr="00806B7F" w:rsidRDefault="00CA11D6" w:rsidP="00A369A1">
            <w:pPr>
              <w:rPr>
                <w:rFonts w:ascii="Arial" w:hAnsi="Arial" w:cs="Arial"/>
                <w:sz w:val="20"/>
              </w:rPr>
            </w:pPr>
            <w:r w:rsidRPr="00806B7F">
              <w:rPr>
                <w:rFonts w:ascii="Arial" w:hAnsi="Arial" w:cs="Arial"/>
                <w:sz w:val="20"/>
              </w:rPr>
              <w:t>IRS/MIS</w:t>
            </w:r>
          </w:p>
        </w:tc>
        <w:tc>
          <w:tcPr>
            <w:tcW w:w="1219" w:type="dxa"/>
            <w:shd w:val="clear" w:color="auto" w:fill="auto"/>
            <w:noWrap/>
          </w:tcPr>
          <w:p w14:paraId="32FF7D3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E72918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5C44A707" w14:textId="77777777" w:rsidR="00CA11D6" w:rsidRPr="00806B7F" w:rsidRDefault="00CA11D6" w:rsidP="00A369A1">
            <w:pPr>
              <w:jc w:val="center"/>
              <w:rPr>
                <w:rFonts w:ascii="Arial" w:hAnsi="Arial" w:cs="Arial"/>
                <w:bCs/>
                <w:sz w:val="20"/>
              </w:rPr>
            </w:pPr>
            <w:r w:rsidRPr="00806B7F">
              <w:rPr>
                <w:rFonts w:ascii="Arial" w:hAnsi="Arial" w:cs="Arial"/>
                <w:bCs/>
                <w:sz w:val="20"/>
              </w:rPr>
              <w:t>0.050</w:t>
            </w:r>
          </w:p>
        </w:tc>
        <w:tc>
          <w:tcPr>
            <w:tcW w:w="1078" w:type="dxa"/>
          </w:tcPr>
          <w:p w14:paraId="50C894FA"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A08281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0A4BD85A" w14:textId="77777777" w:rsidTr="00A369A1">
        <w:trPr>
          <w:trHeight w:val="255"/>
        </w:trPr>
        <w:tc>
          <w:tcPr>
            <w:tcW w:w="3686" w:type="dxa"/>
            <w:shd w:val="clear" w:color="auto" w:fill="auto"/>
            <w:noWrap/>
          </w:tcPr>
          <w:p w14:paraId="25C1AC40" w14:textId="77777777" w:rsidR="00CA11D6" w:rsidRPr="00806B7F" w:rsidRDefault="00CA11D6" w:rsidP="00A369A1">
            <w:pPr>
              <w:rPr>
                <w:rFonts w:ascii="Arial" w:hAnsi="Arial" w:cs="Arial"/>
                <w:sz w:val="20"/>
              </w:rPr>
            </w:pPr>
            <w:r w:rsidRPr="00806B7F">
              <w:rPr>
                <w:rFonts w:ascii="Arial" w:hAnsi="Arial" w:cs="Arial"/>
                <w:sz w:val="20"/>
              </w:rPr>
              <w:t>Firewall</w:t>
            </w:r>
          </w:p>
        </w:tc>
        <w:tc>
          <w:tcPr>
            <w:tcW w:w="1219" w:type="dxa"/>
            <w:shd w:val="clear" w:color="auto" w:fill="auto"/>
            <w:noWrap/>
          </w:tcPr>
          <w:p w14:paraId="11F9CF6C" w14:textId="77777777" w:rsidR="00CA11D6" w:rsidRPr="00806B7F" w:rsidRDefault="00CA11D6" w:rsidP="00A369A1">
            <w:pPr>
              <w:jc w:val="center"/>
              <w:rPr>
                <w:rFonts w:ascii="Arial" w:hAnsi="Arial" w:cs="Arial"/>
                <w:bCs/>
                <w:sz w:val="20"/>
              </w:rPr>
            </w:pPr>
            <w:r w:rsidRPr="00806B7F">
              <w:rPr>
                <w:rFonts w:ascii="Arial" w:hAnsi="Arial" w:cs="Arial"/>
                <w:bCs/>
                <w:sz w:val="20"/>
              </w:rPr>
              <w:t>0.235</w:t>
            </w:r>
          </w:p>
        </w:tc>
        <w:tc>
          <w:tcPr>
            <w:tcW w:w="1077" w:type="dxa"/>
            <w:shd w:val="clear" w:color="auto" w:fill="auto"/>
            <w:noWrap/>
          </w:tcPr>
          <w:p w14:paraId="3797103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3956E23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5531C4C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155F95A"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651928CD" w14:textId="77777777" w:rsidTr="00A369A1">
        <w:trPr>
          <w:trHeight w:val="255"/>
        </w:trPr>
        <w:tc>
          <w:tcPr>
            <w:tcW w:w="3686" w:type="dxa"/>
            <w:shd w:val="clear" w:color="auto" w:fill="auto"/>
            <w:noWrap/>
          </w:tcPr>
          <w:p w14:paraId="1AB7A27B" w14:textId="77777777" w:rsidR="00CA11D6" w:rsidRPr="00806B7F" w:rsidRDefault="00CA11D6" w:rsidP="00A369A1">
            <w:pPr>
              <w:rPr>
                <w:rFonts w:ascii="Arial" w:hAnsi="Arial" w:cs="Arial"/>
                <w:sz w:val="20"/>
              </w:rPr>
            </w:pPr>
            <w:r w:rsidRPr="00806B7F">
              <w:rPr>
                <w:rFonts w:ascii="Arial" w:hAnsi="Arial" w:cs="Arial"/>
                <w:sz w:val="20"/>
              </w:rPr>
              <w:t>Wi-Fi</w:t>
            </w:r>
          </w:p>
        </w:tc>
        <w:tc>
          <w:tcPr>
            <w:tcW w:w="1219" w:type="dxa"/>
            <w:shd w:val="clear" w:color="auto" w:fill="auto"/>
            <w:noWrap/>
          </w:tcPr>
          <w:p w14:paraId="11E0FB7D" w14:textId="77777777" w:rsidR="00CA11D6" w:rsidRPr="00806B7F" w:rsidRDefault="00CA11D6" w:rsidP="00A369A1">
            <w:pPr>
              <w:jc w:val="center"/>
              <w:rPr>
                <w:rFonts w:ascii="Arial" w:hAnsi="Arial" w:cs="Arial"/>
                <w:bCs/>
                <w:sz w:val="20"/>
              </w:rPr>
            </w:pPr>
            <w:r w:rsidRPr="00806B7F">
              <w:rPr>
                <w:rFonts w:ascii="Arial" w:hAnsi="Arial" w:cs="Arial"/>
                <w:bCs/>
                <w:sz w:val="20"/>
              </w:rPr>
              <w:t>0.135</w:t>
            </w:r>
          </w:p>
        </w:tc>
        <w:tc>
          <w:tcPr>
            <w:tcW w:w="1077" w:type="dxa"/>
            <w:shd w:val="clear" w:color="auto" w:fill="auto"/>
            <w:noWrap/>
          </w:tcPr>
          <w:p w14:paraId="7F1CA3BA"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8C2150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18AE5E9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46F18D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34E45510" w14:textId="77777777" w:rsidTr="00A369A1">
        <w:trPr>
          <w:trHeight w:val="255"/>
        </w:trPr>
        <w:tc>
          <w:tcPr>
            <w:tcW w:w="3686" w:type="dxa"/>
            <w:shd w:val="clear" w:color="auto" w:fill="auto"/>
            <w:noWrap/>
          </w:tcPr>
          <w:p w14:paraId="113F36F0" w14:textId="77777777" w:rsidR="00CA11D6" w:rsidRPr="00806B7F" w:rsidRDefault="00CA11D6" w:rsidP="00A369A1">
            <w:pPr>
              <w:rPr>
                <w:rFonts w:ascii="Arial" w:hAnsi="Arial" w:cs="Arial"/>
                <w:b/>
                <w:sz w:val="20"/>
              </w:rPr>
            </w:pPr>
            <w:r w:rsidRPr="00806B7F">
              <w:rPr>
                <w:rFonts w:ascii="Arial" w:hAnsi="Arial" w:cs="Arial"/>
                <w:b/>
                <w:sz w:val="20"/>
              </w:rPr>
              <w:t>New Operational Communications</w:t>
            </w:r>
          </w:p>
        </w:tc>
        <w:tc>
          <w:tcPr>
            <w:tcW w:w="1219" w:type="dxa"/>
            <w:shd w:val="clear" w:color="auto" w:fill="auto"/>
            <w:noWrap/>
          </w:tcPr>
          <w:p w14:paraId="412B4F55"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358F47EC"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54C6EC9E" w14:textId="77777777" w:rsidR="00CA11D6" w:rsidRPr="00806B7F" w:rsidRDefault="00CA11D6" w:rsidP="00A369A1">
            <w:pPr>
              <w:jc w:val="center"/>
              <w:rPr>
                <w:rFonts w:ascii="Arial" w:hAnsi="Arial" w:cs="Arial"/>
                <w:bCs/>
                <w:sz w:val="20"/>
              </w:rPr>
            </w:pPr>
          </w:p>
        </w:tc>
        <w:tc>
          <w:tcPr>
            <w:tcW w:w="1078" w:type="dxa"/>
          </w:tcPr>
          <w:p w14:paraId="6E7058F7" w14:textId="77777777" w:rsidR="00CA11D6" w:rsidRPr="00806B7F" w:rsidRDefault="00CA11D6" w:rsidP="00A369A1">
            <w:pPr>
              <w:jc w:val="center"/>
              <w:rPr>
                <w:rFonts w:ascii="Arial" w:hAnsi="Arial" w:cs="Arial"/>
                <w:bCs/>
                <w:sz w:val="20"/>
              </w:rPr>
            </w:pPr>
          </w:p>
        </w:tc>
        <w:tc>
          <w:tcPr>
            <w:tcW w:w="1077" w:type="dxa"/>
          </w:tcPr>
          <w:p w14:paraId="6711E753" w14:textId="77777777" w:rsidR="00CA11D6" w:rsidRPr="00806B7F" w:rsidRDefault="00CA11D6" w:rsidP="00A369A1">
            <w:pPr>
              <w:jc w:val="center"/>
              <w:rPr>
                <w:rFonts w:ascii="Arial" w:hAnsi="Arial" w:cs="Arial"/>
                <w:bCs/>
                <w:sz w:val="20"/>
              </w:rPr>
            </w:pPr>
          </w:p>
        </w:tc>
      </w:tr>
      <w:tr w:rsidR="00CA11D6" w:rsidRPr="00806B7F" w14:paraId="48380368" w14:textId="77777777" w:rsidTr="00A369A1">
        <w:trPr>
          <w:trHeight w:val="255"/>
        </w:trPr>
        <w:tc>
          <w:tcPr>
            <w:tcW w:w="3686" w:type="dxa"/>
            <w:shd w:val="clear" w:color="auto" w:fill="auto"/>
            <w:noWrap/>
          </w:tcPr>
          <w:p w14:paraId="36A00E98" w14:textId="77777777" w:rsidR="00CA11D6" w:rsidRPr="00806B7F" w:rsidRDefault="00CA11D6" w:rsidP="00A369A1">
            <w:pPr>
              <w:rPr>
                <w:rFonts w:ascii="Arial" w:hAnsi="Arial" w:cs="Arial"/>
                <w:b/>
                <w:sz w:val="20"/>
              </w:rPr>
            </w:pPr>
            <w:r w:rsidRPr="00806B7F">
              <w:rPr>
                <w:rFonts w:ascii="Arial" w:hAnsi="Arial" w:cs="Arial"/>
                <w:sz w:val="20"/>
              </w:rPr>
              <w:t>Digitisation of Fire appliances - additional VMDS units</w:t>
            </w:r>
          </w:p>
        </w:tc>
        <w:tc>
          <w:tcPr>
            <w:tcW w:w="1219" w:type="dxa"/>
            <w:shd w:val="clear" w:color="auto" w:fill="auto"/>
            <w:noWrap/>
          </w:tcPr>
          <w:p w14:paraId="355CB782" w14:textId="77777777" w:rsidR="00CA11D6" w:rsidRPr="00806B7F" w:rsidRDefault="00CA11D6" w:rsidP="00A369A1">
            <w:pPr>
              <w:jc w:val="center"/>
              <w:rPr>
                <w:rFonts w:ascii="Arial" w:hAnsi="Arial" w:cs="Arial"/>
                <w:bCs/>
                <w:sz w:val="20"/>
              </w:rPr>
            </w:pPr>
            <w:r w:rsidRPr="00806B7F">
              <w:rPr>
                <w:rFonts w:ascii="Arial" w:hAnsi="Arial" w:cs="Arial"/>
                <w:bCs/>
                <w:sz w:val="20"/>
              </w:rPr>
              <w:t>0.254</w:t>
            </w:r>
          </w:p>
        </w:tc>
        <w:tc>
          <w:tcPr>
            <w:tcW w:w="1077" w:type="dxa"/>
            <w:shd w:val="clear" w:color="auto" w:fill="auto"/>
            <w:noWrap/>
          </w:tcPr>
          <w:p w14:paraId="40F8CB5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239DD5F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927681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77D1D72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2E9D131A" w14:textId="77777777" w:rsidTr="00A369A1">
        <w:trPr>
          <w:trHeight w:val="255"/>
        </w:trPr>
        <w:tc>
          <w:tcPr>
            <w:tcW w:w="3686" w:type="dxa"/>
            <w:shd w:val="clear" w:color="auto" w:fill="auto"/>
            <w:noWrap/>
          </w:tcPr>
          <w:p w14:paraId="27E77996" w14:textId="77777777" w:rsidR="00CA11D6" w:rsidRPr="00806B7F" w:rsidRDefault="00CA11D6" w:rsidP="00A369A1">
            <w:pPr>
              <w:rPr>
                <w:rFonts w:ascii="Arial" w:hAnsi="Arial" w:cs="Arial"/>
                <w:b/>
                <w:sz w:val="20"/>
              </w:rPr>
            </w:pPr>
            <w:r w:rsidRPr="00806B7F">
              <w:rPr>
                <w:rFonts w:ascii="Arial" w:hAnsi="Arial" w:cs="Arial"/>
                <w:b/>
                <w:sz w:val="20"/>
              </w:rPr>
              <w:t>Replace Operational Communications</w:t>
            </w:r>
          </w:p>
        </w:tc>
        <w:tc>
          <w:tcPr>
            <w:tcW w:w="1219" w:type="dxa"/>
            <w:shd w:val="clear" w:color="auto" w:fill="auto"/>
            <w:noWrap/>
          </w:tcPr>
          <w:p w14:paraId="763029EF"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30C5A9BD"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2A0D9180" w14:textId="77777777" w:rsidR="00CA11D6" w:rsidRPr="00806B7F" w:rsidRDefault="00CA11D6" w:rsidP="00A369A1">
            <w:pPr>
              <w:jc w:val="center"/>
              <w:rPr>
                <w:rFonts w:ascii="Arial" w:hAnsi="Arial" w:cs="Arial"/>
                <w:bCs/>
                <w:sz w:val="20"/>
              </w:rPr>
            </w:pPr>
          </w:p>
        </w:tc>
        <w:tc>
          <w:tcPr>
            <w:tcW w:w="1078" w:type="dxa"/>
          </w:tcPr>
          <w:p w14:paraId="6593AD2B" w14:textId="77777777" w:rsidR="00CA11D6" w:rsidRPr="00806B7F" w:rsidRDefault="00CA11D6" w:rsidP="00A369A1">
            <w:pPr>
              <w:jc w:val="center"/>
              <w:rPr>
                <w:rFonts w:ascii="Arial" w:hAnsi="Arial" w:cs="Arial"/>
                <w:bCs/>
                <w:sz w:val="20"/>
              </w:rPr>
            </w:pPr>
          </w:p>
        </w:tc>
        <w:tc>
          <w:tcPr>
            <w:tcW w:w="1077" w:type="dxa"/>
          </w:tcPr>
          <w:p w14:paraId="6D674A5F" w14:textId="77777777" w:rsidR="00CA11D6" w:rsidRPr="00806B7F" w:rsidRDefault="00CA11D6" w:rsidP="00A369A1">
            <w:pPr>
              <w:jc w:val="center"/>
              <w:rPr>
                <w:rFonts w:ascii="Arial" w:hAnsi="Arial" w:cs="Arial"/>
                <w:bCs/>
                <w:sz w:val="20"/>
              </w:rPr>
            </w:pPr>
          </w:p>
        </w:tc>
      </w:tr>
      <w:tr w:rsidR="00CA11D6" w:rsidRPr="00806B7F" w14:paraId="61507856" w14:textId="77777777" w:rsidTr="00A369A1">
        <w:trPr>
          <w:trHeight w:val="255"/>
        </w:trPr>
        <w:tc>
          <w:tcPr>
            <w:tcW w:w="3686" w:type="dxa"/>
            <w:shd w:val="clear" w:color="auto" w:fill="auto"/>
            <w:noWrap/>
          </w:tcPr>
          <w:p w14:paraId="5AF29832" w14:textId="77777777" w:rsidR="00CA11D6" w:rsidRPr="00806B7F" w:rsidRDefault="00CA11D6" w:rsidP="00A369A1">
            <w:pPr>
              <w:rPr>
                <w:rFonts w:ascii="Arial" w:hAnsi="Arial" w:cs="Arial"/>
                <w:sz w:val="20"/>
              </w:rPr>
            </w:pPr>
            <w:r w:rsidRPr="00806B7F">
              <w:rPr>
                <w:rFonts w:ascii="Arial" w:hAnsi="Arial" w:cs="Arial"/>
                <w:sz w:val="20"/>
              </w:rPr>
              <w:t>ESMCP (Airwave replacement – assumed funded by grant)</w:t>
            </w:r>
          </w:p>
        </w:tc>
        <w:tc>
          <w:tcPr>
            <w:tcW w:w="1219" w:type="dxa"/>
            <w:shd w:val="clear" w:color="auto" w:fill="auto"/>
            <w:noWrap/>
          </w:tcPr>
          <w:p w14:paraId="27C5A88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4DE3DB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3CF39CE8"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c>
          <w:tcPr>
            <w:tcW w:w="1078" w:type="dxa"/>
          </w:tcPr>
          <w:p w14:paraId="68D745E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25A2602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77069D14" w14:textId="77777777" w:rsidTr="00A369A1">
        <w:trPr>
          <w:trHeight w:val="255"/>
        </w:trPr>
        <w:tc>
          <w:tcPr>
            <w:tcW w:w="3686" w:type="dxa"/>
            <w:shd w:val="clear" w:color="auto" w:fill="auto"/>
            <w:noWrap/>
          </w:tcPr>
          <w:p w14:paraId="67255AD9" w14:textId="77777777" w:rsidR="00CA11D6" w:rsidRPr="00806B7F" w:rsidRDefault="00CA11D6" w:rsidP="00A369A1">
            <w:pPr>
              <w:rPr>
                <w:rFonts w:ascii="Arial" w:hAnsi="Arial" w:cs="Arial"/>
                <w:sz w:val="20"/>
              </w:rPr>
            </w:pPr>
            <w:r w:rsidRPr="00806B7F">
              <w:rPr>
                <w:rFonts w:ascii="Arial" w:hAnsi="Arial" w:cs="Arial"/>
                <w:sz w:val="20"/>
              </w:rPr>
              <w:t>Incident Ground Radios</w:t>
            </w:r>
          </w:p>
        </w:tc>
        <w:tc>
          <w:tcPr>
            <w:tcW w:w="1219" w:type="dxa"/>
            <w:shd w:val="clear" w:color="auto" w:fill="auto"/>
            <w:noWrap/>
          </w:tcPr>
          <w:p w14:paraId="1F1B2E58" w14:textId="77777777" w:rsidR="00CA11D6" w:rsidRPr="00806B7F" w:rsidRDefault="00CA11D6" w:rsidP="00A369A1">
            <w:pPr>
              <w:jc w:val="center"/>
              <w:rPr>
                <w:rFonts w:ascii="Arial" w:hAnsi="Arial" w:cs="Arial"/>
                <w:bCs/>
                <w:sz w:val="20"/>
              </w:rPr>
            </w:pPr>
            <w:r w:rsidRPr="00806B7F">
              <w:rPr>
                <w:rFonts w:ascii="Arial" w:hAnsi="Arial" w:cs="Arial"/>
                <w:bCs/>
                <w:sz w:val="20"/>
              </w:rPr>
              <w:t>0.230</w:t>
            </w:r>
          </w:p>
        </w:tc>
        <w:tc>
          <w:tcPr>
            <w:tcW w:w="1077" w:type="dxa"/>
            <w:shd w:val="clear" w:color="auto" w:fill="auto"/>
            <w:noWrap/>
          </w:tcPr>
          <w:p w14:paraId="70CDB4F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1EA36CA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7E8AFF5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572251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17D46672" w14:textId="77777777" w:rsidTr="00A369A1">
        <w:trPr>
          <w:trHeight w:val="255"/>
        </w:trPr>
        <w:tc>
          <w:tcPr>
            <w:tcW w:w="3686" w:type="dxa"/>
            <w:shd w:val="clear" w:color="auto" w:fill="auto"/>
            <w:noWrap/>
          </w:tcPr>
          <w:p w14:paraId="53C4F669" w14:textId="77777777" w:rsidR="00CA11D6" w:rsidRPr="00806B7F" w:rsidRDefault="00CA11D6" w:rsidP="00A369A1">
            <w:pPr>
              <w:rPr>
                <w:rFonts w:ascii="Arial" w:hAnsi="Arial" w:cs="Arial"/>
                <w:sz w:val="20"/>
              </w:rPr>
            </w:pPr>
            <w:r w:rsidRPr="00806B7F">
              <w:rPr>
                <w:rFonts w:ascii="Arial" w:hAnsi="Arial" w:cs="Arial"/>
                <w:sz w:val="20"/>
              </w:rPr>
              <w:t>UPS</w:t>
            </w:r>
          </w:p>
        </w:tc>
        <w:tc>
          <w:tcPr>
            <w:tcW w:w="1219" w:type="dxa"/>
            <w:shd w:val="clear" w:color="auto" w:fill="auto"/>
            <w:noWrap/>
          </w:tcPr>
          <w:p w14:paraId="462DF49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C0CDB2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444178D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tcPr>
          <w:p w14:paraId="1EC66139"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B8C7E41" w14:textId="77777777" w:rsidR="00CA11D6" w:rsidRPr="00806B7F" w:rsidRDefault="00CA11D6" w:rsidP="00A369A1">
            <w:pPr>
              <w:jc w:val="center"/>
              <w:rPr>
                <w:rFonts w:ascii="Arial" w:hAnsi="Arial" w:cs="Arial"/>
                <w:bCs/>
                <w:sz w:val="20"/>
              </w:rPr>
            </w:pPr>
            <w:r w:rsidRPr="00806B7F">
              <w:rPr>
                <w:rFonts w:ascii="Arial" w:hAnsi="Arial" w:cs="Arial"/>
                <w:bCs/>
                <w:sz w:val="20"/>
              </w:rPr>
              <w:t>0.060</w:t>
            </w:r>
          </w:p>
        </w:tc>
      </w:tr>
      <w:tr w:rsidR="00CA11D6" w:rsidRPr="00806B7F" w14:paraId="12FCAF21" w14:textId="77777777" w:rsidTr="00A369A1">
        <w:trPr>
          <w:trHeight w:val="255"/>
        </w:trPr>
        <w:tc>
          <w:tcPr>
            <w:tcW w:w="3686" w:type="dxa"/>
            <w:shd w:val="clear" w:color="auto" w:fill="auto"/>
            <w:noWrap/>
          </w:tcPr>
          <w:p w14:paraId="4A6AED4B" w14:textId="77777777" w:rsidR="00CA11D6" w:rsidRPr="00806B7F" w:rsidRDefault="00CA11D6" w:rsidP="00A369A1">
            <w:pPr>
              <w:rPr>
                <w:rFonts w:ascii="Arial" w:hAnsi="Arial" w:cs="Arial"/>
                <w:b/>
                <w:sz w:val="20"/>
              </w:rPr>
            </w:pPr>
            <w:r w:rsidRPr="00806B7F">
              <w:rPr>
                <w:rFonts w:ascii="Arial" w:hAnsi="Arial" w:cs="Arial"/>
                <w:b/>
                <w:sz w:val="20"/>
              </w:rPr>
              <w:t>Total ICT Programme</w:t>
            </w:r>
          </w:p>
        </w:tc>
        <w:tc>
          <w:tcPr>
            <w:tcW w:w="1219" w:type="dxa"/>
            <w:shd w:val="clear" w:color="auto" w:fill="auto"/>
            <w:noWrap/>
          </w:tcPr>
          <w:p w14:paraId="031E33D6" w14:textId="77777777" w:rsidR="00CA11D6" w:rsidRPr="00806B7F" w:rsidRDefault="00CA11D6" w:rsidP="00A369A1">
            <w:pPr>
              <w:jc w:val="center"/>
              <w:rPr>
                <w:rFonts w:ascii="Arial" w:hAnsi="Arial" w:cs="Arial"/>
                <w:bCs/>
                <w:sz w:val="20"/>
              </w:rPr>
            </w:pPr>
            <w:r w:rsidRPr="00806B7F">
              <w:rPr>
                <w:rFonts w:ascii="Arial" w:hAnsi="Arial" w:cs="Arial"/>
                <w:bCs/>
                <w:sz w:val="20"/>
              </w:rPr>
              <w:t>1.219</w:t>
            </w:r>
          </w:p>
        </w:tc>
        <w:tc>
          <w:tcPr>
            <w:tcW w:w="1077" w:type="dxa"/>
            <w:shd w:val="clear" w:color="auto" w:fill="auto"/>
            <w:noWrap/>
          </w:tcPr>
          <w:p w14:paraId="38B74733" w14:textId="77777777" w:rsidR="00CA11D6" w:rsidRPr="00806B7F" w:rsidRDefault="00CA11D6" w:rsidP="00A369A1">
            <w:pPr>
              <w:jc w:val="center"/>
              <w:rPr>
                <w:rFonts w:ascii="Arial" w:hAnsi="Arial" w:cs="Arial"/>
                <w:bCs/>
                <w:sz w:val="20"/>
              </w:rPr>
            </w:pPr>
            <w:r w:rsidRPr="00806B7F">
              <w:rPr>
                <w:rFonts w:ascii="Arial" w:hAnsi="Arial" w:cs="Arial"/>
                <w:bCs/>
                <w:sz w:val="20"/>
              </w:rPr>
              <w:t>0.500</w:t>
            </w:r>
          </w:p>
        </w:tc>
        <w:tc>
          <w:tcPr>
            <w:tcW w:w="1077" w:type="dxa"/>
            <w:shd w:val="clear" w:color="auto" w:fill="auto"/>
            <w:noWrap/>
          </w:tcPr>
          <w:p w14:paraId="6A333AAE" w14:textId="77777777" w:rsidR="00CA11D6" w:rsidRPr="00806B7F" w:rsidRDefault="00CA11D6" w:rsidP="00A369A1">
            <w:pPr>
              <w:jc w:val="center"/>
              <w:rPr>
                <w:rFonts w:ascii="Arial" w:hAnsi="Arial" w:cs="Arial"/>
                <w:bCs/>
                <w:sz w:val="20"/>
              </w:rPr>
            </w:pPr>
            <w:r w:rsidRPr="00806B7F">
              <w:rPr>
                <w:rFonts w:ascii="Arial" w:hAnsi="Arial" w:cs="Arial"/>
                <w:bCs/>
                <w:sz w:val="20"/>
              </w:rPr>
              <w:t>1.690</w:t>
            </w:r>
          </w:p>
        </w:tc>
        <w:tc>
          <w:tcPr>
            <w:tcW w:w="1078" w:type="dxa"/>
          </w:tcPr>
          <w:p w14:paraId="4A5F1D2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tcPr>
          <w:p w14:paraId="3DEEF368" w14:textId="77777777" w:rsidR="00CA11D6" w:rsidRPr="00806B7F" w:rsidRDefault="00CA11D6" w:rsidP="00A369A1">
            <w:pPr>
              <w:jc w:val="center"/>
              <w:rPr>
                <w:rFonts w:ascii="Arial" w:hAnsi="Arial" w:cs="Arial"/>
                <w:bCs/>
                <w:sz w:val="20"/>
              </w:rPr>
            </w:pPr>
            <w:r w:rsidRPr="00806B7F">
              <w:rPr>
                <w:rFonts w:ascii="Arial" w:hAnsi="Arial" w:cs="Arial"/>
                <w:bCs/>
                <w:sz w:val="20"/>
              </w:rPr>
              <w:t>0.060</w:t>
            </w:r>
          </w:p>
        </w:tc>
      </w:tr>
    </w:tbl>
    <w:p w14:paraId="02D7505F" w14:textId="77777777" w:rsidR="00CA11D6" w:rsidRPr="00806B7F" w:rsidRDefault="00CA11D6" w:rsidP="00CA11D6">
      <w:pPr>
        <w:jc w:val="both"/>
        <w:rPr>
          <w:rFonts w:ascii="Arial" w:hAnsi="Arial" w:cs="Arial"/>
          <w:color w:val="FF0000"/>
          <w:sz w:val="20"/>
        </w:rPr>
      </w:pPr>
    </w:p>
    <w:p w14:paraId="1932F5A6" w14:textId="77777777" w:rsidR="00CA11D6" w:rsidRPr="00806B7F" w:rsidRDefault="00CA11D6" w:rsidP="00CA11D6">
      <w:pPr>
        <w:jc w:val="both"/>
        <w:rPr>
          <w:rFonts w:ascii="Arial" w:hAnsi="Arial" w:cs="Arial"/>
          <w:color w:val="FF0000"/>
          <w:sz w:val="20"/>
        </w:rPr>
      </w:pPr>
    </w:p>
    <w:p w14:paraId="5306B06E" w14:textId="77777777" w:rsidR="00CA11D6" w:rsidRPr="00806B7F" w:rsidRDefault="00CA11D6" w:rsidP="00CA11D6">
      <w:pPr>
        <w:jc w:val="both"/>
        <w:rPr>
          <w:rFonts w:ascii="Arial" w:hAnsi="Arial" w:cs="Arial"/>
          <w:sz w:val="20"/>
        </w:rPr>
      </w:pPr>
      <w:r w:rsidRPr="00806B7F">
        <w:rPr>
          <w:rFonts w:ascii="Arial" w:hAnsi="Arial" w:cs="Arial"/>
          <w:sz w:val="20"/>
        </w:rPr>
        <w:t>(Note HR &amp; Payroll and the Finance system are both outsourced and form part of on-going SLAs, as such no allowance has been made for their future replacement, as it is assumed that any replacement costs are covered by the existing SLA. If at some point the Service moved away from the current SLAs, then we will incur costs in implementing new systems. We have not allowed for this.)</w:t>
      </w:r>
    </w:p>
    <w:p w14:paraId="42AB559C" w14:textId="77777777" w:rsidR="00CA11D6" w:rsidRPr="00806B7F" w:rsidRDefault="00CA11D6" w:rsidP="00CA11D6">
      <w:pPr>
        <w:jc w:val="both"/>
        <w:rPr>
          <w:rFonts w:ascii="Arial" w:hAnsi="Arial" w:cs="Arial"/>
          <w:b/>
          <w:sz w:val="20"/>
        </w:rPr>
      </w:pPr>
    </w:p>
    <w:p w14:paraId="42001FDB" w14:textId="77777777" w:rsidR="00CA11D6" w:rsidRPr="00806B7F" w:rsidRDefault="00CA11D6" w:rsidP="00CA11D6">
      <w:pPr>
        <w:jc w:val="both"/>
        <w:rPr>
          <w:rFonts w:ascii="Arial" w:hAnsi="Arial" w:cs="Arial"/>
          <w:sz w:val="20"/>
        </w:rPr>
      </w:pPr>
      <w:r w:rsidRPr="00806B7F">
        <w:rPr>
          <w:rFonts w:ascii="Arial" w:hAnsi="Arial" w:cs="Arial"/>
          <w:b/>
          <w:sz w:val="20"/>
        </w:rPr>
        <w:t>Buildings</w:t>
      </w:r>
    </w:p>
    <w:p w14:paraId="19D2FAC3" w14:textId="77777777" w:rsidR="00CA11D6" w:rsidRPr="00806B7F" w:rsidRDefault="00CA11D6" w:rsidP="00CA11D6">
      <w:pPr>
        <w:jc w:val="both"/>
        <w:rPr>
          <w:rFonts w:ascii="Arial" w:hAnsi="Arial" w:cs="Arial"/>
          <w:sz w:val="20"/>
        </w:rPr>
      </w:pPr>
    </w:p>
    <w:p w14:paraId="4DEADB63" w14:textId="77777777" w:rsidR="00CA11D6" w:rsidRPr="00806B7F" w:rsidRDefault="00CA11D6" w:rsidP="00CA11D6">
      <w:pPr>
        <w:jc w:val="both"/>
        <w:rPr>
          <w:rFonts w:ascii="Arial" w:hAnsi="Arial" w:cs="Arial"/>
          <w:sz w:val="20"/>
        </w:rPr>
      </w:pPr>
      <w:r w:rsidRPr="00806B7F">
        <w:rPr>
          <w:rFonts w:ascii="Arial" w:hAnsi="Arial" w:cs="Arial"/>
          <w:sz w:val="20"/>
        </w:rPr>
        <w:t>The only new scheme included in the above programme is Estate Improvements provision, which is a sum to enable us to make improvements to the estates on an on-going basis.</w:t>
      </w:r>
    </w:p>
    <w:p w14:paraId="45EF48EB" w14:textId="77777777" w:rsidR="00CA11D6" w:rsidRPr="00806B7F" w:rsidRDefault="00CA11D6" w:rsidP="00CA11D6">
      <w:pPr>
        <w:jc w:val="both"/>
        <w:rPr>
          <w:rFonts w:ascii="Arial" w:eastAsia="Calibri" w:hAnsi="Arial" w:cs="Arial"/>
          <w:i/>
          <w:iCs/>
          <w:color w:val="44546A"/>
          <w:sz w:val="20"/>
          <w:lang w:eastAsia="en-US"/>
        </w:rPr>
      </w:pPr>
    </w:p>
    <w:p w14:paraId="07CD450D"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6 Building Requirements (Cost per year)</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077"/>
        <w:gridCol w:w="1077"/>
        <w:gridCol w:w="1077"/>
        <w:gridCol w:w="1078"/>
      </w:tblGrid>
      <w:tr w:rsidR="00CA11D6" w:rsidRPr="00806B7F" w14:paraId="671A42AF" w14:textId="77777777" w:rsidTr="00A369A1">
        <w:trPr>
          <w:trHeight w:val="255"/>
        </w:trPr>
        <w:tc>
          <w:tcPr>
            <w:tcW w:w="3544" w:type="dxa"/>
            <w:shd w:val="clear" w:color="auto" w:fill="auto"/>
            <w:noWrap/>
          </w:tcPr>
          <w:p w14:paraId="68DEC9DA" w14:textId="77777777" w:rsidR="00CA11D6" w:rsidRPr="00806B7F" w:rsidRDefault="00CA11D6" w:rsidP="00A369A1">
            <w:pPr>
              <w:jc w:val="both"/>
              <w:rPr>
                <w:rFonts w:ascii="Arial" w:hAnsi="Arial" w:cs="Arial"/>
                <w:b/>
                <w:bCs/>
                <w:sz w:val="20"/>
              </w:rPr>
            </w:pPr>
          </w:p>
        </w:tc>
        <w:tc>
          <w:tcPr>
            <w:tcW w:w="1276" w:type="dxa"/>
            <w:shd w:val="clear" w:color="auto" w:fill="auto"/>
            <w:noWrap/>
          </w:tcPr>
          <w:p w14:paraId="45F2B0FF"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077" w:type="dxa"/>
            <w:shd w:val="clear" w:color="auto" w:fill="auto"/>
            <w:noWrap/>
          </w:tcPr>
          <w:p w14:paraId="0A7D09B2"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077" w:type="dxa"/>
            <w:shd w:val="clear" w:color="auto" w:fill="auto"/>
            <w:noWrap/>
          </w:tcPr>
          <w:p w14:paraId="79E9AA15"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077" w:type="dxa"/>
            <w:shd w:val="clear" w:color="auto" w:fill="auto"/>
            <w:noWrap/>
          </w:tcPr>
          <w:p w14:paraId="142EDF38"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078" w:type="dxa"/>
            <w:shd w:val="clear" w:color="auto" w:fill="auto"/>
            <w:noWrap/>
          </w:tcPr>
          <w:p w14:paraId="653616EC"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r>
      <w:tr w:rsidR="00CA11D6" w:rsidRPr="00806B7F" w14:paraId="09D62503" w14:textId="77777777" w:rsidTr="00A369A1">
        <w:trPr>
          <w:trHeight w:val="255"/>
        </w:trPr>
        <w:tc>
          <w:tcPr>
            <w:tcW w:w="3544" w:type="dxa"/>
            <w:shd w:val="clear" w:color="auto" w:fill="auto"/>
            <w:noWrap/>
          </w:tcPr>
          <w:p w14:paraId="757D2370" w14:textId="77777777" w:rsidR="00CA11D6" w:rsidRPr="00806B7F" w:rsidRDefault="00CA11D6" w:rsidP="00A369A1">
            <w:pPr>
              <w:jc w:val="both"/>
              <w:rPr>
                <w:rFonts w:ascii="Arial" w:hAnsi="Arial" w:cs="Arial"/>
                <w:sz w:val="20"/>
              </w:rPr>
            </w:pPr>
          </w:p>
        </w:tc>
        <w:tc>
          <w:tcPr>
            <w:tcW w:w="1276" w:type="dxa"/>
            <w:shd w:val="clear" w:color="auto" w:fill="auto"/>
            <w:noWrap/>
          </w:tcPr>
          <w:p w14:paraId="5CC58728"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20DEF2F5"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241B6A49"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7" w:type="dxa"/>
            <w:shd w:val="clear" w:color="auto" w:fill="auto"/>
            <w:noWrap/>
          </w:tcPr>
          <w:p w14:paraId="4AC93EB9"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078" w:type="dxa"/>
            <w:shd w:val="clear" w:color="auto" w:fill="auto"/>
            <w:noWrap/>
          </w:tcPr>
          <w:p w14:paraId="25780EA2"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4910CD72" w14:textId="77777777" w:rsidTr="00A369A1">
        <w:trPr>
          <w:trHeight w:val="255"/>
        </w:trPr>
        <w:tc>
          <w:tcPr>
            <w:tcW w:w="3544" w:type="dxa"/>
            <w:shd w:val="clear" w:color="auto" w:fill="auto"/>
            <w:noWrap/>
          </w:tcPr>
          <w:p w14:paraId="7756947E" w14:textId="77777777" w:rsidR="00CA11D6" w:rsidRPr="00806B7F" w:rsidRDefault="00CA11D6" w:rsidP="00A369A1">
            <w:pPr>
              <w:jc w:val="both"/>
              <w:rPr>
                <w:rFonts w:ascii="Arial" w:hAnsi="Arial" w:cs="Arial"/>
                <w:b/>
                <w:bCs/>
                <w:sz w:val="20"/>
              </w:rPr>
            </w:pPr>
            <w:r w:rsidRPr="00806B7F">
              <w:rPr>
                <w:rFonts w:ascii="Arial" w:hAnsi="Arial" w:cs="Arial"/>
                <w:b/>
                <w:bCs/>
                <w:sz w:val="20"/>
              </w:rPr>
              <w:t>New Schemes</w:t>
            </w:r>
          </w:p>
        </w:tc>
        <w:tc>
          <w:tcPr>
            <w:tcW w:w="1276" w:type="dxa"/>
            <w:shd w:val="clear" w:color="auto" w:fill="auto"/>
            <w:noWrap/>
          </w:tcPr>
          <w:p w14:paraId="4F8B8CA6"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379FA548"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029480FE"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16254ED7"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304E5B49" w14:textId="77777777" w:rsidR="00CA11D6" w:rsidRPr="00806B7F" w:rsidRDefault="00CA11D6" w:rsidP="00A369A1">
            <w:pPr>
              <w:jc w:val="center"/>
              <w:rPr>
                <w:rFonts w:ascii="Arial" w:hAnsi="Arial" w:cs="Arial"/>
                <w:bCs/>
                <w:sz w:val="20"/>
              </w:rPr>
            </w:pPr>
          </w:p>
        </w:tc>
      </w:tr>
      <w:tr w:rsidR="00CA11D6" w:rsidRPr="00806B7F" w14:paraId="56A8FF2E" w14:textId="77777777" w:rsidTr="00A369A1">
        <w:trPr>
          <w:trHeight w:val="255"/>
        </w:trPr>
        <w:tc>
          <w:tcPr>
            <w:tcW w:w="3544" w:type="dxa"/>
            <w:shd w:val="clear" w:color="auto" w:fill="auto"/>
            <w:noWrap/>
          </w:tcPr>
          <w:p w14:paraId="24A664A9" w14:textId="77777777" w:rsidR="00CA11D6" w:rsidRPr="00806B7F" w:rsidRDefault="00CA11D6" w:rsidP="00A369A1">
            <w:pPr>
              <w:jc w:val="both"/>
              <w:rPr>
                <w:rFonts w:ascii="Arial" w:hAnsi="Arial" w:cs="Arial"/>
                <w:sz w:val="20"/>
              </w:rPr>
            </w:pPr>
            <w:r w:rsidRPr="00806B7F">
              <w:rPr>
                <w:rFonts w:ascii="Arial" w:hAnsi="Arial" w:cs="Arial"/>
                <w:sz w:val="20"/>
              </w:rPr>
              <w:t>Estate Improvements</w:t>
            </w:r>
          </w:p>
        </w:tc>
        <w:tc>
          <w:tcPr>
            <w:tcW w:w="1276" w:type="dxa"/>
            <w:shd w:val="clear" w:color="auto" w:fill="auto"/>
            <w:noWrap/>
          </w:tcPr>
          <w:p w14:paraId="1E705D7F"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c>
          <w:tcPr>
            <w:tcW w:w="1077" w:type="dxa"/>
            <w:shd w:val="clear" w:color="auto" w:fill="auto"/>
            <w:noWrap/>
          </w:tcPr>
          <w:p w14:paraId="57BF8A28"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c>
          <w:tcPr>
            <w:tcW w:w="1077" w:type="dxa"/>
            <w:shd w:val="clear" w:color="auto" w:fill="auto"/>
            <w:noWrap/>
          </w:tcPr>
          <w:p w14:paraId="6A240322"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c>
          <w:tcPr>
            <w:tcW w:w="1077" w:type="dxa"/>
            <w:shd w:val="clear" w:color="auto" w:fill="auto"/>
            <w:noWrap/>
          </w:tcPr>
          <w:p w14:paraId="0299310E"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c>
          <w:tcPr>
            <w:tcW w:w="1078" w:type="dxa"/>
            <w:shd w:val="clear" w:color="auto" w:fill="auto"/>
            <w:noWrap/>
          </w:tcPr>
          <w:p w14:paraId="49FBA9AC" w14:textId="77777777" w:rsidR="00CA11D6" w:rsidRPr="00806B7F" w:rsidRDefault="00CA11D6" w:rsidP="00A369A1">
            <w:pPr>
              <w:jc w:val="center"/>
              <w:rPr>
                <w:rFonts w:ascii="Arial" w:hAnsi="Arial" w:cs="Arial"/>
                <w:bCs/>
                <w:sz w:val="20"/>
              </w:rPr>
            </w:pPr>
            <w:r w:rsidRPr="00806B7F">
              <w:rPr>
                <w:rFonts w:ascii="Arial" w:hAnsi="Arial" w:cs="Arial"/>
                <w:bCs/>
                <w:sz w:val="20"/>
              </w:rPr>
              <w:t>0.250</w:t>
            </w:r>
          </w:p>
        </w:tc>
      </w:tr>
      <w:tr w:rsidR="00CA11D6" w:rsidRPr="00806B7F" w14:paraId="251B9625" w14:textId="77777777" w:rsidTr="00A369A1">
        <w:trPr>
          <w:trHeight w:val="255"/>
        </w:trPr>
        <w:tc>
          <w:tcPr>
            <w:tcW w:w="3544" w:type="dxa"/>
            <w:shd w:val="clear" w:color="auto" w:fill="auto"/>
            <w:noWrap/>
          </w:tcPr>
          <w:p w14:paraId="2C52746F" w14:textId="77777777" w:rsidR="00CA11D6" w:rsidRPr="00806B7F" w:rsidRDefault="00CA11D6" w:rsidP="00A369A1">
            <w:pPr>
              <w:jc w:val="both"/>
              <w:rPr>
                <w:rFonts w:ascii="Arial" w:hAnsi="Arial" w:cs="Arial"/>
                <w:sz w:val="20"/>
              </w:rPr>
            </w:pPr>
            <w:r w:rsidRPr="00806B7F">
              <w:rPr>
                <w:rFonts w:ascii="Arial" w:hAnsi="Arial" w:cs="Arial"/>
                <w:b/>
                <w:bCs/>
                <w:sz w:val="20"/>
              </w:rPr>
              <w:t>Existing Schemes</w:t>
            </w:r>
          </w:p>
        </w:tc>
        <w:tc>
          <w:tcPr>
            <w:tcW w:w="1276" w:type="dxa"/>
            <w:shd w:val="clear" w:color="auto" w:fill="auto"/>
            <w:noWrap/>
          </w:tcPr>
          <w:p w14:paraId="72498F4D"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0B0B7A08"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52553E86"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2B4C8EAC"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330A16DB" w14:textId="77777777" w:rsidR="00CA11D6" w:rsidRPr="00806B7F" w:rsidRDefault="00CA11D6" w:rsidP="00A369A1">
            <w:pPr>
              <w:jc w:val="center"/>
              <w:rPr>
                <w:rFonts w:ascii="Arial" w:hAnsi="Arial" w:cs="Arial"/>
                <w:bCs/>
                <w:sz w:val="20"/>
              </w:rPr>
            </w:pPr>
          </w:p>
        </w:tc>
      </w:tr>
      <w:tr w:rsidR="00CA11D6" w:rsidRPr="00806B7F" w14:paraId="1CBEF38A" w14:textId="77777777" w:rsidTr="00A369A1">
        <w:trPr>
          <w:trHeight w:val="255"/>
        </w:trPr>
        <w:tc>
          <w:tcPr>
            <w:tcW w:w="3544" w:type="dxa"/>
            <w:shd w:val="clear" w:color="auto" w:fill="auto"/>
            <w:noWrap/>
          </w:tcPr>
          <w:p w14:paraId="2E5BC0F7" w14:textId="77777777" w:rsidR="00CA11D6" w:rsidRPr="00806B7F" w:rsidRDefault="00CA11D6" w:rsidP="00A369A1">
            <w:pPr>
              <w:jc w:val="both"/>
              <w:rPr>
                <w:rFonts w:ascii="Arial" w:hAnsi="Arial" w:cs="Arial"/>
                <w:sz w:val="20"/>
              </w:rPr>
            </w:pPr>
            <w:r w:rsidRPr="00806B7F">
              <w:rPr>
                <w:rFonts w:ascii="Arial" w:hAnsi="Arial" w:cs="Arial"/>
                <w:sz w:val="20"/>
              </w:rPr>
              <w:t>Upgrade WYLFA Prop</w:t>
            </w:r>
          </w:p>
        </w:tc>
        <w:tc>
          <w:tcPr>
            <w:tcW w:w="1276" w:type="dxa"/>
            <w:shd w:val="clear" w:color="auto" w:fill="auto"/>
            <w:noWrap/>
          </w:tcPr>
          <w:p w14:paraId="11068E10" w14:textId="77777777" w:rsidR="00CA11D6" w:rsidRPr="00806B7F" w:rsidDel="00D22DFA" w:rsidRDefault="00CA11D6" w:rsidP="00A369A1">
            <w:pPr>
              <w:jc w:val="center"/>
              <w:rPr>
                <w:rFonts w:ascii="Arial" w:hAnsi="Arial" w:cs="Arial"/>
                <w:bCs/>
                <w:sz w:val="20"/>
              </w:rPr>
            </w:pPr>
            <w:r w:rsidRPr="00806B7F">
              <w:rPr>
                <w:rFonts w:ascii="Arial" w:hAnsi="Arial" w:cs="Arial"/>
                <w:bCs/>
                <w:sz w:val="20"/>
              </w:rPr>
              <w:t>0.125</w:t>
            </w:r>
          </w:p>
        </w:tc>
        <w:tc>
          <w:tcPr>
            <w:tcW w:w="1077" w:type="dxa"/>
            <w:shd w:val="clear" w:color="auto" w:fill="auto"/>
            <w:noWrap/>
          </w:tcPr>
          <w:p w14:paraId="4384B67B"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55596F23" w14:textId="77777777" w:rsidR="00CA11D6" w:rsidRPr="00806B7F" w:rsidRDefault="00CA11D6" w:rsidP="00A369A1">
            <w:pPr>
              <w:jc w:val="center"/>
              <w:rPr>
                <w:rFonts w:ascii="Arial" w:hAnsi="Arial" w:cs="Arial"/>
                <w:bCs/>
                <w:sz w:val="20"/>
              </w:rPr>
            </w:pPr>
          </w:p>
        </w:tc>
        <w:tc>
          <w:tcPr>
            <w:tcW w:w="1077" w:type="dxa"/>
            <w:shd w:val="clear" w:color="auto" w:fill="auto"/>
            <w:noWrap/>
          </w:tcPr>
          <w:p w14:paraId="6309857A" w14:textId="77777777" w:rsidR="00CA11D6" w:rsidRPr="00806B7F" w:rsidRDefault="00CA11D6" w:rsidP="00A369A1">
            <w:pPr>
              <w:jc w:val="center"/>
              <w:rPr>
                <w:rFonts w:ascii="Arial" w:hAnsi="Arial" w:cs="Arial"/>
                <w:bCs/>
                <w:sz w:val="20"/>
              </w:rPr>
            </w:pPr>
          </w:p>
        </w:tc>
        <w:tc>
          <w:tcPr>
            <w:tcW w:w="1078" w:type="dxa"/>
            <w:shd w:val="clear" w:color="auto" w:fill="auto"/>
            <w:noWrap/>
          </w:tcPr>
          <w:p w14:paraId="7F528B82" w14:textId="77777777" w:rsidR="00CA11D6" w:rsidRPr="00806B7F" w:rsidRDefault="00CA11D6" w:rsidP="00A369A1">
            <w:pPr>
              <w:jc w:val="center"/>
              <w:rPr>
                <w:rFonts w:ascii="Arial" w:hAnsi="Arial" w:cs="Arial"/>
                <w:bCs/>
                <w:sz w:val="20"/>
              </w:rPr>
            </w:pPr>
          </w:p>
        </w:tc>
      </w:tr>
      <w:tr w:rsidR="00CA11D6" w:rsidRPr="00806B7F" w14:paraId="7B5545A8" w14:textId="77777777" w:rsidTr="00A369A1">
        <w:trPr>
          <w:trHeight w:val="255"/>
        </w:trPr>
        <w:tc>
          <w:tcPr>
            <w:tcW w:w="3544" w:type="dxa"/>
            <w:shd w:val="clear" w:color="auto" w:fill="auto"/>
            <w:noWrap/>
          </w:tcPr>
          <w:p w14:paraId="6491AB9B" w14:textId="77777777" w:rsidR="00CA11D6" w:rsidRPr="00806B7F" w:rsidRDefault="00CA11D6" w:rsidP="00A369A1">
            <w:pPr>
              <w:jc w:val="both"/>
              <w:rPr>
                <w:rFonts w:ascii="Arial" w:hAnsi="Arial" w:cs="Arial"/>
                <w:sz w:val="20"/>
              </w:rPr>
            </w:pPr>
            <w:r w:rsidRPr="00806B7F">
              <w:rPr>
                <w:rFonts w:ascii="Arial" w:hAnsi="Arial" w:cs="Arial"/>
                <w:sz w:val="20"/>
              </w:rPr>
              <w:t>W30 – Blackpool Welfare</w:t>
            </w:r>
          </w:p>
        </w:tc>
        <w:tc>
          <w:tcPr>
            <w:tcW w:w="1276" w:type="dxa"/>
            <w:shd w:val="clear" w:color="auto" w:fill="auto"/>
            <w:noWrap/>
          </w:tcPr>
          <w:p w14:paraId="4371352C" w14:textId="77777777" w:rsidR="00CA11D6" w:rsidRPr="00806B7F" w:rsidRDefault="00CA11D6" w:rsidP="00A369A1">
            <w:pPr>
              <w:jc w:val="center"/>
              <w:rPr>
                <w:rFonts w:ascii="Arial" w:hAnsi="Arial" w:cs="Arial"/>
                <w:bCs/>
                <w:sz w:val="20"/>
              </w:rPr>
            </w:pPr>
            <w:r w:rsidRPr="00806B7F">
              <w:rPr>
                <w:rFonts w:ascii="Arial" w:hAnsi="Arial" w:cs="Arial"/>
                <w:bCs/>
                <w:sz w:val="20"/>
              </w:rPr>
              <w:t>0.500</w:t>
            </w:r>
          </w:p>
        </w:tc>
        <w:tc>
          <w:tcPr>
            <w:tcW w:w="1077" w:type="dxa"/>
            <w:shd w:val="clear" w:color="auto" w:fill="auto"/>
            <w:noWrap/>
          </w:tcPr>
          <w:p w14:paraId="6911A6F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53FEEC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60B760D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shd w:val="clear" w:color="auto" w:fill="auto"/>
            <w:noWrap/>
          </w:tcPr>
          <w:p w14:paraId="760A11A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3F9377C8" w14:textId="77777777" w:rsidTr="00A369A1">
        <w:trPr>
          <w:trHeight w:val="255"/>
        </w:trPr>
        <w:tc>
          <w:tcPr>
            <w:tcW w:w="3544" w:type="dxa"/>
            <w:shd w:val="clear" w:color="auto" w:fill="auto"/>
            <w:noWrap/>
          </w:tcPr>
          <w:p w14:paraId="115E2B34" w14:textId="77777777" w:rsidR="00CA11D6" w:rsidRPr="00806B7F" w:rsidRDefault="00CA11D6" w:rsidP="00A369A1">
            <w:pPr>
              <w:jc w:val="both"/>
              <w:rPr>
                <w:rFonts w:ascii="Arial" w:hAnsi="Arial" w:cs="Arial"/>
                <w:sz w:val="20"/>
              </w:rPr>
            </w:pPr>
            <w:r w:rsidRPr="00806B7F">
              <w:rPr>
                <w:rFonts w:ascii="Arial" w:hAnsi="Arial" w:cs="Arial"/>
                <w:sz w:val="20"/>
              </w:rPr>
              <w:t>Drill tower replacements (notional 4 per year)</w:t>
            </w:r>
          </w:p>
        </w:tc>
        <w:tc>
          <w:tcPr>
            <w:tcW w:w="1276" w:type="dxa"/>
            <w:shd w:val="clear" w:color="auto" w:fill="auto"/>
            <w:noWrap/>
          </w:tcPr>
          <w:p w14:paraId="64AC3664" w14:textId="77777777" w:rsidR="00CA11D6" w:rsidRPr="00806B7F" w:rsidRDefault="00CA11D6" w:rsidP="00A369A1">
            <w:pPr>
              <w:jc w:val="center"/>
              <w:rPr>
                <w:rFonts w:ascii="Arial" w:hAnsi="Arial" w:cs="Arial"/>
                <w:bCs/>
                <w:sz w:val="20"/>
              </w:rPr>
            </w:pPr>
            <w:r w:rsidRPr="00806B7F">
              <w:rPr>
                <w:rFonts w:ascii="Arial" w:hAnsi="Arial" w:cs="Arial"/>
                <w:bCs/>
                <w:sz w:val="20"/>
              </w:rPr>
              <w:t>0.600</w:t>
            </w:r>
          </w:p>
        </w:tc>
        <w:tc>
          <w:tcPr>
            <w:tcW w:w="1077" w:type="dxa"/>
            <w:shd w:val="clear" w:color="auto" w:fill="auto"/>
            <w:noWrap/>
          </w:tcPr>
          <w:p w14:paraId="3DAF85A0" w14:textId="77777777" w:rsidR="00CA11D6" w:rsidRPr="00806B7F" w:rsidRDefault="00CA11D6" w:rsidP="00A369A1">
            <w:pPr>
              <w:jc w:val="center"/>
              <w:rPr>
                <w:rFonts w:ascii="Arial" w:hAnsi="Arial" w:cs="Arial"/>
                <w:bCs/>
                <w:sz w:val="20"/>
              </w:rPr>
            </w:pPr>
            <w:r w:rsidRPr="00806B7F">
              <w:rPr>
                <w:rFonts w:ascii="Arial" w:hAnsi="Arial" w:cs="Arial"/>
                <w:bCs/>
                <w:sz w:val="20"/>
              </w:rPr>
              <w:t>0.600</w:t>
            </w:r>
          </w:p>
        </w:tc>
        <w:tc>
          <w:tcPr>
            <w:tcW w:w="1077" w:type="dxa"/>
            <w:shd w:val="clear" w:color="auto" w:fill="auto"/>
            <w:noWrap/>
          </w:tcPr>
          <w:p w14:paraId="11A6292A" w14:textId="77777777" w:rsidR="00CA11D6" w:rsidRPr="00806B7F" w:rsidRDefault="00CA11D6" w:rsidP="00A369A1">
            <w:pPr>
              <w:jc w:val="center"/>
              <w:rPr>
                <w:rFonts w:ascii="Arial" w:hAnsi="Arial" w:cs="Arial"/>
                <w:bCs/>
                <w:sz w:val="20"/>
              </w:rPr>
            </w:pPr>
            <w:r w:rsidRPr="00806B7F">
              <w:rPr>
                <w:rFonts w:ascii="Arial" w:hAnsi="Arial" w:cs="Arial"/>
                <w:bCs/>
                <w:sz w:val="20"/>
              </w:rPr>
              <w:t>0.600</w:t>
            </w:r>
          </w:p>
        </w:tc>
        <w:tc>
          <w:tcPr>
            <w:tcW w:w="1077" w:type="dxa"/>
            <w:shd w:val="clear" w:color="auto" w:fill="auto"/>
            <w:noWrap/>
          </w:tcPr>
          <w:p w14:paraId="2E85E229" w14:textId="77777777" w:rsidR="00CA11D6" w:rsidRPr="00806B7F" w:rsidRDefault="00CA11D6" w:rsidP="00A369A1">
            <w:pPr>
              <w:jc w:val="center"/>
              <w:rPr>
                <w:rFonts w:ascii="Arial" w:hAnsi="Arial" w:cs="Arial"/>
                <w:bCs/>
                <w:sz w:val="20"/>
              </w:rPr>
            </w:pPr>
            <w:r w:rsidRPr="00806B7F">
              <w:rPr>
                <w:rFonts w:ascii="Arial" w:hAnsi="Arial" w:cs="Arial"/>
                <w:bCs/>
                <w:sz w:val="20"/>
              </w:rPr>
              <w:t>0.600</w:t>
            </w:r>
          </w:p>
        </w:tc>
        <w:tc>
          <w:tcPr>
            <w:tcW w:w="1078" w:type="dxa"/>
            <w:shd w:val="clear" w:color="auto" w:fill="auto"/>
            <w:noWrap/>
          </w:tcPr>
          <w:p w14:paraId="614217AF" w14:textId="77777777" w:rsidR="00CA11D6" w:rsidRPr="00806B7F" w:rsidRDefault="00CA11D6" w:rsidP="00A369A1">
            <w:pPr>
              <w:jc w:val="center"/>
              <w:rPr>
                <w:rFonts w:ascii="Arial" w:hAnsi="Arial" w:cs="Arial"/>
                <w:bCs/>
                <w:sz w:val="20"/>
              </w:rPr>
            </w:pPr>
            <w:r w:rsidRPr="00806B7F">
              <w:rPr>
                <w:rFonts w:ascii="Arial" w:hAnsi="Arial" w:cs="Arial"/>
                <w:bCs/>
                <w:sz w:val="20"/>
              </w:rPr>
              <w:t>0.600</w:t>
            </w:r>
          </w:p>
        </w:tc>
      </w:tr>
      <w:tr w:rsidR="00CA11D6" w:rsidRPr="00806B7F" w14:paraId="65C2617D" w14:textId="77777777" w:rsidTr="00A369A1">
        <w:trPr>
          <w:trHeight w:val="255"/>
        </w:trPr>
        <w:tc>
          <w:tcPr>
            <w:tcW w:w="3544" w:type="dxa"/>
            <w:shd w:val="clear" w:color="auto" w:fill="auto"/>
            <w:noWrap/>
          </w:tcPr>
          <w:p w14:paraId="1766FA04" w14:textId="77777777" w:rsidR="00CA11D6" w:rsidRPr="00806B7F" w:rsidRDefault="00CA11D6" w:rsidP="00A369A1">
            <w:pPr>
              <w:jc w:val="both"/>
              <w:rPr>
                <w:rFonts w:ascii="Arial" w:hAnsi="Arial" w:cs="Arial"/>
                <w:sz w:val="20"/>
              </w:rPr>
            </w:pPr>
            <w:r w:rsidRPr="00806B7F">
              <w:rPr>
                <w:rFonts w:ascii="Arial" w:hAnsi="Arial" w:cs="Arial"/>
                <w:sz w:val="20"/>
              </w:rPr>
              <w:t>C50 – Preston replacement station</w:t>
            </w:r>
          </w:p>
        </w:tc>
        <w:tc>
          <w:tcPr>
            <w:tcW w:w="1276" w:type="dxa"/>
            <w:shd w:val="clear" w:color="auto" w:fill="auto"/>
            <w:noWrap/>
          </w:tcPr>
          <w:p w14:paraId="6492346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57F25D04" w14:textId="77777777" w:rsidR="00CA11D6" w:rsidRPr="00806B7F" w:rsidRDefault="00CA11D6" w:rsidP="00A369A1">
            <w:pPr>
              <w:jc w:val="center"/>
              <w:rPr>
                <w:rFonts w:ascii="Arial" w:hAnsi="Arial" w:cs="Arial"/>
                <w:bCs/>
                <w:sz w:val="20"/>
              </w:rPr>
            </w:pPr>
            <w:r w:rsidRPr="00806B7F">
              <w:rPr>
                <w:rFonts w:ascii="Arial" w:hAnsi="Arial" w:cs="Arial"/>
                <w:bCs/>
                <w:sz w:val="20"/>
              </w:rPr>
              <w:t>5.000</w:t>
            </w:r>
          </w:p>
        </w:tc>
        <w:tc>
          <w:tcPr>
            <w:tcW w:w="1077" w:type="dxa"/>
            <w:shd w:val="clear" w:color="auto" w:fill="auto"/>
            <w:noWrap/>
          </w:tcPr>
          <w:p w14:paraId="07E7425D" w14:textId="77777777" w:rsidR="00CA11D6" w:rsidRPr="00806B7F" w:rsidRDefault="00CA11D6" w:rsidP="00A369A1">
            <w:pPr>
              <w:jc w:val="center"/>
              <w:rPr>
                <w:rFonts w:ascii="Arial" w:hAnsi="Arial" w:cs="Arial"/>
                <w:bCs/>
                <w:sz w:val="20"/>
              </w:rPr>
            </w:pPr>
            <w:r w:rsidRPr="00806B7F">
              <w:rPr>
                <w:rFonts w:ascii="Arial" w:hAnsi="Arial" w:cs="Arial"/>
                <w:bCs/>
                <w:sz w:val="20"/>
              </w:rPr>
              <w:t>5.000</w:t>
            </w:r>
          </w:p>
        </w:tc>
        <w:tc>
          <w:tcPr>
            <w:tcW w:w="1077" w:type="dxa"/>
            <w:shd w:val="clear" w:color="auto" w:fill="auto"/>
            <w:noWrap/>
          </w:tcPr>
          <w:p w14:paraId="4DE9B071"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shd w:val="clear" w:color="auto" w:fill="auto"/>
            <w:noWrap/>
          </w:tcPr>
          <w:p w14:paraId="1922C3E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736A87AA" w14:textId="77777777" w:rsidTr="00A369A1">
        <w:trPr>
          <w:trHeight w:val="255"/>
        </w:trPr>
        <w:tc>
          <w:tcPr>
            <w:tcW w:w="3544" w:type="dxa"/>
            <w:shd w:val="clear" w:color="auto" w:fill="auto"/>
            <w:noWrap/>
          </w:tcPr>
          <w:p w14:paraId="6D22D9D1" w14:textId="77777777" w:rsidR="00CA11D6" w:rsidRPr="00806B7F" w:rsidRDefault="00CA11D6" w:rsidP="00A369A1">
            <w:pPr>
              <w:jc w:val="both"/>
              <w:rPr>
                <w:rFonts w:ascii="Arial" w:hAnsi="Arial" w:cs="Arial"/>
                <w:sz w:val="20"/>
              </w:rPr>
            </w:pPr>
            <w:r w:rsidRPr="00806B7F">
              <w:rPr>
                <w:rFonts w:ascii="Arial" w:hAnsi="Arial" w:cs="Arial"/>
                <w:sz w:val="20"/>
              </w:rPr>
              <w:t>STC Props</w:t>
            </w:r>
          </w:p>
        </w:tc>
        <w:tc>
          <w:tcPr>
            <w:tcW w:w="1276" w:type="dxa"/>
            <w:shd w:val="clear" w:color="auto" w:fill="auto"/>
            <w:noWrap/>
          </w:tcPr>
          <w:p w14:paraId="6D0B05D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5AECA828" w14:textId="77777777" w:rsidR="00CA11D6" w:rsidRPr="00806B7F" w:rsidRDefault="00CA11D6" w:rsidP="00A369A1">
            <w:pPr>
              <w:jc w:val="center"/>
              <w:rPr>
                <w:rFonts w:ascii="Arial" w:hAnsi="Arial" w:cs="Arial"/>
                <w:bCs/>
                <w:sz w:val="20"/>
              </w:rPr>
            </w:pPr>
            <w:r w:rsidRPr="00806B7F">
              <w:rPr>
                <w:rFonts w:ascii="Arial" w:hAnsi="Arial" w:cs="Arial"/>
                <w:bCs/>
                <w:sz w:val="20"/>
              </w:rPr>
              <w:t>2.500</w:t>
            </w:r>
          </w:p>
        </w:tc>
        <w:tc>
          <w:tcPr>
            <w:tcW w:w="1077" w:type="dxa"/>
            <w:shd w:val="clear" w:color="auto" w:fill="auto"/>
            <w:noWrap/>
          </w:tcPr>
          <w:p w14:paraId="43FBDB46" w14:textId="77777777" w:rsidR="00CA11D6" w:rsidRPr="00806B7F" w:rsidRDefault="00CA11D6" w:rsidP="00A369A1">
            <w:pPr>
              <w:jc w:val="center"/>
              <w:rPr>
                <w:rFonts w:ascii="Arial" w:hAnsi="Arial" w:cs="Arial"/>
                <w:bCs/>
                <w:sz w:val="20"/>
              </w:rPr>
            </w:pPr>
            <w:r w:rsidRPr="00806B7F">
              <w:rPr>
                <w:rFonts w:ascii="Arial" w:hAnsi="Arial" w:cs="Arial"/>
                <w:bCs/>
                <w:sz w:val="20"/>
              </w:rPr>
              <w:t>2.500</w:t>
            </w:r>
          </w:p>
        </w:tc>
        <w:tc>
          <w:tcPr>
            <w:tcW w:w="1077" w:type="dxa"/>
            <w:shd w:val="clear" w:color="auto" w:fill="auto"/>
            <w:noWrap/>
          </w:tcPr>
          <w:p w14:paraId="3017F6FB"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8" w:type="dxa"/>
            <w:shd w:val="clear" w:color="auto" w:fill="auto"/>
            <w:noWrap/>
          </w:tcPr>
          <w:p w14:paraId="226AB9E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r>
      <w:tr w:rsidR="00CA11D6" w:rsidRPr="00806B7F" w14:paraId="55171D4A" w14:textId="77777777" w:rsidTr="00A369A1">
        <w:trPr>
          <w:trHeight w:val="255"/>
        </w:trPr>
        <w:tc>
          <w:tcPr>
            <w:tcW w:w="3544" w:type="dxa"/>
            <w:shd w:val="clear" w:color="auto" w:fill="auto"/>
            <w:noWrap/>
          </w:tcPr>
          <w:p w14:paraId="58E3802A" w14:textId="77777777" w:rsidR="00CA11D6" w:rsidRPr="00806B7F" w:rsidRDefault="00CA11D6" w:rsidP="00A369A1">
            <w:pPr>
              <w:jc w:val="both"/>
              <w:rPr>
                <w:rFonts w:ascii="Arial" w:hAnsi="Arial" w:cs="Arial"/>
                <w:sz w:val="20"/>
              </w:rPr>
            </w:pPr>
            <w:r w:rsidRPr="00806B7F">
              <w:rPr>
                <w:rFonts w:ascii="Arial" w:hAnsi="Arial" w:cs="Arial"/>
                <w:sz w:val="20"/>
              </w:rPr>
              <w:t>SHQ relocation</w:t>
            </w:r>
          </w:p>
        </w:tc>
        <w:tc>
          <w:tcPr>
            <w:tcW w:w="1276" w:type="dxa"/>
            <w:shd w:val="clear" w:color="auto" w:fill="auto"/>
            <w:noWrap/>
          </w:tcPr>
          <w:p w14:paraId="2AB8AB6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993F6E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0C73615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077" w:type="dxa"/>
            <w:shd w:val="clear" w:color="auto" w:fill="auto"/>
            <w:noWrap/>
          </w:tcPr>
          <w:p w14:paraId="41694E1F" w14:textId="77777777" w:rsidR="00CA11D6" w:rsidRPr="00806B7F" w:rsidRDefault="00CA11D6" w:rsidP="00A369A1">
            <w:pPr>
              <w:jc w:val="center"/>
              <w:rPr>
                <w:rFonts w:ascii="Arial" w:hAnsi="Arial" w:cs="Arial"/>
                <w:bCs/>
                <w:sz w:val="20"/>
              </w:rPr>
            </w:pPr>
            <w:r w:rsidRPr="00806B7F">
              <w:rPr>
                <w:rFonts w:ascii="Arial" w:hAnsi="Arial" w:cs="Arial"/>
                <w:bCs/>
                <w:sz w:val="20"/>
              </w:rPr>
              <w:t>7.500</w:t>
            </w:r>
          </w:p>
        </w:tc>
        <w:tc>
          <w:tcPr>
            <w:tcW w:w="1078" w:type="dxa"/>
            <w:shd w:val="clear" w:color="auto" w:fill="auto"/>
            <w:noWrap/>
          </w:tcPr>
          <w:p w14:paraId="7FE6D21A" w14:textId="77777777" w:rsidR="00CA11D6" w:rsidRPr="00806B7F" w:rsidRDefault="00CA11D6" w:rsidP="00A369A1">
            <w:pPr>
              <w:jc w:val="center"/>
              <w:rPr>
                <w:rFonts w:ascii="Arial" w:hAnsi="Arial" w:cs="Arial"/>
                <w:bCs/>
                <w:sz w:val="20"/>
              </w:rPr>
            </w:pPr>
            <w:r w:rsidRPr="00806B7F">
              <w:rPr>
                <w:rFonts w:ascii="Arial" w:hAnsi="Arial" w:cs="Arial"/>
                <w:bCs/>
                <w:sz w:val="20"/>
              </w:rPr>
              <w:t>7.500</w:t>
            </w:r>
          </w:p>
        </w:tc>
      </w:tr>
      <w:tr w:rsidR="00CA11D6" w:rsidRPr="00806B7F" w14:paraId="12F8E0C9" w14:textId="77777777" w:rsidTr="00A369A1">
        <w:trPr>
          <w:trHeight w:val="255"/>
        </w:trPr>
        <w:tc>
          <w:tcPr>
            <w:tcW w:w="3544" w:type="dxa"/>
            <w:shd w:val="clear" w:color="auto" w:fill="auto"/>
            <w:noWrap/>
          </w:tcPr>
          <w:p w14:paraId="72CB84CF" w14:textId="77777777" w:rsidR="00CA11D6" w:rsidRPr="00806B7F" w:rsidRDefault="00CA11D6" w:rsidP="00A369A1">
            <w:pPr>
              <w:jc w:val="both"/>
              <w:rPr>
                <w:rFonts w:ascii="Arial" w:hAnsi="Arial" w:cs="Arial"/>
                <w:sz w:val="20"/>
              </w:rPr>
            </w:pPr>
          </w:p>
        </w:tc>
        <w:tc>
          <w:tcPr>
            <w:tcW w:w="1276" w:type="dxa"/>
            <w:shd w:val="clear" w:color="auto" w:fill="auto"/>
            <w:noWrap/>
          </w:tcPr>
          <w:p w14:paraId="04B2ECBE" w14:textId="77777777" w:rsidR="00CA11D6" w:rsidRPr="00806B7F" w:rsidRDefault="00CA11D6" w:rsidP="00A369A1">
            <w:pPr>
              <w:jc w:val="center"/>
              <w:rPr>
                <w:rFonts w:ascii="Arial" w:hAnsi="Arial" w:cs="Arial"/>
                <w:bCs/>
                <w:sz w:val="20"/>
              </w:rPr>
            </w:pPr>
            <w:r w:rsidRPr="00806B7F">
              <w:rPr>
                <w:rFonts w:ascii="Arial" w:hAnsi="Arial" w:cs="Arial"/>
                <w:bCs/>
                <w:sz w:val="20"/>
              </w:rPr>
              <w:t>1.475</w:t>
            </w:r>
          </w:p>
        </w:tc>
        <w:tc>
          <w:tcPr>
            <w:tcW w:w="1077" w:type="dxa"/>
            <w:shd w:val="clear" w:color="auto" w:fill="auto"/>
            <w:noWrap/>
          </w:tcPr>
          <w:p w14:paraId="5F30EC18"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077" w:type="dxa"/>
            <w:shd w:val="clear" w:color="auto" w:fill="auto"/>
            <w:noWrap/>
          </w:tcPr>
          <w:p w14:paraId="72DE41F6"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077" w:type="dxa"/>
            <w:shd w:val="clear" w:color="auto" w:fill="auto"/>
            <w:noWrap/>
          </w:tcPr>
          <w:p w14:paraId="53957420"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078" w:type="dxa"/>
            <w:shd w:val="clear" w:color="auto" w:fill="auto"/>
            <w:noWrap/>
          </w:tcPr>
          <w:p w14:paraId="2794CFE9"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r>
    </w:tbl>
    <w:p w14:paraId="70D428E7" w14:textId="77777777" w:rsidR="00CA11D6" w:rsidRPr="00806B7F" w:rsidRDefault="00CA11D6" w:rsidP="00CA11D6">
      <w:pPr>
        <w:jc w:val="both"/>
        <w:rPr>
          <w:rFonts w:ascii="Arial" w:hAnsi="Arial" w:cs="Arial"/>
          <w:b/>
          <w:sz w:val="20"/>
        </w:rPr>
      </w:pPr>
    </w:p>
    <w:p w14:paraId="1632145D" w14:textId="77777777" w:rsidR="00CA11D6" w:rsidRPr="00806B7F" w:rsidRDefault="00CA11D6" w:rsidP="00CA11D6">
      <w:pPr>
        <w:jc w:val="both"/>
        <w:rPr>
          <w:rFonts w:ascii="Arial" w:hAnsi="Arial" w:cs="Arial"/>
          <w:sz w:val="20"/>
        </w:rPr>
      </w:pPr>
      <w:r w:rsidRPr="00806B7F">
        <w:rPr>
          <w:rFonts w:ascii="Arial" w:hAnsi="Arial" w:cs="Arial"/>
          <w:sz w:val="20"/>
        </w:rPr>
        <w:t xml:space="preserve">In terms of all the building proposals it must be noted that we are still developing requirements/designs hence costings are indicative only. </w:t>
      </w:r>
    </w:p>
    <w:p w14:paraId="1A4403BC" w14:textId="77777777" w:rsidR="00CA11D6" w:rsidRPr="00806B7F" w:rsidRDefault="00CA11D6" w:rsidP="00CA11D6">
      <w:pPr>
        <w:jc w:val="both"/>
        <w:rPr>
          <w:rFonts w:ascii="Arial" w:hAnsi="Arial" w:cs="Arial"/>
          <w:sz w:val="20"/>
        </w:rPr>
      </w:pPr>
    </w:p>
    <w:p w14:paraId="3E5015DE" w14:textId="77777777" w:rsidR="00CA11D6" w:rsidRPr="00806B7F" w:rsidRDefault="00CA11D6" w:rsidP="00CA11D6">
      <w:pPr>
        <w:jc w:val="both"/>
        <w:rPr>
          <w:rFonts w:ascii="Arial" w:hAnsi="Arial" w:cs="Arial"/>
          <w:sz w:val="20"/>
        </w:rPr>
      </w:pPr>
      <w:r w:rsidRPr="00806B7F">
        <w:rPr>
          <w:rFonts w:ascii="Arial" w:hAnsi="Arial" w:cs="Arial"/>
          <w:sz w:val="20"/>
        </w:rPr>
        <w:t>The replacement of Preston Fire Station is subject to the outcome of a review of response provision within the Preston area and does not include any allowance for acquisition of a new site (should one be required), as it is assumed this will be offset by the sale of the existing site.</w:t>
      </w:r>
    </w:p>
    <w:p w14:paraId="2163C5EF" w14:textId="77777777" w:rsidR="00CA11D6" w:rsidRPr="00806B7F" w:rsidRDefault="00CA11D6" w:rsidP="00CA11D6">
      <w:pPr>
        <w:jc w:val="both"/>
        <w:rPr>
          <w:rFonts w:ascii="Arial" w:hAnsi="Arial" w:cs="Arial"/>
          <w:sz w:val="20"/>
        </w:rPr>
      </w:pPr>
    </w:p>
    <w:p w14:paraId="0BAD24F7" w14:textId="77777777" w:rsidR="00CA11D6" w:rsidRPr="00806B7F" w:rsidRDefault="00CA11D6" w:rsidP="00CA11D6">
      <w:pPr>
        <w:jc w:val="both"/>
        <w:rPr>
          <w:rFonts w:ascii="Arial" w:hAnsi="Arial" w:cs="Arial"/>
          <w:sz w:val="20"/>
        </w:rPr>
      </w:pPr>
      <w:r w:rsidRPr="00806B7F">
        <w:rPr>
          <w:rFonts w:ascii="Arial" w:hAnsi="Arial" w:cs="Arial"/>
          <w:sz w:val="20"/>
        </w:rPr>
        <w:t>Th investment in Service Training Centre (STC) Props reflects the need to upgrade/replace some of the training props at STC which are nearing end of life.</w:t>
      </w:r>
    </w:p>
    <w:p w14:paraId="0C6FC19E" w14:textId="77777777" w:rsidR="00CA11D6" w:rsidRPr="00806B7F" w:rsidRDefault="00CA11D6" w:rsidP="00CA11D6">
      <w:pPr>
        <w:jc w:val="both"/>
        <w:rPr>
          <w:rFonts w:ascii="Arial" w:hAnsi="Arial" w:cs="Arial"/>
          <w:sz w:val="20"/>
        </w:rPr>
      </w:pPr>
    </w:p>
    <w:p w14:paraId="3663927B" w14:textId="77777777" w:rsidR="00CA11D6" w:rsidRPr="00806B7F" w:rsidRDefault="00CA11D6" w:rsidP="00CA11D6">
      <w:pPr>
        <w:jc w:val="both"/>
        <w:rPr>
          <w:rFonts w:ascii="Arial" w:hAnsi="Arial" w:cs="Arial"/>
          <w:sz w:val="20"/>
        </w:rPr>
      </w:pPr>
      <w:r w:rsidRPr="00806B7F">
        <w:rPr>
          <w:rFonts w:ascii="Arial" w:hAnsi="Arial" w:cs="Arial"/>
          <w:sz w:val="20"/>
        </w:rPr>
        <w:t xml:space="preserve">The project to replace SHQ has been pushed back to 26/27, as a definitive decision on the project is required </w:t>
      </w:r>
      <w:proofErr w:type="gramStart"/>
      <w:r w:rsidRPr="00806B7F">
        <w:rPr>
          <w:rFonts w:ascii="Arial" w:hAnsi="Arial" w:cs="Arial"/>
          <w:sz w:val="20"/>
        </w:rPr>
        <w:t>in order to</w:t>
      </w:r>
      <w:proofErr w:type="gramEnd"/>
      <w:r w:rsidRPr="00806B7F">
        <w:rPr>
          <w:rFonts w:ascii="Arial" w:hAnsi="Arial" w:cs="Arial"/>
          <w:sz w:val="20"/>
        </w:rPr>
        <w:t xml:space="preserve"> further develop cost and timing. If the relocation does not go ahead, then we will need to review the existing provision and the need to undertake improvement works to ensure appropriate accommodation provision for the next 10 years.</w:t>
      </w:r>
    </w:p>
    <w:p w14:paraId="24F7487C" w14:textId="77777777" w:rsidR="00CA11D6" w:rsidRPr="00806B7F" w:rsidRDefault="00CA11D6" w:rsidP="00CA11D6">
      <w:pPr>
        <w:jc w:val="both"/>
        <w:rPr>
          <w:rFonts w:ascii="Arial" w:hAnsi="Arial" w:cs="Arial"/>
          <w:sz w:val="20"/>
        </w:rPr>
      </w:pPr>
    </w:p>
    <w:p w14:paraId="3DA481AF" w14:textId="77777777" w:rsidR="00CA11D6" w:rsidRPr="00806B7F" w:rsidRDefault="00CA11D6" w:rsidP="00CA11D6">
      <w:pPr>
        <w:jc w:val="both"/>
        <w:rPr>
          <w:rFonts w:ascii="Arial" w:hAnsi="Arial" w:cs="Arial"/>
          <w:sz w:val="20"/>
        </w:rPr>
      </w:pPr>
      <w:r w:rsidRPr="00806B7F">
        <w:rPr>
          <w:rFonts w:ascii="Arial" w:hAnsi="Arial" w:cs="Arial"/>
          <w:sz w:val="20"/>
        </w:rPr>
        <w:t>The budget does not include any allowance for updating  our property infrastructure to meet future Electric Vehicle charging requirements. This is estimated at £70k per site, but we need to develop a plan to roll out new electric vehicles in line with future regulations and modify sites to cope with this. It is unrealistic to implement this on a big bang approach, hence some phasing of this roll out will need to be incorporated into future capital programmes.</w:t>
      </w:r>
    </w:p>
    <w:p w14:paraId="6B0FD8BC" w14:textId="77777777" w:rsidR="00CA11D6" w:rsidRPr="00806B7F" w:rsidRDefault="00CA11D6" w:rsidP="00CA11D6">
      <w:pPr>
        <w:jc w:val="both"/>
        <w:rPr>
          <w:rFonts w:ascii="Arial" w:hAnsi="Arial" w:cs="Arial"/>
          <w:sz w:val="20"/>
        </w:rPr>
      </w:pPr>
    </w:p>
    <w:p w14:paraId="59FA8D0C" w14:textId="77777777" w:rsidR="00CA11D6" w:rsidRPr="00806B7F" w:rsidRDefault="00CA11D6" w:rsidP="00CA11D6">
      <w:pPr>
        <w:rPr>
          <w:rFonts w:ascii="Arial" w:hAnsi="Arial" w:cs="Arial"/>
          <w:b/>
          <w:sz w:val="20"/>
        </w:rPr>
      </w:pPr>
      <w:r w:rsidRPr="00806B7F">
        <w:rPr>
          <w:rFonts w:ascii="Arial" w:hAnsi="Arial" w:cs="Arial"/>
          <w:b/>
          <w:sz w:val="20"/>
        </w:rPr>
        <w:t>Total Capital Requirements</w:t>
      </w:r>
    </w:p>
    <w:p w14:paraId="7C01DCCC" w14:textId="77777777" w:rsidR="00CA11D6" w:rsidRPr="00806B7F" w:rsidRDefault="00CA11D6" w:rsidP="00CA11D6">
      <w:pPr>
        <w:jc w:val="both"/>
        <w:rPr>
          <w:rFonts w:ascii="Arial" w:hAnsi="Arial" w:cs="Arial"/>
          <w:sz w:val="20"/>
        </w:rPr>
      </w:pPr>
    </w:p>
    <w:p w14:paraId="6E807D56" w14:textId="77777777" w:rsidR="00CA11D6" w:rsidRPr="00806B7F" w:rsidRDefault="00CA11D6" w:rsidP="00CA11D6">
      <w:pPr>
        <w:jc w:val="both"/>
        <w:rPr>
          <w:rFonts w:ascii="Arial" w:hAnsi="Arial" w:cs="Arial"/>
          <w:sz w:val="20"/>
        </w:rPr>
      </w:pPr>
      <w:r w:rsidRPr="00806B7F">
        <w:rPr>
          <w:rFonts w:ascii="Arial" w:hAnsi="Arial" w:cs="Arial"/>
          <w:sz w:val="20"/>
        </w:rPr>
        <w:t xml:space="preserve">The following table details capital requirements over the five-year period: </w:t>
      </w:r>
    </w:p>
    <w:p w14:paraId="52553691" w14:textId="77777777" w:rsidR="00CA11D6" w:rsidRPr="00806B7F" w:rsidRDefault="00CA11D6" w:rsidP="00CA11D6">
      <w:pPr>
        <w:jc w:val="both"/>
        <w:rPr>
          <w:rFonts w:ascii="Arial" w:hAnsi="Arial" w:cs="Arial"/>
          <w:sz w:val="20"/>
        </w:rPr>
      </w:pPr>
    </w:p>
    <w:p w14:paraId="2A1B28ED"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7 Summary Capital Requirements</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60"/>
        <w:gridCol w:w="1118"/>
        <w:gridCol w:w="1119"/>
        <w:gridCol w:w="1118"/>
        <w:gridCol w:w="1118"/>
        <w:gridCol w:w="1119"/>
      </w:tblGrid>
      <w:tr w:rsidR="00CA11D6" w:rsidRPr="00806B7F" w14:paraId="019C463A" w14:textId="77777777" w:rsidTr="00A369A1">
        <w:trPr>
          <w:trHeight w:val="255"/>
        </w:trPr>
        <w:tc>
          <w:tcPr>
            <w:tcW w:w="2410" w:type="dxa"/>
            <w:shd w:val="clear" w:color="auto" w:fill="auto"/>
            <w:noWrap/>
          </w:tcPr>
          <w:p w14:paraId="6EFDD42D" w14:textId="77777777" w:rsidR="00CA11D6" w:rsidRPr="00806B7F" w:rsidRDefault="00CA11D6" w:rsidP="00A369A1">
            <w:pPr>
              <w:rPr>
                <w:rFonts w:ascii="Arial" w:hAnsi="Arial" w:cs="Arial"/>
                <w:sz w:val="20"/>
              </w:rPr>
            </w:pPr>
          </w:p>
        </w:tc>
        <w:tc>
          <w:tcPr>
            <w:tcW w:w="1260" w:type="dxa"/>
            <w:shd w:val="clear" w:color="auto" w:fill="auto"/>
            <w:noWrap/>
          </w:tcPr>
          <w:p w14:paraId="1AC1B883"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118" w:type="dxa"/>
            <w:shd w:val="clear" w:color="auto" w:fill="auto"/>
            <w:noWrap/>
          </w:tcPr>
          <w:p w14:paraId="14D03E4D"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119" w:type="dxa"/>
            <w:shd w:val="clear" w:color="auto" w:fill="auto"/>
            <w:noWrap/>
          </w:tcPr>
          <w:p w14:paraId="13F2D91B"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118" w:type="dxa"/>
            <w:shd w:val="clear" w:color="auto" w:fill="auto"/>
            <w:noWrap/>
          </w:tcPr>
          <w:p w14:paraId="667F9F12"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118" w:type="dxa"/>
          </w:tcPr>
          <w:p w14:paraId="49067391"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c>
          <w:tcPr>
            <w:tcW w:w="1119" w:type="dxa"/>
            <w:shd w:val="clear" w:color="auto" w:fill="auto"/>
            <w:noWrap/>
          </w:tcPr>
          <w:p w14:paraId="178C6F73" w14:textId="77777777" w:rsidR="00CA11D6" w:rsidRPr="00806B7F" w:rsidRDefault="00CA11D6" w:rsidP="00A369A1">
            <w:pPr>
              <w:jc w:val="center"/>
              <w:rPr>
                <w:rFonts w:ascii="Arial" w:hAnsi="Arial" w:cs="Arial"/>
                <w:bCs/>
                <w:sz w:val="20"/>
              </w:rPr>
            </w:pPr>
            <w:r w:rsidRPr="00806B7F">
              <w:rPr>
                <w:rFonts w:ascii="Arial" w:hAnsi="Arial" w:cs="Arial"/>
                <w:bCs/>
                <w:sz w:val="20"/>
              </w:rPr>
              <w:t>TOTAL</w:t>
            </w:r>
          </w:p>
        </w:tc>
      </w:tr>
      <w:tr w:rsidR="00CA11D6" w:rsidRPr="00806B7F" w14:paraId="0E6B8604" w14:textId="77777777" w:rsidTr="00A369A1">
        <w:trPr>
          <w:trHeight w:val="255"/>
        </w:trPr>
        <w:tc>
          <w:tcPr>
            <w:tcW w:w="2410" w:type="dxa"/>
            <w:shd w:val="clear" w:color="auto" w:fill="auto"/>
            <w:noWrap/>
          </w:tcPr>
          <w:p w14:paraId="633EE26E" w14:textId="77777777" w:rsidR="00CA11D6" w:rsidRPr="00806B7F" w:rsidRDefault="00CA11D6" w:rsidP="00A369A1">
            <w:pPr>
              <w:rPr>
                <w:rFonts w:ascii="Arial" w:hAnsi="Arial" w:cs="Arial"/>
                <w:sz w:val="20"/>
              </w:rPr>
            </w:pPr>
          </w:p>
        </w:tc>
        <w:tc>
          <w:tcPr>
            <w:tcW w:w="1260" w:type="dxa"/>
            <w:shd w:val="clear" w:color="auto" w:fill="auto"/>
            <w:noWrap/>
          </w:tcPr>
          <w:p w14:paraId="7E817B1D"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shd w:val="clear" w:color="auto" w:fill="auto"/>
            <w:noWrap/>
          </w:tcPr>
          <w:p w14:paraId="485CF515"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9" w:type="dxa"/>
            <w:shd w:val="clear" w:color="auto" w:fill="auto"/>
            <w:noWrap/>
          </w:tcPr>
          <w:p w14:paraId="3132EFAF"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shd w:val="clear" w:color="auto" w:fill="auto"/>
            <w:noWrap/>
          </w:tcPr>
          <w:p w14:paraId="0A21EA3D"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tcPr>
          <w:p w14:paraId="5223DB95"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9" w:type="dxa"/>
            <w:shd w:val="clear" w:color="auto" w:fill="auto"/>
            <w:noWrap/>
          </w:tcPr>
          <w:p w14:paraId="44ABD086"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4DEC51DA" w14:textId="77777777" w:rsidTr="00A369A1">
        <w:trPr>
          <w:trHeight w:val="255"/>
        </w:trPr>
        <w:tc>
          <w:tcPr>
            <w:tcW w:w="2410" w:type="dxa"/>
            <w:shd w:val="clear" w:color="auto" w:fill="auto"/>
            <w:noWrap/>
          </w:tcPr>
          <w:p w14:paraId="4E00F90E"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Vehicles</w:t>
            </w:r>
          </w:p>
        </w:tc>
        <w:tc>
          <w:tcPr>
            <w:tcW w:w="1260" w:type="dxa"/>
            <w:shd w:val="clear" w:color="auto" w:fill="auto"/>
            <w:noWrap/>
          </w:tcPr>
          <w:p w14:paraId="165F715E" w14:textId="77777777" w:rsidR="00CA11D6" w:rsidRPr="00806B7F" w:rsidRDefault="00CA11D6" w:rsidP="00A369A1">
            <w:pPr>
              <w:jc w:val="center"/>
              <w:rPr>
                <w:rFonts w:ascii="Arial" w:hAnsi="Arial" w:cs="Arial"/>
                <w:bCs/>
                <w:sz w:val="20"/>
              </w:rPr>
            </w:pPr>
            <w:r w:rsidRPr="00806B7F">
              <w:rPr>
                <w:rFonts w:ascii="Arial" w:hAnsi="Arial" w:cs="Arial"/>
                <w:bCs/>
                <w:sz w:val="20"/>
              </w:rPr>
              <w:t>6.097</w:t>
            </w:r>
          </w:p>
        </w:tc>
        <w:tc>
          <w:tcPr>
            <w:tcW w:w="1118" w:type="dxa"/>
            <w:shd w:val="clear" w:color="auto" w:fill="auto"/>
            <w:noWrap/>
          </w:tcPr>
          <w:p w14:paraId="668CF079" w14:textId="77777777" w:rsidR="00CA11D6" w:rsidRPr="00806B7F" w:rsidRDefault="00CA11D6" w:rsidP="00A369A1">
            <w:pPr>
              <w:jc w:val="center"/>
              <w:rPr>
                <w:rFonts w:ascii="Arial" w:hAnsi="Arial" w:cs="Arial"/>
                <w:bCs/>
                <w:sz w:val="20"/>
              </w:rPr>
            </w:pPr>
            <w:r w:rsidRPr="00806B7F">
              <w:rPr>
                <w:rFonts w:ascii="Arial" w:hAnsi="Arial" w:cs="Arial"/>
                <w:bCs/>
                <w:sz w:val="20"/>
              </w:rPr>
              <w:t>0.678</w:t>
            </w:r>
          </w:p>
        </w:tc>
        <w:tc>
          <w:tcPr>
            <w:tcW w:w="1119" w:type="dxa"/>
            <w:shd w:val="clear" w:color="auto" w:fill="auto"/>
            <w:noWrap/>
          </w:tcPr>
          <w:p w14:paraId="47F23D2E" w14:textId="77777777" w:rsidR="00CA11D6" w:rsidRPr="00806B7F" w:rsidRDefault="00CA11D6" w:rsidP="00A369A1">
            <w:pPr>
              <w:jc w:val="center"/>
              <w:rPr>
                <w:rFonts w:ascii="Arial" w:hAnsi="Arial" w:cs="Arial"/>
                <w:bCs/>
                <w:sz w:val="20"/>
              </w:rPr>
            </w:pPr>
            <w:r w:rsidRPr="00806B7F">
              <w:rPr>
                <w:rFonts w:ascii="Arial" w:hAnsi="Arial" w:cs="Arial"/>
                <w:bCs/>
                <w:sz w:val="20"/>
              </w:rPr>
              <w:t>0.975</w:t>
            </w:r>
          </w:p>
        </w:tc>
        <w:tc>
          <w:tcPr>
            <w:tcW w:w="1118" w:type="dxa"/>
            <w:shd w:val="clear" w:color="auto" w:fill="auto"/>
            <w:noWrap/>
          </w:tcPr>
          <w:p w14:paraId="3321E4C7" w14:textId="77777777" w:rsidR="00CA11D6" w:rsidRPr="00806B7F" w:rsidRDefault="00CA11D6" w:rsidP="00A369A1">
            <w:pPr>
              <w:jc w:val="center"/>
              <w:rPr>
                <w:rFonts w:ascii="Arial" w:hAnsi="Arial" w:cs="Arial"/>
                <w:bCs/>
                <w:sz w:val="20"/>
              </w:rPr>
            </w:pPr>
            <w:r w:rsidRPr="00806B7F">
              <w:rPr>
                <w:rFonts w:ascii="Arial" w:hAnsi="Arial" w:cs="Arial"/>
                <w:bCs/>
                <w:sz w:val="20"/>
              </w:rPr>
              <w:t>1.832</w:t>
            </w:r>
          </w:p>
        </w:tc>
        <w:tc>
          <w:tcPr>
            <w:tcW w:w="1118" w:type="dxa"/>
          </w:tcPr>
          <w:p w14:paraId="365282AE" w14:textId="77777777" w:rsidR="00CA11D6" w:rsidRPr="00806B7F" w:rsidRDefault="00CA11D6" w:rsidP="00A369A1">
            <w:pPr>
              <w:jc w:val="center"/>
              <w:rPr>
                <w:rFonts w:ascii="Arial" w:hAnsi="Arial" w:cs="Arial"/>
                <w:bCs/>
                <w:sz w:val="20"/>
              </w:rPr>
            </w:pPr>
            <w:r w:rsidRPr="00806B7F">
              <w:rPr>
                <w:rFonts w:ascii="Arial" w:hAnsi="Arial" w:cs="Arial"/>
                <w:bCs/>
                <w:sz w:val="20"/>
              </w:rPr>
              <w:t>3.034</w:t>
            </w:r>
          </w:p>
        </w:tc>
        <w:tc>
          <w:tcPr>
            <w:tcW w:w="1119" w:type="dxa"/>
            <w:shd w:val="clear" w:color="auto" w:fill="auto"/>
            <w:noWrap/>
          </w:tcPr>
          <w:p w14:paraId="166C25A1" w14:textId="77777777" w:rsidR="00CA11D6" w:rsidRPr="00806B7F" w:rsidRDefault="00CA11D6" w:rsidP="00A369A1">
            <w:pPr>
              <w:jc w:val="center"/>
              <w:rPr>
                <w:rFonts w:ascii="Arial" w:hAnsi="Arial" w:cs="Arial"/>
                <w:bCs/>
                <w:sz w:val="20"/>
              </w:rPr>
            </w:pPr>
            <w:r w:rsidRPr="00806B7F">
              <w:rPr>
                <w:rFonts w:ascii="Arial" w:hAnsi="Arial" w:cs="Arial"/>
                <w:bCs/>
                <w:sz w:val="20"/>
              </w:rPr>
              <w:t>12.616</w:t>
            </w:r>
          </w:p>
        </w:tc>
      </w:tr>
      <w:tr w:rsidR="00CA11D6" w:rsidRPr="00806B7F" w14:paraId="538233E5" w14:textId="77777777" w:rsidTr="00A369A1">
        <w:trPr>
          <w:trHeight w:val="255"/>
        </w:trPr>
        <w:tc>
          <w:tcPr>
            <w:tcW w:w="2410" w:type="dxa"/>
            <w:shd w:val="clear" w:color="auto" w:fill="auto"/>
            <w:noWrap/>
          </w:tcPr>
          <w:p w14:paraId="7E0CF328"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Operational Equipment</w:t>
            </w:r>
          </w:p>
        </w:tc>
        <w:tc>
          <w:tcPr>
            <w:tcW w:w="1260" w:type="dxa"/>
            <w:shd w:val="clear" w:color="auto" w:fill="auto"/>
            <w:noWrap/>
          </w:tcPr>
          <w:p w14:paraId="51D93300" w14:textId="77777777" w:rsidR="00CA11D6" w:rsidRPr="00806B7F" w:rsidRDefault="00CA11D6" w:rsidP="00A369A1">
            <w:pPr>
              <w:jc w:val="center"/>
              <w:rPr>
                <w:rFonts w:ascii="Arial" w:hAnsi="Arial" w:cs="Arial"/>
                <w:bCs/>
                <w:sz w:val="20"/>
              </w:rPr>
            </w:pPr>
            <w:r w:rsidRPr="00806B7F">
              <w:rPr>
                <w:rFonts w:ascii="Arial" w:hAnsi="Arial" w:cs="Arial"/>
                <w:bCs/>
                <w:sz w:val="20"/>
              </w:rPr>
              <w:t>1.325</w:t>
            </w:r>
          </w:p>
        </w:tc>
        <w:tc>
          <w:tcPr>
            <w:tcW w:w="1118" w:type="dxa"/>
            <w:shd w:val="clear" w:color="auto" w:fill="auto"/>
            <w:noWrap/>
          </w:tcPr>
          <w:p w14:paraId="14866F61" w14:textId="77777777" w:rsidR="00CA11D6" w:rsidRPr="00806B7F" w:rsidRDefault="00CA11D6" w:rsidP="00A369A1">
            <w:pPr>
              <w:jc w:val="center"/>
              <w:rPr>
                <w:rFonts w:ascii="Arial" w:hAnsi="Arial" w:cs="Arial"/>
                <w:bCs/>
                <w:sz w:val="20"/>
              </w:rPr>
            </w:pPr>
            <w:r w:rsidRPr="00806B7F">
              <w:rPr>
                <w:rFonts w:ascii="Arial" w:hAnsi="Arial" w:cs="Arial"/>
                <w:bCs/>
                <w:sz w:val="20"/>
              </w:rPr>
              <w:t>0.792</w:t>
            </w:r>
          </w:p>
        </w:tc>
        <w:tc>
          <w:tcPr>
            <w:tcW w:w="1119" w:type="dxa"/>
            <w:shd w:val="clear" w:color="auto" w:fill="auto"/>
            <w:noWrap/>
          </w:tcPr>
          <w:p w14:paraId="046B90B1"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c>
          <w:tcPr>
            <w:tcW w:w="1118" w:type="dxa"/>
            <w:shd w:val="clear" w:color="auto" w:fill="auto"/>
            <w:noWrap/>
          </w:tcPr>
          <w:p w14:paraId="2D9A8F79" w14:textId="77777777" w:rsidR="00CA11D6" w:rsidRPr="00806B7F" w:rsidRDefault="00CA11D6" w:rsidP="00A369A1">
            <w:pPr>
              <w:jc w:val="center"/>
              <w:rPr>
                <w:rFonts w:ascii="Arial" w:hAnsi="Arial" w:cs="Arial"/>
                <w:bCs/>
                <w:sz w:val="20"/>
              </w:rPr>
            </w:pPr>
            <w:r w:rsidRPr="00806B7F">
              <w:rPr>
                <w:rFonts w:ascii="Arial" w:hAnsi="Arial" w:cs="Arial"/>
                <w:bCs/>
                <w:sz w:val="20"/>
              </w:rPr>
              <w:t>0.900</w:t>
            </w:r>
          </w:p>
        </w:tc>
        <w:tc>
          <w:tcPr>
            <w:tcW w:w="1118" w:type="dxa"/>
          </w:tcPr>
          <w:p w14:paraId="1D7EDF23" w14:textId="77777777" w:rsidR="00CA11D6" w:rsidRPr="00806B7F" w:rsidRDefault="00CA11D6" w:rsidP="00A369A1">
            <w:pPr>
              <w:jc w:val="center"/>
              <w:rPr>
                <w:rFonts w:ascii="Arial" w:hAnsi="Arial" w:cs="Arial"/>
                <w:bCs/>
                <w:sz w:val="20"/>
              </w:rPr>
            </w:pPr>
            <w:r w:rsidRPr="00806B7F">
              <w:rPr>
                <w:rFonts w:ascii="Arial" w:hAnsi="Arial" w:cs="Arial"/>
                <w:bCs/>
                <w:sz w:val="20"/>
              </w:rPr>
              <w:t>0.320</w:t>
            </w:r>
          </w:p>
        </w:tc>
        <w:tc>
          <w:tcPr>
            <w:tcW w:w="1119" w:type="dxa"/>
            <w:shd w:val="clear" w:color="auto" w:fill="auto"/>
            <w:noWrap/>
          </w:tcPr>
          <w:p w14:paraId="274314D0" w14:textId="77777777" w:rsidR="00CA11D6" w:rsidRPr="00806B7F" w:rsidRDefault="00CA11D6" w:rsidP="00A369A1">
            <w:pPr>
              <w:jc w:val="center"/>
              <w:rPr>
                <w:rFonts w:ascii="Arial" w:hAnsi="Arial" w:cs="Arial"/>
                <w:bCs/>
                <w:sz w:val="20"/>
              </w:rPr>
            </w:pPr>
            <w:r w:rsidRPr="00806B7F">
              <w:rPr>
                <w:rFonts w:ascii="Arial" w:hAnsi="Arial" w:cs="Arial"/>
                <w:bCs/>
                <w:sz w:val="20"/>
              </w:rPr>
              <w:t>4.337</w:t>
            </w:r>
          </w:p>
        </w:tc>
      </w:tr>
      <w:tr w:rsidR="00CA11D6" w:rsidRPr="00806B7F" w14:paraId="0E93363A" w14:textId="77777777" w:rsidTr="00A369A1">
        <w:trPr>
          <w:trHeight w:val="255"/>
        </w:trPr>
        <w:tc>
          <w:tcPr>
            <w:tcW w:w="2410" w:type="dxa"/>
            <w:shd w:val="clear" w:color="auto" w:fill="auto"/>
            <w:noWrap/>
          </w:tcPr>
          <w:p w14:paraId="450DCB35"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IT Equipment</w:t>
            </w:r>
          </w:p>
        </w:tc>
        <w:tc>
          <w:tcPr>
            <w:tcW w:w="1260" w:type="dxa"/>
            <w:shd w:val="clear" w:color="auto" w:fill="auto"/>
            <w:noWrap/>
          </w:tcPr>
          <w:p w14:paraId="3D398320" w14:textId="77777777" w:rsidR="00CA11D6" w:rsidRPr="00806B7F" w:rsidRDefault="00CA11D6" w:rsidP="00A369A1">
            <w:pPr>
              <w:jc w:val="center"/>
              <w:rPr>
                <w:rFonts w:ascii="Arial" w:hAnsi="Arial" w:cs="Arial"/>
                <w:bCs/>
                <w:sz w:val="20"/>
              </w:rPr>
            </w:pPr>
            <w:r w:rsidRPr="00806B7F">
              <w:rPr>
                <w:rFonts w:ascii="Arial" w:hAnsi="Arial" w:cs="Arial"/>
                <w:bCs/>
                <w:sz w:val="20"/>
              </w:rPr>
              <w:t>1.219</w:t>
            </w:r>
          </w:p>
        </w:tc>
        <w:tc>
          <w:tcPr>
            <w:tcW w:w="1118" w:type="dxa"/>
            <w:shd w:val="clear" w:color="auto" w:fill="auto"/>
            <w:noWrap/>
          </w:tcPr>
          <w:p w14:paraId="6268386B" w14:textId="77777777" w:rsidR="00CA11D6" w:rsidRPr="00806B7F" w:rsidRDefault="00CA11D6" w:rsidP="00A369A1">
            <w:pPr>
              <w:jc w:val="center"/>
              <w:rPr>
                <w:rFonts w:ascii="Arial" w:hAnsi="Arial" w:cs="Arial"/>
                <w:bCs/>
                <w:sz w:val="20"/>
              </w:rPr>
            </w:pPr>
            <w:r w:rsidRPr="00806B7F">
              <w:rPr>
                <w:rFonts w:ascii="Arial" w:hAnsi="Arial" w:cs="Arial"/>
                <w:bCs/>
                <w:sz w:val="20"/>
              </w:rPr>
              <w:t>0.500</w:t>
            </w:r>
          </w:p>
        </w:tc>
        <w:tc>
          <w:tcPr>
            <w:tcW w:w="1119" w:type="dxa"/>
            <w:shd w:val="clear" w:color="auto" w:fill="auto"/>
            <w:noWrap/>
          </w:tcPr>
          <w:p w14:paraId="534939E3" w14:textId="77777777" w:rsidR="00CA11D6" w:rsidRPr="00806B7F" w:rsidRDefault="00CA11D6" w:rsidP="00A369A1">
            <w:pPr>
              <w:jc w:val="center"/>
              <w:rPr>
                <w:rFonts w:ascii="Arial" w:hAnsi="Arial" w:cs="Arial"/>
                <w:bCs/>
                <w:sz w:val="20"/>
              </w:rPr>
            </w:pPr>
            <w:r w:rsidRPr="00806B7F">
              <w:rPr>
                <w:rFonts w:ascii="Arial" w:hAnsi="Arial" w:cs="Arial"/>
                <w:bCs/>
                <w:sz w:val="20"/>
              </w:rPr>
              <w:t>1.690</w:t>
            </w:r>
          </w:p>
        </w:tc>
        <w:tc>
          <w:tcPr>
            <w:tcW w:w="1118" w:type="dxa"/>
            <w:shd w:val="clear" w:color="auto" w:fill="auto"/>
            <w:noWrap/>
          </w:tcPr>
          <w:p w14:paraId="3B3E8B3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tcPr>
          <w:p w14:paraId="696F76F9" w14:textId="77777777" w:rsidR="00CA11D6" w:rsidRPr="00806B7F" w:rsidRDefault="00CA11D6" w:rsidP="00A369A1">
            <w:pPr>
              <w:jc w:val="center"/>
              <w:rPr>
                <w:rFonts w:ascii="Arial" w:hAnsi="Arial" w:cs="Arial"/>
                <w:bCs/>
                <w:sz w:val="20"/>
              </w:rPr>
            </w:pPr>
            <w:r w:rsidRPr="00806B7F">
              <w:rPr>
                <w:rFonts w:ascii="Arial" w:hAnsi="Arial" w:cs="Arial"/>
                <w:bCs/>
                <w:sz w:val="20"/>
              </w:rPr>
              <w:t>0.060</w:t>
            </w:r>
          </w:p>
        </w:tc>
        <w:tc>
          <w:tcPr>
            <w:tcW w:w="1119" w:type="dxa"/>
            <w:shd w:val="clear" w:color="auto" w:fill="auto"/>
            <w:noWrap/>
          </w:tcPr>
          <w:p w14:paraId="74341EEC" w14:textId="77777777" w:rsidR="00CA11D6" w:rsidRPr="00806B7F" w:rsidRDefault="00CA11D6" w:rsidP="00A369A1">
            <w:pPr>
              <w:jc w:val="center"/>
              <w:rPr>
                <w:rFonts w:ascii="Arial" w:hAnsi="Arial" w:cs="Arial"/>
                <w:bCs/>
                <w:sz w:val="20"/>
              </w:rPr>
            </w:pPr>
            <w:r w:rsidRPr="00806B7F">
              <w:rPr>
                <w:rFonts w:ascii="Arial" w:hAnsi="Arial" w:cs="Arial"/>
                <w:bCs/>
                <w:sz w:val="20"/>
              </w:rPr>
              <w:t>3.469</w:t>
            </w:r>
          </w:p>
        </w:tc>
      </w:tr>
      <w:tr w:rsidR="00CA11D6" w:rsidRPr="00806B7F" w14:paraId="0C492341" w14:textId="77777777" w:rsidTr="00A369A1">
        <w:trPr>
          <w:trHeight w:val="79"/>
        </w:trPr>
        <w:tc>
          <w:tcPr>
            <w:tcW w:w="2410" w:type="dxa"/>
            <w:shd w:val="clear" w:color="auto" w:fill="auto"/>
            <w:noWrap/>
          </w:tcPr>
          <w:p w14:paraId="40941787" w14:textId="77777777" w:rsidR="00CA11D6" w:rsidRPr="00806B7F" w:rsidRDefault="00CA11D6" w:rsidP="00A369A1">
            <w:pPr>
              <w:jc w:val="both"/>
              <w:rPr>
                <w:rFonts w:ascii="Arial" w:hAnsi="Arial" w:cs="Arial"/>
                <w:snapToGrid w:val="0"/>
                <w:color w:val="000000"/>
                <w:sz w:val="20"/>
                <w:lang w:eastAsia="en-US"/>
              </w:rPr>
            </w:pPr>
            <w:r w:rsidRPr="00806B7F">
              <w:rPr>
                <w:rFonts w:ascii="Arial" w:hAnsi="Arial" w:cs="Arial"/>
                <w:snapToGrid w:val="0"/>
                <w:color w:val="000000"/>
                <w:sz w:val="20"/>
                <w:lang w:eastAsia="en-US"/>
              </w:rPr>
              <w:t>Buildings</w:t>
            </w:r>
          </w:p>
        </w:tc>
        <w:tc>
          <w:tcPr>
            <w:tcW w:w="1260" w:type="dxa"/>
            <w:shd w:val="clear" w:color="auto" w:fill="auto"/>
            <w:noWrap/>
          </w:tcPr>
          <w:p w14:paraId="0C576253" w14:textId="77777777" w:rsidR="00CA11D6" w:rsidRPr="00806B7F" w:rsidRDefault="00CA11D6" w:rsidP="00A369A1">
            <w:pPr>
              <w:jc w:val="center"/>
              <w:rPr>
                <w:rFonts w:ascii="Arial" w:hAnsi="Arial" w:cs="Arial"/>
                <w:bCs/>
                <w:sz w:val="20"/>
              </w:rPr>
            </w:pPr>
            <w:r w:rsidRPr="00806B7F">
              <w:rPr>
                <w:rFonts w:ascii="Arial" w:hAnsi="Arial" w:cs="Arial"/>
                <w:bCs/>
                <w:sz w:val="20"/>
              </w:rPr>
              <w:t>1.475</w:t>
            </w:r>
          </w:p>
        </w:tc>
        <w:tc>
          <w:tcPr>
            <w:tcW w:w="1118" w:type="dxa"/>
            <w:shd w:val="clear" w:color="auto" w:fill="auto"/>
            <w:noWrap/>
          </w:tcPr>
          <w:p w14:paraId="0F63BA2F"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119" w:type="dxa"/>
            <w:shd w:val="clear" w:color="auto" w:fill="auto"/>
            <w:noWrap/>
          </w:tcPr>
          <w:p w14:paraId="7FEA611B"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118" w:type="dxa"/>
            <w:shd w:val="clear" w:color="auto" w:fill="auto"/>
            <w:noWrap/>
          </w:tcPr>
          <w:p w14:paraId="5D9C4650"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118" w:type="dxa"/>
          </w:tcPr>
          <w:p w14:paraId="4F424E7E" w14:textId="77777777" w:rsidR="00CA11D6" w:rsidRPr="00806B7F" w:rsidRDefault="00CA11D6" w:rsidP="00A369A1">
            <w:pPr>
              <w:jc w:val="center"/>
              <w:rPr>
                <w:rFonts w:ascii="Arial" w:hAnsi="Arial" w:cs="Arial"/>
                <w:bCs/>
                <w:sz w:val="20"/>
              </w:rPr>
            </w:pPr>
            <w:r w:rsidRPr="00806B7F">
              <w:rPr>
                <w:rFonts w:ascii="Arial" w:hAnsi="Arial" w:cs="Arial"/>
                <w:bCs/>
                <w:sz w:val="20"/>
              </w:rPr>
              <w:t>8.350</w:t>
            </w:r>
          </w:p>
        </w:tc>
        <w:tc>
          <w:tcPr>
            <w:tcW w:w="1119" w:type="dxa"/>
            <w:shd w:val="clear" w:color="auto" w:fill="auto"/>
            <w:noWrap/>
          </w:tcPr>
          <w:p w14:paraId="3DCA1309" w14:textId="77777777" w:rsidR="00CA11D6" w:rsidRPr="00806B7F" w:rsidRDefault="00CA11D6" w:rsidP="00A369A1">
            <w:pPr>
              <w:jc w:val="center"/>
              <w:rPr>
                <w:rFonts w:ascii="Arial" w:hAnsi="Arial" w:cs="Arial"/>
                <w:bCs/>
                <w:sz w:val="20"/>
              </w:rPr>
            </w:pPr>
            <w:r w:rsidRPr="00806B7F">
              <w:rPr>
                <w:rFonts w:ascii="Arial" w:hAnsi="Arial" w:cs="Arial"/>
                <w:bCs/>
                <w:sz w:val="20"/>
              </w:rPr>
              <w:t>34.875</w:t>
            </w:r>
          </w:p>
        </w:tc>
      </w:tr>
      <w:tr w:rsidR="00CA11D6" w:rsidRPr="00806B7F" w14:paraId="32739647" w14:textId="77777777" w:rsidTr="00A369A1">
        <w:trPr>
          <w:trHeight w:val="270"/>
        </w:trPr>
        <w:tc>
          <w:tcPr>
            <w:tcW w:w="2410" w:type="dxa"/>
            <w:shd w:val="clear" w:color="auto" w:fill="auto"/>
            <w:noWrap/>
          </w:tcPr>
          <w:p w14:paraId="6CDA2610" w14:textId="77777777" w:rsidR="00CA11D6" w:rsidRPr="00806B7F" w:rsidRDefault="00CA11D6" w:rsidP="00A369A1">
            <w:pPr>
              <w:rPr>
                <w:rFonts w:ascii="Arial" w:hAnsi="Arial" w:cs="Arial"/>
                <w:sz w:val="20"/>
              </w:rPr>
            </w:pPr>
          </w:p>
        </w:tc>
        <w:tc>
          <w:tcPr>
            <w:tcW w:w="1260" w:type="dxa"/>
            <w:shd w:val="clear" w:color="auto" w:fill="auto"/>
            <w:noWrap/>
          </w:tcPr>
          <w:p w14:paraId="07F32F86" w14:textId="77777777" w:rsidR="00CA11D6" w:rsidRPr="00806B7F" w:rsidRDefault="00CA11D6" w:rsidP="00A369A1">
            <w:pPr>
              <w:jc w:val="center"/>
              <w:rPr>
                <w:rFonts w:ascii="Arial" w:hAnsi="Arial" w:cs="Arial"/>
                <w:bCs/>
                <w:sz w:val="20"/>
              </w:rPr>
            </w:pPr>
            <w:r w:rsidRPr="00806B7F">
              <w:rPr>
                <w:rFonts w:ascii="Arial" w:hAnsi="Arial" w:cs="Arial"/>
                <w:bCs/>
                <w:sz w:val="20"/>
              </w:rPr>
              <w:t>10.116</w:t>
            </w:r>
          </w:p>
        </w:tc>
        <w:tc>
          <w:tcPr>
            <w:tcW w:w="1118" w:type="dxa"/>
            <w:shd w:val="clear" w:color="auto" w:fill="auto"/>
            <w:noWrap/>
          </w:tcPr>
          <w:p w14:paraId="1772D6F6" w14:textId="77777777" w:rsidR="00CA11D6" w:rsidRPr="00806B7F" w:rsidRDefault="00CA11D6" w:rsidP="00A369A1">
            <w:pPr>
              <w:jc w:val="center"/>
              <w:rPr>
                <w:rFonts w:ascii="Arial" w:hAnsi="Arial" w:cs="Arial"/>
                <w:bCs/>
                <w:sz w:val="20"/>
              </w:rPr>
            </w:pPr>
            <w:r w:rsidRPr="00806B7F">
              <w:rPr>
                <w:rFonts w:ascii="Arial" w:hAnsi="Arial" w:cs="Arial"/>
                <w:bCs/>
                <w:sz w:val="20"/>
              </w:rPr>
              <w:t>10.320</w:t>
            </w:r>
          </w:p>
        </w:tc>
        <w:tc>
          <w:tcPr>
            <w:tcW w:w="1119" w:type="dxa"/>
            <w:shd w:val="clear" w:color="auto" w:fill="auto"/>
            <w:noWrap/>
          </w:tcPr>
          <w:p w14:paraId="2BAD6672" w14:textId="77777777" w:rsidR="00CA11D6" w:rsidRPr="00806B7F" w:rsidRDefault="00CA11D6" w:rsidP="00A369A1">
            <w:pPr>
              <w:jc w:val="center"/>
              <w:rPr>
                <w:rFonts w:ascii="Arial" w:hAnsi="Arial" w:cs="Arial"/>
                <w:bCs/>
                <w:sz w:val="20"/>
              </w:rPr>
            </w:pPr>
            <w:r w:rsidRPr="00806B7F">
              <w:rPr>
                <w:rFonts w:ascii="Arial" w:hAnsi="Arial" w:cs="Arial"/>
                <w:bCs/>
                <w:sz w:val="20"/>
              </w:rPr>
              <w:t>12.015</w:t>
            </w:r>
          </w:p>
        </w:tc>
        <w:tc>
          <w:tcPr>
            <w:tcW w:w="1118" w:type="dxa"/>
            <w:shd w:val="clear" w:color="auto" w:fill="auto"/>
            <w:noWrap/>
          </w:tcPr>
          <w:p w14:paraId="363FFD67" w14:textId="77777777" w:rsidR="00CA11D6" w:rsidRPr="00806B7F" w:rsidRDefault="00CA11D6" w:rsidP="00A369A1">
            <w:pPr>
              <w:jc w:val="center"/>
              <w:rPr>
                <w:rFonts w:ascii="Arial" w:hAnsi="Arial" w:cs="Arial"/>
                <w:bCs/>
                <w:sz w:val="20"/>
              </w:rPr>
            </w:pPr>
            <w:r w:rsidRPr="00806B7F">
              <w:rPr>
                <w:rFonts w:ascii="Arial" w:hAnsi="Arial" w:cs="Arial"/>
                <w:bCs/>
                <w:sz w:val="20"/>
              </w:rPr>
              <w:t>11.082</w:t>
            </w:r>
          </w:p>
        </w:tc>
        <w:tc>
          <w:tcPr>
            <w:tcW w:w="1118" w:type="dxa"/>
          </w:tcPr>
          <w:p w14:paraId="4FE93807" w14:textId="77777777" w:rsidR="00CA11D6" w:rsidRPr="00806B7F" w:rsidRDefault="00CA11D6" w:rsidP="00A369A1">
            <w:pPr>
              <w:jc w:val="center"/>
              <w:rPr>
                <w:rFonts w:ascii="Arial" w:hAnsi="Arial" w:cs="Arial"/>
                <w:bCs/>
                <w:sz w:val="20"/>
              </w:rPr>
            </w:pPr>
            <w:r w:rsidRPr="00806B7F">
              <w:rPr>
                <w:rFonts w:ascii="Arial" w:hAnsi="Arial" w:cs="Arial"/>
                <w:bCs/>
                <w:sz w:val="20"/>
              </w:rPr>
              <w:t>11.764</w:t>
            </w:r>
          </w:p>
        </w:tc>
        <w:tc>
          <w:tcPr>
            <w:tcW w:w="1119" w:type="dxa"/>
            <w:shd w:val="clear" w:color="auto" w:fill="auto"/>
            <w:noWrap/>
          </w:tcPr>
          <w:p w14:paraId="411735B1" w14:textId="77777777" w:rsidR="00CA11D6" w:rsidRPr="00806B7F" w:rsidRDefault="00CA11D6" w:rsidP="00A369A1">
            <w:pPr>
              <w:jc w:val="center"/>
              <w:rPr>
                <w:rFonts w:ascii="Arial" w:hAnsi="Arial" w:cs="Arial"/>
                <w:bCs/>
                <w:sz w:val="20"/>
              </w:rPr>
            </w:pPr>
            <w:r w:rsidRPr="00806B7F">
              <w:rPr>
                <w:rFonts w:ascii="Arial" w:hAnsi="Arial" w:cs="Arial"/>
                <w:bCs/>
                <w:sz w:val="20"/>
              </w:rPr>
              <w:t>55.297</w:t>
            </w:r>
          </w:p>
        </w:tc>
      </w:tr>
    </w:tbl>
    <w:p w14:paraId="1758E681" w14:textId="77777777" w:rsidR="00CA11D6" w:rsidRPr="00806B7F" w:rsidRDefault="00CA11D6" w:rsidP="00CA11D6">
      <w:pPr>
        <w:jc w:val="both"/>
        <w:rPr>
          <w:rFonts w:ascii="Arial" w:hAnsi="Arial" w:cs="Arial"/>
          <w:sz w:val="20"/>
        </w:rPr>
      </w:pPr>
    </w:p>
    <w:p w14:paraId="64F0F868" w14:textId="77777777" w:rsidR="00DB5DCF" w:rsidRDefault="00DB5DCF" w:rsidP="00CA11D6">
      <w:pPr>
        <w:jc w:val="both"/>
        <w:rPr>
          <w:rFonts w:ascii="Arial" w:hAnsi="Arial" w:cs="Arial"/>
          <w:b/>
          <w:sz w:val="20"/>
        </w:rPr>
      </w:pPr>
    </w:p>
    <w:p w14:paraId="488FABFE" w14:textId="30165CC0" w:rsidR="00CA11D6" w:rsidRPr="00806B7F" w:rsidRDefault="00CA11D6" w:rsidP="00CA11D6">
      <w:pPr>
        <w:jc w:val="both"/>
        <w:rPr>
          <w:rFonts w:ascii="Arial" w:hAnsi="Arial" w:cs="Arial"/>
          <w:sz w:val="20"/>
        </w:rPr>
      </w:pPr>
      <w:r w:rsidRPr="00806B7F">
        <w:rPr>
          <w:rFonts w:ascii="Arial" w:hAnsi="Arial" w:cs="Arial"/>
          <w:b/>
          <w:sz w:val="20"/>
        </w:rPr>
        <w:t>Capital Funding</w:t>
      </w:r>
    </w:p>
    <w:p w14:paraId="4AC613E7" w14:textId="77777777" w:rsidR="00CA11D6" w:rsidRPr="00806B7F" w:rsidRDefault="00CA11D6" w:rsidP="00CA11D6">
      <w:pPr>
        <w:jc w:val="both"/>
        <w:rPr>
          <w:rFonts w:ascii="Arial" w:hAnsi="Arial" w:cs="Arial"/>
          <w:sz w:val="20"/>
        </w:rPr>
      </w:pPr>
    </w:p>
    <w:p w14:paraId="2BF65C96" w14:textId="77777777" w:rsidR="00CA11D6" w:rsidRPr="00806B7F" w:rsidRDefault="00CA11D6" w:rsidP="00CA11D6">
      <w:pPr>
        <w:jc w:val="both"/>
        <w:rPr>
          <w:rFonts w:ascii="Arial" w:hAnsi="Arial" w:cs="Arial"/>
          <w:sz w:val="20"/>
        </w:rPr>
      </w:pPr>
      <w:r w:rsidRPr="00806B7F">
        <w:rPr>
          <w:rFonts w:ascii="Arial" w:hAnsi="Arial" w:cs="Arial"/>
          <w:sz w:val="20"/>
        </w:rPr>
        <w:t>Capital expenditure can be funded from the following sources:</w:t>
      </w:r>
    </w:p>
    <w:p w14:paraId="254AADE7" w14:textId="77777777" w:rsidR="00CA11D6" w:rsidRPr="00806B7F" w:rsidRDefault="00CA11D6" w:rsidP="00CA11D6">
      <w:pPr>
        <w:jc w:val="both"/>
        <w:rPr>
          <w:rFonts w:ascii="Arial" w:hAnsi="Arial" w:cs="Arial"/>
          <w:sz w:val="20"/>
        </w:rPr>
      </w:pPr>
    </w:p>
    <w:p w14:paraId="3CFE2E5E" w14:textId="77777777" w:rsidR="00CA11D6" w:rsidRPr="00806B7F" w:rsidRDefault="00CA11D6" w:rsidP="00CA11D6">
      <w:pPr>
        <w:jc w:val="both"/>
        <w:rPr>
          <w:rFonts w:ascii="Arial" w:hAnsi="Arial" w:cs="Arial"/>
          <w:b/>
          <w:sz w:val="20"/>
        </w:rPr>
      </w:pPr>
      <w:r w:rsidRPr="00806B7F">
        <w:rPr>
          <w:rFonts w:ascii="Arial" w:hAnsi="Arial" w:cs="Arial"/>
          <w:b/>
          <w:sz w:val="20"/>
        </w:rPr>
        <w:t>Prudential Borrowing</w:t>
      </w:r>
    </w:p>
    <w:p w14:paraId="7E458F81" w14:textId="77777777" w:rsidR="00CA11D6" w:rsidRPr="00806B7F" w:rsidRDefault="00CA11D6" w:rsidP="00CA11D6">
      <w:pPr>
        <w:jc w:val="both"/>
        <w:rPr>
          <w:rFonts w:ascii="Arial" w:hAnsi="Arial" w:cs="Arial"/>
          <w:sz w:val="20"/>
        </w:rPr>
      </w:pPr>
    </w:p>
    <w:p w14:paraId="4D9F5361" w14:textId="77777777" w:rsidR="00CA11D6" w:rsidRPr="00806B7F" w:rsidRDefault="00CA11D6" w:rsidP="00CA11D6">
      <w:pPr>
        <w:jc w:val="both"/>
        <w:rPr>
          <w:rFonts w:ascii="Arial" w:hAnsi="Arial" w:cs="Arial"/>
          <w:sz w:val="20"/>
        </w:rPr>
      </w:pPr>
      <w:r w:rsidRPr="00806B7F">
        <w:rPr>
          <w:rFonts w:ascii="Arial" w:hAnsi="Arial" w:cs="Arial"/>
          <w:sz w:val="20"/>
        </w:rPr>
        <w:t xml:space="preserve">The Prudential Code gives the Authority increased flexibility over its level of capital investment and much greater freedom to borrow, should this be necessary, to finance planned expenditure.  However, any future borrowing will incur a financing charge against the revenue budget for the period of the borrowing. </w:t>
      </w:r>
    </w:p>
    <w:p w14:paraId="744E9277" w14:textId="77777777" w:rsidR="00CA11D6" w:rsidRPr="00806B7F" w:rsidRDefault="00CA11D6" w:rsidP="00CA11D6">
      <w:pPr>
        <w:jc w:val="both"/>
        <w:rPr>
          <w:rFonts w:ascii="Arial" w:hAnsi="Arial" w:cs="Arial"/>
          <w:sz w:val="20"/>
        </w:rPr>
      </w:pPr>
    </w:p>
    <w:p w14:paraId="0555E475" w14:textId="77777777" w:rsidR="00CA11D6" w:rsidRPr="00806B7F" w:rsidRDefault="00CA11D6" w:rsidP="00CA11D6">
      <w:pPr>
        <w:jc w:val="both"/>
        <w:rPr>
          <w:rFonts w:ascii="Arial" w:hAnsi="Arial" w:cs="Arial"/>
          <w:sz w:val="20"/>
        </w:rPr>
      </w:pPr>
      <w:r w:rsidRPr="00806B7F">
        <w:rPr>
          <w:rFonts w:ascii="Arial" w:hAnsi="Arial" w:cs="Arial"/>
          <w:sz w:val="20"/>
        </w:rPr>
        <w:t xml:space="preserve">Given the financial position of the Authority we have not needed to borrow since 2007 and repaid a large proportion of our borrowing in October 2017.  </w:t>
      </w:r>
    </w:p>
    <w:p w14:paraId="4B2A0E7B" w14:textId="77777777" w:rsidR="00CA11D6" w:rsidRPr="00806B7F" w:rsidRDefault="00CA11D6" w:rsidP="00CA11D6">
      <w:pPr>
        <w:jc w:val="both"/>
        <w:rPr>
          <w:rFonts w:ascii="Arial" w:hAnsi="Arial" w:cs="Arial"/>
          <w:sz w:val="20"/>
        </w:rPr>
      </w:pPr>
    </w:p>
    <w:p w14:paraId="277A6472" w14:textId="77777777" w:rsidR="00CA11D6" w:rsidRPr="00806B7F" w:rsidRDefault="00CA11D6" w:rsidP="00CA11D6">
      <w:pPr>
        <w:rPr>
          <w:rFonts w:ascii="Arial" w:hAnsi="Arial" w:cs="Arial"/>
          <w:sz w:val="20"/>
        </w:rPr>
      </w:pPr>
      <w:r w:rsidRPr="00806B7F">
        <w:rPr>
          <w:rFonts w:ascii="Arial" w:hAnsi="Arial" w:cs="Arial"/>
          <w:b/>
          <w:sz w:val="20"/>
        </w:rPr>
        <w:t>Capital Grant</w:t>
      </w:r>
    </w:p>
    <w:p w14:paraId="1D6C2223" w14:textId="77777777" w:rsidR="00CA11D6" w:rsidRPr="00806B7F" w:rsidRDefault="00CA11D6" w:rsidP="00CA11D6">
      <w:pPr>
        <w:jc w:val="both"/>
        <w:rPr>
          <w:rFonts w:ascii="Arial" w:hAnsi="Arial" w:cs="Arial"/>
          <w:sz w:val="20"/>
        </w:rPr>
      </w:pPr>
    </w:p>
    <w:p w14:paraId="58665F72" w14:textId="77777777" w:rsidR="00CA11D6" w:rsidRPr="00806B7F" w:rsidRDefault="00CA11D6" w:rsidP="00CA11D6">
      <w:pPr>
        <w:jc w:val="both"/>
        <w:rPr>
          <w:rFonts w:ascii="Arial" w:hAnsi="Arial" w:cs="Arial"/>
          <w:sz w:val="20"/>
        </w:rPr>
      </w:pPr>
      <w:r w:rsidRPr="00806B7F">
        <w:rPr>
          <w:rFonts w:ascii="Arial" w:hAnsi="Arial" w:cs="Arial"/>
          <w:sz w:val="20"/>
        </w:rPr>
        <w:t xml:space="preserve">Capital grants are received from other bodies, typically the Government, </w:t>
      </w:r>
      <w:proofErr w:type="gramStart"/>
      <w:r w:rsidRPr="00806B7F">
        <w:rPr>
          <w:rFonts w:ascii="Arial" w:hAnsi="Arial" w:cs="Arial"/>
          <w:sz w:val="20"/>
        </w:rPr>
        <w:t>in order to</w:t>
      </w:r>
      <w:proofErr w:type="gramEnd"/>
      <w:r w:rsidRPr="00806B7F">
        <w:rPr>
          <w:rFonts w:ascii="Arial" w:hAnsi="Arial" w:cs="Arial"/>
          <w:sz w:val="20"/>
        </w:rPr>
        <w:t xml:space="preserve"> facilitate the purchase/replacement of capital items.</w:t>
      </w:r>
    </w:p>
    <w:p w14:paraId="6A68843C" w14:textId="77777777" w:rsidR="00CA11D6" w:rsidRPr="00806B7F" w:rsidRDefault="00CA11D6" w:rsidP="00CA11D6">
      <w:pPr>
        <w:jc w:val="both"/>
        <w:rPr>
          <w:rFonts w:ascii="Arial" w:hAnsi="Arial" w:cs="Arial"/>
          <w:sz w:val="20"/>
        </w:rPr>
      </w:pPr>
    </w:p>
    <w:p w14:paraId="46A5DA3F" w14:textId="77777777" w:rsidR="00CA11D6" w:rsidRPr="00806B7F" w:rsidRDefault="00CA11D6" w:rsidP="00CA11D6">
      <w:pPr>
        <w:jc w:val="both"/>
        <w:rPr>
          <w:rFonts w:ascii="Arial" w:hAnsi="Arial" w:cs="Arial"/>
          <w:sz w:val="20"/>
        </w:rPr>
      </w:pPr>
      <w:r w:rsidRPr="00806B7F">
        <w:rPr>
          <w:rFonts w:ascii="Arial" w:hAnsi="Arial" w:cs="Arial"/>
          <w:sz w:val="20"/>
        </w:rPr>
        <w:t>There is an expectation that the ESMCP project costs will be offset by capital grant, however we have not had any confirmation of this.</w:t>
      </w:r>
    </w:p>
    <w:p w14:paraId="63B284AB" w14:textId="77777777" w:rsidR="00CA11D6" w:rsidRPr="00806B7F" w:rsidRDefault="00CA11D6" w:rsidP="00CA11D6">
      <w:pPr>
        <w:jc w:val="both"/>
        <w:rPr>
          <w:rFonts w:ascii="Arial" w:hAnsi="Arial" w:cs="Arial"/>
          <w:sz w:val="20"/>
        </w:rPr>
      </w:pPr>
    </w:p>
    <w:p w14:paraId="52986F88" w14:textId="77777777" w:rsidR="00CA11D6" w:rsidRPr="00806B7F" w:rsidRDefault="00CA11D6" w:rsidP="00CA11D6">
      <w:pPr>
        <w:jc w:val="both"/>
        <w:rPr>
          <w:rFonts w:ascii="Arial" w:hAnsi="Arial" w:cs="Arial"/>
          <w:sz w:val="20"/>
        </w:rPr>
      </w:pPr>
      <w:r w:rsidRPr="00806B7F">
        <w:rPr>
          <w:rFonts w:ascii="Arial" w:hAnsi="Arial" w:cs="Arial"/>
          <w:sz w:val="20"/>
        </w:rPr>
        <w:t>To date no other capital grant funding has been made available, nor has any indication been given that capital grant will be available in future years, and hence no allowance has been included in the budget.</w:t>
      </w:r>
    </w:p>
    <w:p w14:paraId="3CFBA553" w14:textId="77777777" w:rsidR="00CA11D6" w:rsidRPr="00806B7F" w:rsidRDefault="00CA11D6" w:rsidP="00CA11D6">
      <w:pPr>
        <w:jc w:val="both"/>
        <w:rPr>
          <w:rFonts w:ascii="Arial" w:hAnsi="Arial" w:cs="Arial"/>
          <w:sz w:val="20"/>
        </w:rPr>
      </w:pPr>
    </w:p>
    <w:p w14:paraId="1D0230BB" w14:textId="77777777" w:rsidR="00CA11D6" w:rsidRPr="00806B7F" w:rsidRDefault="00CA11D6" w:rsidP="00CA11D6">
      <w:pPr>
        <w:jc w:val="both"/>
        <w:rPr>
          <w:rFonts w:ascii="Arial" w:hAnsi="Arial" w:cs="Arial"/>
          <w:sz w:val="20"/>
        </w:rPr>
      </w:pPr>
      <w:r w:rsidRPr="00806B7F">
        <w:rPr>
          <w:rFonts w:ascii="Arial" w:hAnsi="Arial" w:cs="Arial"/>
          <w:b/>
          <w:sz w:val="20"/>
        </w:rPr>
        <w:t>Capital Receipts</w:t>
      </w:r>
    </w:p>
    <w:p w14:paraId="781425A9" w14:textId="77777777" w:rsidR="00CA11D6" w:rsidRPr="00806B7F" w:rsidRDefault="00CA11D6" w:rsidP="00CA11D6">
      <w:pPr>
        <w:jc w:val="both"/>
        <w:rPr>
          <w:rFonts w:ascii="Arial" w:hAnsi="Arial" w:cs="Arial"/>
          <w:sz w:val="20"/>
        </w:rPr>
      </w:pPr>
    </w:p>
    <w:p w14:paraId="37F5B949" w14:textId="77777777" w:rsidR="00CA11D6" w:rsidRPr="00806B7F" w:rsidRDefault="00CA11D6" w:rsidP="00CA11D6">
      <w:pPr>
        <w:jc w:val="both"/>
        <w:rPr>
          <w:rFonts w:ascii="Arial" w:hAnsi="Arial" w:cs="Arial"/>
          <w:sz w:val="20"/>
        </w:rPr>
      </w:pPr>
      <w:r w:rsidRPr="00806B7F">
        <w:rPr>
          <w:rFonts w:ascii="Arial" w:hAnsi="Arial" w:cs="Arial"/>
          <w:sz w:val="20"/>
        </w:rPr>
        <w:t>Capital receipts are generated from the sale of surplus property and vehicle assets, with any monies generated being utilised to fund additional capital expenditure either in</w:t>
      </w:r>
      <w:r w:rsidRPr="00806B7F">
        <w:rPr>
          <w:rFonts w:ascii="Arial" w:hAnsi="Arial" w:cs="Arial"/>
          <w:sz w:val="20"/>
        </w:rPr>
        <w:noBreakHyphen/>
        <w:t>year or carried forward to fund the programme in future years.</w:t>
      </w:r>
    </w:p>
    <w:p w14:paraId="68D1E6C8" w14:textId="77777777" w:rsidR="00CA11D6" w:rsidRPr="00806B7F" w:rsidRDefault="00CA11D6" w:rsidP="00CA11D6">
      <w:pPr>
        <w:jc w:val="both"/>
        <w:rPr>
          <w:rFonts w:ascii="Arial" w:hAnsi="Arial" w:cs="Arial"/>
          <w:sz w:val="20"/>
        </w:rPr>
      </w:pPr>
    </w:p>
    <w:p w14:paraId="578F6883" w14:textId="77777777" w:rsidR="00CA11D6" w:rsidRPr="00806B7F" w:rsidRDefault="00CA11D6" w:rsidP="00CA11D6">
      <w:pPr>
        <w:jc w:val="both"/>
        <w:rPr>
          <w:rFonts w:ascii="Arial" w:hAnsi="Arial" w:cs="Arial"/>
          <w:sz w:val="20"/>
        </w:rPr>
      </w:pPr>
      <w:r w:rsidRPr="00806B7F">
        <w:rPr>
          <w:rFonts w:ascii="Arial" w:hAnsi="Arial" w:cs="Arial"/>
          <w:sz w:val="20"/>
        </w:rPr>
        <w:t>The Authority expects to hold £1.7m of capital receipts as at 31 March 2023.  This will be fully utilised during the 5-year programme.</w:t>
      </w:r>
    </w:p>
    <w:p w14:paraId="33A94BF9" w14:textId="77777777" w:rsidR="00CA11D6" w:rsidRPr="00806B7F" w:rsidRDefault="00CA11D6" w:rsidP="00CA11D6">
      <w:pPr>
        <w:jc w:val="both"/>
        <w:rPr>
          <w:rFonts w:ascii="Arial" w:hAnsi="Arial" w:cs="Arial"/>
          <w:sz w:val="20"/>
        </w:rPr>
      </w:pPr>
    </w:p>
    <w:p w14:paraId="00D455E5" w14:textId="77777777" w:rsidR="00CA11D6" w:rsidRPr="00806B7F" w:rsidRDefault="00CA11D6" w:rsidP="00CA11D6">
      <w:pPr>
        <w:jc w:val="both"/>
        <w:rPr>
          <w:rFonts w:ascii="Arial" w:hAnsi="Arial" w:cs="Arial"/>
          <w:sz w:val="20"/>
        </w:rPr>
      </w:pPr>
      <w:r w:rsidRPr="00806B7F">
        <w:rPr>
          <w:rFonts w:ascii="Arial" w:hAnsi="Arial" w:cs="Arial"/>
          <w:sz w:val="20"/>
        </w:rPr>
        <w:t xml:space="preserve">It is worth highlighting that the relocation of SHQ would provide an opportunity to sell part or </w:t>
      </w:r>
      <w:proofErr w:type="gramStart"/>
      <w:r w:rsidRPr="00806B7F">
        <w:rPr>
          <w:rFonts w:ascii="Arial" w:hAnsi="Arial" w:cs="Arial"/>
          <w:sz w:val="20"/>
        </w:rPr>
        <w:t>all of</w:t>
      </w:r>
      <w:proofErr w:type="gramEnd"/>
      <w:r w:rsidRPr="00806B7F">
        <w:rPr>
          <w:rFonts w:ascii="Arial" w:hAnsi="Arial" w:cs="Arial"/>
          <w:sz w:val="20"/>
        </w:rPr>
        <w:t xml:space="preserve"> the site, subject to any changes at Fulwood Fire Station, however any sale proceeds will not be realised within the timeframe of this programme.</w:t>
      </w:r>
    </w:p>
    <w:p w14:paraId="6CEFDBC6" w14:textId="77777777" w:rsidR="00CA11D6" w:rsidRPr="00806B7F" w:rsidRDefault="00CA11D6" w:rsidP="00CA11D6">
      <w:pPr>
        <w:jc w:val="both"/>
        <w:rPr>
          <w:rFonts w:ascii="Arial" w:hAnsi="Arial" w:cs="Arial"/>
          <w:sz w:val="20"/>
        </w:rPr>
      </w:pPr>
    </w:p>
    <w:p w14:paraId="48CF33DD" w14:textId="77777777" w:rsidR="00CA11D6" w:rsidRPr="00806B7F" w:rsidRDefault="00CA11D6" w:rsidP="00CA11D6">
      <w:pPr>
        <w:rPr>
          <w:rFonts w:ascii="Arial" w:hAnsi="Arial" w:cs="Arial"/>
          <w:sz w:val="20"/>
        </w:rPr>
      </w:pPr>
      <w:r w:rsidRPr="00806B7F">
        <w:rPr>
          <w:rFonts w:ascii="Arial" w:hAnsi="Arial" w:cs="Arial"/>
          <w:b/>
          <w:sz w:val="20"/>
        </w:rPr>
        <w:t>Capital Reserves</w:t>
      </w:r>
    </w:p>
    <w:p w14:paraId="5005911B" w14:textId="77777777" w:rsidR="00CA11D6" w:rsidRPr="00806B7F" w:rsidRDefault="00CA11D6" w:rsidP="00CA11D6">
      <w:pPr>
        <w:jc w:val="both"/>
        <w:rPr>
          <w:rFonts w:ascii="Arial" w:hAnsi="Arial" w:cs="Arial"/>
          <w:sz w:val="20"/>
        </w:rPr>
      </w:pPr>
    </w:p>
    <w:p w14:paraId="009CA143" w14:textId="77777777" w:rsidR="00CA11D6" w:rsidRPr="00806B7F" w:rsidRDefault="00CA11D6" w:rsidP="00CA11D6">
      <w:pPr>
        <w:jc w:val="both"/>
        <w:rPr>
          <w:rFonts w:ascii="Arial" w:hAnsi="Arial" w:cs="Arial"/>
          <w:sz w:val="20"/>
        </w:rPr>
      </w:pPr>
      <w:r w:rsidRPr="00806B7F">
        <w:rPr>
          <w:rFonts w:ascii="Arial" w:hAnsi="Arial" w:cs="Arial"/>
          <w:sz w:val="20"/>
        </w:rPr>
        <w:t xml:space="preserve">Capital Reserves have been created from under spends on the revenue budget </w:t>
      </w:r>
      <w:proofErr w:type="gramStart"/>
      <w:r w:rsidRPr="00806B7F">
        <w:rPr>
          <w:rFonts w:ascii="Arial" w:hAnsi="Arial" w:cs="Arial"/>
          <w:sz w:val="20"/>
        </w:rPr>
        <w:t>in order to</w:t>
      </w:r>
      <w:proofErr w:type="gramEnd"/>
      <w:r w:rsidRPr="00806B7F">
        <w:rPr>
          <w:rFonts w:ascii="Arial" w:hAnsi="Arial" w:cs="Arial"/>
          <w:sz w:val="20"/>
        </w:rPr>
        <w:t xml:space="preserve"> provide additional funding to support the capital programme in future years. The Authority expects to hold £18.6m of capital reserves as at 31 March 2023. Over the life of the programme we anticipate utilising all these reserves.</w:t>
      </w:r>
    </w:p>
    <w:p w14:paraId="13E342C3" w14:textId="77777777" w:rsidR="00CA11D6" w:rsidRPr="00806B7F" w:rsidRDefault="00CA11D6" w:rsidP="00CA11D6">
      <w:pPr>
        <w:jc w:val="both"/>
        <w:rPr>
          <w:rFonts w:ascii="Arial" w:hAnsi="Arial" w:cs="Arial"/>
          <w:b/>
          <w:sz w:val="20"/>
        </w:rPr>
      </w:pPr>
    </w:p>
    <w:p w14:paraId="1084E7E5" w14:textId="77777777" w:rsidR="00CA11D6" w:rsidRPr="00806B7F" w:rsidRDefault="00CA11D6" w:rsidP="00CA11D6">
      <w:pPr>
        <w:jc w:val="both"/>
        <w:rPr>
          <w:rFonts w:ascii="Arial" w:hAnsi="Arial" w:cs="Arial"/>
          <w:b/>
          <w:sz w:val="20"/>
        </w:rPr>
      </w:pPr>
      <w:r w:rsidRPr="00806B7F">
        <w:rPr>
          <w:rFonts w:ascii="Arial" w:hAnsi="Arial" w:cs="Arial"/>
          <w:b/>
          <w:sz w:val="20"/>
        </w:rPr>
        <w:t>Revenue Contribution to Capital Outlay (RCCO)</w:t>
      </w:r>
    </w:p>
    <w:p w14:paraId="55C0EBE2" w14:textId="77777777" w:rsidR="00CA11D6" w:rsidRPr="00806B7F" w:rsidRDefault="00CA11D6" w:rsidP="00CA11D6">
      <w:pPr>
        <w:jc w:val="both"/>
        <w:rPr>
          <w:rFonts w:ascii="Arial" w:hAnsi="Arial" w:cs="Arial"/>
          <w:sz w:val="20"/>
        </w:rPr>
      </w:pPr>
    </w:p>
    <w:p w14:paraId="65261B52" w14:textId="77777777" w:rsidR="00CA11D6" w:rsidRPr="00806B7F" w:rsidRDefault="00CA11D6" w:rsidP="00CA11D6">
      <w:pPr>
        <w:jc w:val="both"/>
        <w:rPr>
          <w:rFonts w:ascii="Arial" w:hAnsi="Arial" w:cs="Arial"/>
          <w:sz w:val="20"/>
        </w:rPr>
      </w:pPr>
      <w:r w:rsidRPr="00806B7F">
        <w:rPr>
          <w:rFonts w:ascii="Arial" w:hAnsi="Arial" w:cs="Arial"/>
          <w:sz w:val="20"/>
        </w:rPr>
        <w:t xml:space="preserve">Any revenue surpluses may be transferred to a Capital Reserve </w:t>
      </w:r>
      <w:proofErr w:type="gramStart"/>
      <w:r w:rsidRPr="00806B7F">
        <w:rPr>
          <w:rFonts w:ascii="Arial" w:hAnsi="Arial" w:cs="Arial"/>
          <w:sz w:val="20"/>
        </w:rPr>
        <w:t>in order to</w:t>
      </w:r>
      <w:proofErr w:type="gramEnd"/>
      <w:r w:rsidRPr="00806B7F">
        <w:rPr>
          <w:rFonts w:ascii="Arial" w:hAnsi="Arial" w:cs="Arial"/>
          <w:sz w:val="20"/>
        </w:rPr>
        <w:t xml:space="preserve"> fund additional capital expenditure either in</w:t>
      </w:r>
      <w:r w:rsidRPr="00806B7F">
        <w:rPr>
          <w:rFonts w:ascii="Arial" w:hAnsi="Arial" w:cs="Arial"/>
          <w:sz w:val="20"/>
        </w:rPr>
        <w:noBreakHyphen/>
        <w:t>year or carried forward to fund the programme in future years.</w:t>
      </w:r>
    </w:p>
    <w:p w14:paraId="01F315A0" w14:textId="77777777" w:rsidR="00CA11D6" w:rsidRPr="00806B7F" w:rsidRDefault="00CA11D6" w:rsidP="00CA11D6">
      <w:pPr>
        <w:jc w:val="both"/>
        <w:rPr>
          <w:rFonts w:ascii="Arial" w:hAnsi="Arial" w:cs="Arial"/>
          <w:sz w:val="20"/>
        </w:rPr>
      </w:pPr>
    </w:p>
    <w:p w14:paraId="65913FC3" w14:textId="77777777" w:rsidR="00CA11D6" w:rsidRPr="00806B7F" w:rsidRDefault="00CA11D6" w:rsidP="00CA11D6">
      <w:pPr>
        <w:jc w:val="both"/>
        <w:rPr>
          <w:rFonts w:ascii="Arial" w:hAnsi="Arial" w:cs="Arial"/>
          <w:sz w:val="20"/>
        </w:rPr>
      </w:pPr>
      <w:r w:rsidRPr="00806B7F">
        <w:rPr>
          <w:rFonts w:ascii="Arial" w:hAnsi="Arial" w:cs="Arial"/>
          <w:sz w:val="20"/>
        </w:rPr>
        <w:t>As referred to in the Revenue Budget report, elsewhere on this agenda, the revenue contribution to capital is currently set at £4.0m per year, giving total funding of £20.0m over the 5 years. This reduces the need to borrow and hence the capital financing charge associated with this.</w:t>
      </w:r>
    </w:p>
    <w:p w14:paraId="1048153B" w14:textId="77777777" w:rsidR="00CA11D6" w:rsidRPr="00806B7F" w:rsidRDefault="00CA11D6" w:rsidP="00CA11D6">
      <w:pPr>
        <w:jc w:val="both"/>
        <w:rPr>
          <w:rFonts w:ascii="Arial" w:hAnsi="Arial" w:cs="Arial"/>
          <w:b/>
          <w:sz w:val="20"/>
        </w:rPr>
      </w:pPr>
    </w:p>
    <w:p w14:paraId="38632671" w14:textId="77777777" w:rsidR="00CA11D6" w:rsidRPr="00806B7F" w:rsidRDefault="00CA11D6" w:rsidP="00CA11D6">
      <w:pPr>
        <w:jc w:val="both"/>
        <w:rPr>
          <w:rFonts w:ascii="Arial" w:hAnsi="Arial" w:cs="Arial"/>
          <w:b/>
          <w:sz w:val="20"/>
        </w:rPr>
      </w:pPr>
      <w:r w:rsidRPr="00806B7F">
        <w:rPr>
          <w:rFonts w:ascii="Arial" w:hAnsi="Arial" w:cs="Arial"/>
          <w:b/>
          <w:sz w:val="20"/>
        </w:rPr>
        <w:t>Drawdown of Earmarked Reserves</w:t>
      </w:r>
    </w:p>
    <w:p w14:paraId="4EC684C2" w14:textId="77777777" w:rsidR="00CA11D6" w:rsidRPr="00806B7F" w:rsidRDefault="00CA11D6" w:rsidP="00CA11D6">
      <w:pPr>
        <w:jc w:val="both"/>
        <w:rPr>
          <w:rFonts w:ascii="Arial" w:hAnsi="Arial" w:cs="Arial"/>
          <w:sz w:val="20"/>
        </w:rPr>
      </w:pPr>
    </w:p>
    <w:p w14:paraId="30DFD9CC" w14:textId="77777777" w:rsidR="00CA11D6" w:rsidRPr="00806B7F" w:rsidRDefault="00CA11D6" w:rsidP="00CA11D6">
      <w:pPr>
        <w:jc w:val="both"/>
        <w:rPr>
          <w:rFonts w:ascii="Arial" w:hAnsi="Arial" w:cs="Arial"/>
          <w:sz w:val="20"/>
        </w:rPr>
      </w:pPr>
      <w:r w:rsidRPr="00806B7F">
        <w:rPr>
          <w:rFonts w:ascii="Arial" w:hAnsi="Arial" w:cs="Arial"/>
          <w:sz w:val="20"/>
        </w:rPr>
        <w:t>£0.4m has been drawn down from the Innovation Reserve/Earmarked Reserve to fund the digitisation of fire appliances project and part of the WYLFA prop upgrade.</w:t>
      </w:r>
    </w:p>
    <w:p w14:paraId="16B3405A" w14:textId="77777777" w:rsidR="00CA11D6" w:rsidRPr="00806B7F" w:rsidRDefault="00CA11D6" w:rsidP="00CA11D6">
      <w:pPr>
        <w:jc w:val="both"/>
        <w:rPr>
          <w:rFonts w:ascii="Arial" w:hAnsi="Arial" w:cs="Arial"/>
          <w:sz w:val="20"/>
        </w:rPr>
      </w:pPr>
    </w:p>
    <w:p w14:paraId="75B87CFB" w14:textId="77777777" w:rsidR="00CA11D6" w:rsidRPr="00806B7F" w:rsidRDefault="00CA11D6" w:rsidP="00CA11D6">
      <w:pPr>
        <w:rPr>
          <w:rFonts w:ascii="Arial" w:hAnsi="Arial" w:cs="Arial"/>
          <w:b/>
          <w:sz w:val="20"/>
        </w:rPr>
      </w:pPr>
      <w:r w:rsidRPr="00806B7F">
        <w:rPr>
          <w:rFonts w:ascii="Arial" w:hAnsi="Arial" w:cs="Arial"/>
          <w:b/>
          <w:sz w:val="20"/>
        </w:rPr>
        <w:t>Drawdown of General Reserves</w:t>
      </w:r>
    </w:p>
    <w:p w14:paraId="419FA38B" w14:textId="77777777" w:rsidR="00CA11D6" w:rsidRPr="00806B7F" w:rsidRDefault="00CA11D6" w:rsidP="00CA11D6">
      <w:pPr>
        <w:jc w:val="both"/>
        <w:rPr>
          <w:rFonts w:ascii="Arial" w:hAnsi="Arial" w:cs="Arial"/>
          <w:sz w:val="20"/>
        </w:rPr>
      </w:pPr>
    </w:p>
    <w:p w14:paraId="2451D6CD" w14:textId="77777777" w:rsidR="00CA11D6" w:rsidRPr="00806B7F" w:rsidRDefault="00CA11D6" w:rsidP="00CA11D6">
      <w:pPr>
        <w:jc w:val="both"/>
        <w:rPr>
          <w:rFonts w:ascii="Arial" w:hAnsi="Arial" w:cs="Arial"/>
          <w:sz w:val="20"/>
        </w:rPr>
      </w:pPr>
      <w:r w:rsidRPr="00806B7F">
        <w:rPr>
          <w:rFonts w:ascii="Arial" w:hAnsi="Arial" w:cs="Arial"/>
          <w:sz w:val="20"/>
        </w:rPr>
        <w:t>No allowance has been made for the drawdown of any of the general reserve.</w:t>
      </w:r>
    </w:p>
    <w:p w14:paraId="72AA3F00" w14:textId="77777777" w:rsidR="00CA11D6" w:rsidRPr="00806B7F" w:rsidRDefault="00CA11D6" w:rsidP="00CA11D6">
      <w:pPr>
        <w:jc w:val="both"/>
        <w:rPr>
          <w:rFonts w:ascii="Arial" w:hAnsi="Arial" w:cs="Arial"/>
          <w:sz w:val="20"/>
        </w:rPr>
      </w:pPr>
    </w:p>
    <w:p w14:paraId="083FDC9D" w14:textId="77777777" w:rsidR="00CA11D6" w:rsidRPr="00806B7F" w:rsidRDefault="00CA11D6" w:rsidP="00CA11D6">
      <w:pPr>
        <w:rPr>
          <w:rFonts w:ascii="Arial" w:hAnsi="Arial" w:cs="Arial"/>
          <w:b/>
          <w:sz w:val="20"/>
        </w:rPr>
      </w:pPr>
      <w:r w:rsidRPr="00806B7F">
        <w:rPr>
          <w:rFonts w:ascii="Arial" w:hAnsi="Arial" w:cs="Arial"/>
          <w:b/>
          <w:sz w:val="20"/>
        </w:rPr>
        <w:t>Total Capital Funding</w:t>
      </w:r>
    </w:p>
    <w:p w14:paraId="14FF1F05" w14:textId="77777777" w:rsidR="00CA11D6" w:rsidRPr="00806B7F" w:rsidRDefault="00CA11D6" w:rsidP="00CA11D6">
      <w:pPr>
        <w:jc w:val="both"/>
        <w:rPr>
          <w:rFonts w:ascii="Arial" w:hAnsi="Arial" w:cs="Arial"/>
          <w:b/>
          <w:sz w:val="20"/>
        </w:rPr>
      </w:pPr>
    </w:p>
    <w:p w14:paraId="1A55CE32" w14:textId="77777777" w:rsidR="00CA11D6" w:rsidRPr="00806B7F" w:rsidRDefault="00CA11D6" w:rsidP="00CA11D6">
      <w:pPr>
        <w:jc w:val="both"/>
        <w:rPr>
          <w:rFonts w:ascii="Arial" w:hAnsi="Arial" w:cs="Arial"/>
          <w:sz w:val="20"/>
        </w:rPr>
      </w:pPr>
      <w:r w:rsidRPr="00806B7F">
        <w:rPr>
          <w:rFonts w:ascii="Arial" w:hAnsi="Arial" w:cs="Arial"/>
          <w:sz w:val="20"/>
        </w:rPr>
        <w:t>The following table details available capital funding over the five-year period:</w:t>
      </w:r>
    </w:p>
    <w:p w14:paraId="68D423A9" w14:textId="77777777" w:rsidR="00CA11D6" w:rsidRPr="00806B7F" w:rsidRDefault="00CA11D6" w:rsidP="00CA11D6">
      <w:pPr>
        <w:jc w:val="both"/>
        <w:rPr>
          <w:rFonts w:ascii="Arial" w:hAnsi="Arial" w:cs="Arial"/>
          <w:sz w:val="20"/>
        </w:rPr>
      </w:pPr>
    </w:p>
    <w:p w14:paraId="2D68FFE2"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8 Summary Capital Funding</w:t>
      </w:r>
    </w:p>
    <w:tbl>
      <w:tblPr>
        <w:tblW w:w="92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60"/>
        <w:gridCol w:w="1118"/>
        <w:gridCol w:w="1119"/>
        <w:gridCol w:w="1118"/>
        <w:gridCol w:w="1118"/>
        <w:gridCol w:w="1119"/>
      </w:tblGrid>
      <w:tr w:rsidR="00CA11D6" w:rsidRPr="00806B7F" w14:paraId="3858298F" w14:textId="77777777" w:rsidTr="00A369A1">
        <w:trPr>
          <w:trHeight w:val="255"/>
        </w:trPr>
        <w:tc>
          <w:tcPr>
            <w:tcW w:w="2410" w:type="dxa"/>
            <w:shd w:val="clear" w:color="auto" w:fill="auto"/>
            <w:noWrap/>
          </w:tcPr>
          <w:p w14:paraId="302D53C0" w14:textId="77777777" w:rsidR="00CA11D6" w:rsidRPr="00806B7F" w:rsidRDefault="00CA11D6" w:rsidP="00A369A1">
            <w:pPr>
              <w:rPr>
                <w:rFonts w:ascii="Arial" w:hAnsi="Arial" w:cs="Arial"/>
                <w:sz w:val="20"/>
              </w:rPr>
            </w:pPr>
            <w:bookmarkStart w:id="1" w:name="_Hlk59458965"/>
          </w:p>
        </w:tc>
        <w:tc>
          <w:tcPr>
            <w:tcW w:w="1260" w:type="dxa"/>
            <w:shd w:val="clear" w:color="auto" w:fill="auto"/>
            <w:noWrap/>
          </w:tcPr>
          <w:p w14:paraId="55F2ADA3"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118" w:type="dxa"/>
            <w:shd w:val="clear" w:color="auto" w:fill="auto"/>
            <w:noWrap/>
          </w:tcPr>
          <w:p w14:paraId="59FC2B97"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119" w:type="dxa"/>
            <w:shd w:val="clear" w:color="auto" w:fill="auto"/>
            <w:noWrap/>
          </w:tcPr>
          <w:p w14:paraId="3A2136D8"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118" w:type="dxa"/>
            <w:shd w:val="clear" w:color="auto" w:fill="auto"/>
            <w:noWrap/>
          </w:tcPr>
          <w:p w14:paraId="2741C108"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118" w:type="dxa"/>
          </w:tcPr>
          <w:p w14:paraId="20970B1A"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c>
          <w:tcPr>
            <w:tcW w:w="1119" w:type="dxa"/>
            <w:shd w:val="clear" w:color="auto" w:fill="auto"/>
            <w:noWrap/>
          </w:tcPr>
          <w:p w14:paraId="5D91AAF4" w14:textId="77777777" w:rsidR="00CA11D6" w:rsidRPr="00806B7F" w:rsidRDefault="00CA11D6" w:rsidP="00A369A1">
            <w:pPr>
              <w:jc w:val="center"/>
              <w:rPr>
                <w:rFonts w:ascii="Arial" w:hAnsi="Arial" w:cs="Arial"/>
                <w:bCs/>
                <w:sz w:val="20"/>
              </w:rPr>
            </w:pPr>
            <w:r w:rsidRPr="00806B7F">
              <w:rPr>
                <w:rFonts w:ascii="Arial" w:hAnsi="Arial" w:cs="Arial"/>
                <w:bCs/>
                <w:sz w:val="20"/>
              </w:rPr>
              <w:t>TOTAL</w:t>
            </w:r>
          </w:p>
        </w:tc>
      </w:tr>
      <w:tr w:rsidR="00CA11D6" w:rsidRPr="00806B7F" w14:paraId="6F435B08" w14:textId="77777777" w:rsidTr="00A369A1">
        <w:trPr>
          <w:trHeight w:val="255"/>
        </w:trPr>
        <w:tc>
          <w:tcPr>
            <w:tcW w:w="2410" w:type="dxa"/>
            <w:shd w:val="clear" w:color="auto" w:fill="auto"/>
            <w:noWrap/>
          </w:tcPr>
          <w:p w14:paraId="293F2167" w14:textId="77777777" w:rsidR="00CA11D6" w:rsidRPr="00806B7F" w:rsidRDefault="00CA11D6" w:rsidP="00A369A1">
            <w:pPr>
              <w:rPr>
                <w:rFonts w:ascii="Arial" w:hAnsi="Arial" w:cs="Arial"/>
                <w:sz w:val="20"/>
              </w:rPr>
            </w:pPr>
          </w:p>
        </w:tc>
        <w:tc>
          <w:tcPr>
            <w:tcW w:w="1260" w:type="dxa"/>
            <w:shd w:val="clear" w:color="auto" w:fill="auto"/>
            <w:noWrap/>
          </w:tcPr>
          <w:p w14:paraId="75F126B6"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shd w:val="clear" w:color="auto" w:fill="auto"/>
            <w:noWrap/>
          </w:tcPr>
          <w:p w14:paraId="3F66FA18"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9" w:type="dxa"/>
            <w:shd w:val="clear" w:color="auto" w:fill="auto"/>
            <w:noWrap/>
          </w:tcPr>
          <w:p w14:paraId="6C954CCC"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shd w:val="clear" w:color="auto" w:fill="auto"/>
            <w:noWrap/>
          </w:tcPr>
          <w:p w14:paraId="36B02565"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8" w:type="dxa"/>
          </w:tcPr>
          <w:p w14:paraId="1E977420"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9" w:type="dxa"/>
            <w:shd w:val="clear" w:color="auto" w:fill="auto"/>
            <w:noWrap/>
          </w:tcPr>
          <w:p w14:paraId="334EC0B3"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54A7D626" w14:textId="77777777" w:rsidTr="00A369A1">
        <w:trPr>
          <w:trHeight w:val="255"/>
        </w:trPr>
        <w:tc>
          <w:tcPr>
            <w:tcW w:w="2410" w:type="dxa"/>
            <w:shd w:val="clear" w:color="auto" w:fill="auto"/>
            <w:noWrap/>
          </w:tcPr>
          <w:p w14:paraId="0608311B" w14:textId="77777777" w:rsidR="00CA11D6" w:rsidRPr="00806B7F" w:rsidRDefault="00CA11D6" w:rsidP="00A369A1">
            <w:pPr>
              <w:rPr>
                <w:rFonts w:ascii="Arial" w:hAnsi="Arial" w:cs="Arial"/>
                <w:sz w:val="20"/>
              </w:rPr>
            </w:pPr>
            <w:r w:rsidRPr="00806B7F">
              <w:rPr>
                <w:rFonts w:ascii="Arial" w:hAnsi="Arial" w:cs="Arial"/>
                <w:sz w:val="20"/>
              </w:rPr>
              <w:t>Capital Grant</w:t>
            </w:r>
          </w:p>
        </w:tc>
        <w:tc>
          <w:tcPr>
            <w:tcW w:w="1260" w:type="dxa"/>
            <w:shd w:val="clear" w:color="auto" w:fill="auto"/>
            <w:noWrap/>
          </w:tcPr>
          <w:p w14:paraId="03507B34"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shd w:val="clear" w:color="auto" w:fill="auto"/>
            <w:noWrap/>
          </w:tcPr>
          <w:p w14:paraId="41933BA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4865481F"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c>
          <w:tcPr>
            <w:tcW w:w="1118" w:type="dxa"/>
            <w:shd w:val="clear" w:color="auto" w:fill="auto"/>
            <w:noWrap/>
          </w:tcPr>
          <w:p w14:paraId="708CA9CC"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tcPr>
          <w:p w14:paraId="5F5ADD7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3BEED681" w14:textId="77777777" w:rsidR="00CA11D6" w:rsidRPr="00806B7F" w:rsidRDefault="00CA11D6" w:rsidP="00A369A1">
            <w:pPr>
              <w:jc w:val="center"/>
              <w:rPr>
                <w:rFonts w:ascii="Arial" w:hAnsi="Arial" w:cs="Arial"/>
                <w:bCs/>
                <w:sz w:val="20"/>
              </w:rPr>
            </w:pPr>
            <w:r w:rsidRPr="00806B7F">
              <w:rPr>
                <w:rFonts w:ascii="Arial" w:hAnsi="Arial" w:cs="Arial"/>
                <w:bCs/>
                <w:sz w:val="20"/>
              </w:rPr>
              <w:t>1.000</w:t>
            </w:r>
          </w:p>
        </w:tc>
      </w:tr>
      <w:tr w:rsidR="00CA11D6" w:rsidRPr="00806B7F" w14:paraId="4CB8507B" w14:textId="77777777" w:rsidTr="00A369A1">
        <w:trPr>
          <w:trHeight w:val="255"/>
        </w:trPr>
        <w:tc>
          <w:tcPr>
            <w:tcW w:w="2410" w:type="dxa"/>
            <w:shd w:val="clear" w:color="auto" w:fill="auto"/>
            <w:noWrap/>
          </w:tcPr>
          <w:p w14:paraId="45CF4DFD" w14:textId="77777777" w:rsidR="00CA11D6" w:rsidRPr="00806B7F" w:rsidRDefault="00CA11D6" w:rsidP="00A369A1">
            <w:pPr>
              <w:rPr>
                <w:rFonts w:ascii="Arial" w:hAnsi="Arial" w:cs="Arial"/>
                <w:sz w:val="20"/>
              </w:rPr>
            </w:pPr>
            <w:r w:rsidRPr="00806B7F">
              <w:rPr>
                <w:rFonts w:ascii="Arial" w:hAnsi="Arial" w:cs="Arial"/>
                <w:sz w:val="20"/>
              </w:rPr>
              <w:t>Capital Receipts</w:t>
            </w:r>
          </w:p>
        </w:tc>
        <w:tc>
          <w:tcPr>
            <w:tcW w:w="1260" w:type="dxa"/>
            <w:shd w:val="clear" w:color="auto" w:fill="auto"/>
            <w:noWrap/>
          </w:tcPr>
          <w:p w14:paraId="3CEFC91D" w14:textId="77777777" w:rsidR="00CA11D6" w:rsidRPr="00806B7F" w:rsidRDefault="00CA11D6" w:rsidP="00A369A1">
            <w:pPr>
              <w:jc w:val="center"/>
              <w:rPr>
                <w:rFonts w:ascii="Arial" w:hAnsi="Arial" w:cs="Arial"/>
                <w:bCs/>
                <w:sz w:val="20"/>
              </w:rPr>
            </w:pPr>
            <w:r w:rsidRPr="00806B7F">
              <w:rPr>
                <w:rFonts w:ascii="Arial" w:hAnsi="Arial" w:cs="Arial"/>
                <w:bCs/>
                <w:sz w:val="20"/>
              </w:rPr>
              <w:t>1.683</w:t>
            </w:r>
          </w:p>
        </w:tc>
        <w:tc>
          <w:tcPr>
            <w:tcW w:w="1118" w:type="dxa"/>
            <w:shd w:val="clear" w:color="auto" w:fill="auto"/>
            <w:noWrap/>
          </w:tcPr>
          <w:p w14:paraId="56032E1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530BBF95"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shd w:val="clear" w:color="auto" w:fill="auto"/>
            <w:noWrap/>
          </w:tcPr>
          <w:p w14:paraId="04C19CCF"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tcPr>
          <w:p w14:paraId="12A97756"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0A53D252" w14:textId="77777777" w:rsidR="00CA11D6" w:rsidRPr="00806B7F" w:rsidRDefault="00CA11D6" w:rsidP="00A369A1">
            <w:pPr>
              <w:jc w:val="center"/>
              <w:rPr>
                <w:rFonts w:ascii="Arial" w:hAnsi="Arial" w:cs="Arial"/>
                <w:bCs/>
                <w:sz w:val="20"/>
              </w:rPr>
            </w:pPr>
            <w:r w:rsidRPr="00806B7F">
              <w:rPr>
                <w:rFonts w:ascii="Arial" w:hAnsi="Arial" w:cs="Arial"/>
                <w:bCs/>
                <w:sz w:val="20"/>
              </w:rPr>
              <w:t>1.683</w:t>
            </w:r>
          </w:p>
        </w:tc>
      </w:tr>
      <w:tr w:rsidR="00CA11D6" w:rsidRPr="00806B7F" w14:paraId="630F2B89" w14:textId="77777777" w:rsidTr="00A369A1">
        <w:trPr>
          <w:trHeight w:val="79"/>
        </w:trPr>
        <w:tc>
          <w:tcPr>
            <w:tcW w:w="2410" w:type="dxa"/>
            <w:shd w:val="clear" w:color="auto" w:fill="auto"/>
            <w:noWrap/>
          </w:tcPr>
          <w:p w14:paraId="55F45D78" w14:textId="77777777" w:rsidR="00CA11D6" w:rsidRPr="00806B7F" w:rsidRDefault="00CA11D6" w:rsidP="00A369A1">
            <w:pPr>
              <w:rPr>
                <w:rFonts w:ascii="Arial" w:hAnsi="Arial" w:cs="Arial"/>
                <w:sz w:val="20"/>
              </w:rPr>
            </w:pPr>
            <w:r w:rsidRPr="00806B7F">
              <w:rPr>
                <w:rFonts w:ascii="Arial" w:hAnsi="Arial" w:cs="Arial"/>
                <w:sz w:val="20"/>
              </w:rPr>
              <w:t>Capital Reserves</w:t>
            </w:r>
          </w:p>
        </w:tc>
        <w:tc>
          <w:tcPr>
            <w:tcW w:w="1260" w:type="dxa"/>
            <w:shd w:val="clear" w:color="auto" w:fill="auto"/>
            <w:noWrap/>
          </w:tcPr>
          <w:p w14:paraId="1AB295D2" w14:textId="77777777" w:rsidR="00CA11D6" w:rsidRPr="00806B7F" w:rsidRDefault="00CA11D6" w:rsidP="00A369A1">
            <w:pPr>
              <w:jc w:val="center"/>
              <w:rPr>
                <w:rFonts w:ascii="Arial" w:hAnsi="Arial" w:cs="Arial"/>
                <w:bCs/>
                <w:sz w:val="20"/>
              </w:rPr>
            </w:pPr>
            <w:r w:rsidRPr="00806B7F">
              <w:rPr>
                <w:rFonts w:ascii="Arial" w:hAnsi="Arial" w:cs="Arial"/>
                <w:bCs/>
                <w:sz w:val="20"/>
              </w:rPr>
              <w:t>4.069</w:t>
            </w:r>
          </w:p>
        </w:tc>
        <w:tc>
          <w:tcPr>
            <w:tcW w:w="1118" w:type="dxa"/>
            <w:shd w:val="clear" w:color="auto" w:fill="auto"/>
            <w:noWrap/>
          </w:tcPr>
          <w:p w14:paraId="502A48DE" w14:textId="77777777" w:rsidR="00CA11D6" w:rsidRPr="00806B7F" w:rsidRDefault="00CA11D6" w:rsidP="00A369A1">
            <w:pPr>
              <w:jc w:val="center"/>
              <w:rPr>
                <w:rFonts w:ascii="Arial" w:hAnsi="Arial" w:cs="Arial"/>
                <w:bCs/>
                <w:sz w:val="20"/>
              </w:rPr>
            </w:pPr>
            <w:r w:rsidRPr="00806B7F">
              <w:rPr>
                <w:rFonts w:ascii="Arial" w:hAnsi="Arial" w:cs="Arial"/>
                <w:bCs/>
                <w:sz w:val="20"/>
              </w:rPr>
              <w:t>6.320</w:t>
            </w:r>
          </w:p>
        </w:tc>
        <w:tc>
          <w:tcPr>
            <w:tcW w:w="1119" w:type="dxa"/>
            <w:shd w:val="clear" w:color="auto" w:fill="auto"/>
            <w:noWrap/>
          </w:tcPr>
          <w:p w14:paraId="013A539B" w14:textId="77777777" w:rsidR="00CA11D6" w:rsidRPr="00806B7F" w:rsidRDefault="00CA11D6" w:rsidP="00A369A1">
            <w:pPr>
              <w:jc w:val="center"/>
              <w:rPr>
                <w:rFonts w:ascii="Arial" w:hAnsi="Arial" w:cs="Arial"/>
                <w:bCs/>
                <w:sz w:val="20"/>
              </w:rPr>
            </w:pPr>
            <w:r w:rsidRPr="00806B7F">
              <w:rPr>
                <w:rFonts w:ascii="Arial" w:hAnsi="Arial" w:cs="Arial"/>
                <w:bCs/>
                <w:sz w:val="20"/>
              </w:rPr>
              <w:t>7.015</w:t>
            </w:r>
          </w:p>
        </w:tc>
        <w:tc>
          <w:tcPr>
            <w:tcW w:w="1118" w:type="dxa"/>
            <w:shd w:val="clear" w:color="auto" w:fill="auto"/>
            <w:noWrap/>
          </w:tcPr>
          <w:p w14:paraId="35A60473" w14:textId="77777777" w:rsidR="00CA11D6" w:rsidRPr="00806B7F" w:rsidRDefault="00CA11D6" w:rsidP="00A369A1">
            <w:pPr>
              <w:jc w:val="center"/>
              <w:rPr>
                <w:rFonts w:ascii="Arial" w:hAnsi="Arial" w:cs="Arial"/>
                <w:bCs/>
                <w:sz w:val="20"/>
              </w:rPr>
            </w:pPr>
            <w:r w:rsidRPr="00806B7F">
              <w:rPr>
                <w:rFonts w:ascii="Arial" w:hAnsi="Arial" w:cs="Arial"/>
                <w:bCs/>
                <w:sz w:val="20"/>
              </w:rPr>
              <w:t>1.197</w:t>
            </w:r>
          </w:p>
        </w:tc>
        <w:tc>
          <w:tcPr>
            <w:tcW w:w="1118" w:type="dxa"/>
          </w:tcPr>
          <w:p w14:paraId="3D0590E3"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199422FE" w14:textId="77777777" w:rsidR="00CA11D6" w:rsidRPr="00806B7F" w:rsidRDefault="00CA11D6" w:rsidP="00A369A1">
            <w:pPr>
              <w:jc w:val="center"/>
              <w:rPr>
                <w:rFonts w:ascii="Arial" w:hAnsi="Arial" w:cs="Arial"/>
                <w:bCs/>
                <w:sz w:val="20"/>
              </w:rPr>
            </w:pPr>
            <w:r w:rsidRPr="00806B7F">
              <w:rPr>
                <w:rFonts w:ascii="Arial" w:hAnsi="Arial" w:cs="Arial"/>
                <w:bCs/>
                <w:sz w:val="20"/>
              </w:rPr>
              <w:t>18.601</w:t>
            </w:r>
          </w:p>
        </w:tc>
      </w:tr>
      <w:tr w:rsidR="00CA11D6" w:rsidRPr="00806B7F" w14:paraId="07BE5F12" w14:textId="77777777" w:rsidTr="00A369A1">
        <w:trPr>
          <w:trHeight w:val="255"/>
        </w:trPr>
        <w:tc>
          <w:tcPr>
            <w:tcW w:w="2410" w:type="dxa"/>
            <w:shd w:val="clear" w:color="auto" w:fill="auto"/>
            <w:noWrap/>
          </w:tcPr>
          <w:p w14:paraId="580608A0" w14:textId="77777777" w:rsidR="00CA11D6" w:rsidRPr="00806B7F" w:rsidRDefault="00CA11D6" w:rsidP="00A369A1">
            <w:pPr>
              <w:rPr>
                <w:rFonts w:ascii="Arial" w:hAnsi="Arial" w:cs="Arial"/>
                <w:sz w:val="20"/>
              </w:rPr>
            </w:pPr>
            <w:r w:rsidRPr="00806B7F">
              <w:rPr>
                <w:rFonts w:ascii="Arial" w:hAnsi="Arial" w:cs="Arial"/>
                <w:sz w:val="20"/>
              </w:rPr>
              <w:t>Earmarked Reserves</w:t>
            </w:r>
          </w:p>
        </w:tc>
        <w:tc>
          <w:tcPr>
            <w:tcW w:w="1260" w:type="dxa"/>
            <w:shd w:val="clear" w:color="auto" w:fill="auto"/>
            <w:noWrap/>
          </w:tcPr>
          <w:p w14:paraId="7A85C481" w14:textId="77777777" w:rsidR="00CA11D6" w:rsidRPr="00806B7F" w:rsidRDefault="00CA11D6" w:rsidP="00A369A1">
            <w:pPr>
              <w:jc w:val="center"/>
              <w:rPr>
                <w:rFonts w:ascii="Arial" w:hAnsi="Arial" w:cs="Arial"/>
                <w:bCs/>
                <w:sz w:val="20"/>
              </w:rPr>
            </w:pPr>
            <w:r w:rsidRPr="00806B7F">
              <w:rPr>
                <w:rFonts w:ascii="Arial" w:hAnsi="Arial" w:cs="Arial"/>
                <w:bCs/>
                <w:sz w:val="20"/>
              </w:rPr>
              <w:t>0.364</w:t>
            </w:r>
          </w:p>
        </w:tc>
        <w:tc>
          <w:tcPr>
            <w:tcW w:w="1118" w:type="dxa"/>
            <w:shd w:val="clear" w:color="auto" w:fill="auto"/>
            <w:noWrap/>
          </w:tcPr>
          <w:p w14:paraId="78D075A8"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703EA457"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shd w:val="clear" w:color="auto" w:fill="auto"/>
            <w:noWrap/>
          </w:tcPr>
          <w:p w14:paraId="2E33969E"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8" w:type="dxa"/>
          </w:tcPr>
          <w:p w14:paraId="0C25EC5D"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9" w:type="dxa"/>
            <w:shd w:val="clear" w:color="auto" w:fill="auto"/>
            <w:noWrap/>
          </w:tcPr>
          <w:p w14:paraId="25E971C5" w14:textId="77777777" w:rsidR="00CA11D6" w:rsidRPr="00806B7F" w:rsidRDefault="00CA11D6" w:rsidP="00A369A1">
            <w:pPr>
              <w:jc w:val="center"/>
              <w:rPr>
                <w:rFonts w:ascii="Arial" w:hAnsi="Arial" w:cs="Arial"/>
                <w:bCs/>
                <w:sz w:val="20"/>
              </w:rPr>
            </w:pPr>
            <w:r w:rsidRPr="00806B7F">
              <w:rPr>
                <w:rFonts w:ascii="Arial" w:hAnsi="Arial" w:cs="Arial"/>
                <w:bCs/>
                <w:sz w:val="20"/>
              </w:rPr>
              <w:t>0.364</w:t>
            </w:r>
          </w:p>
        </w:tc>
      </w:tr>
      <w:tr w:rsidR="00CA11D6" w:rsidRPr="00806B7F" w14:paraId="4FD4E9D1" w14:textId="77777777" w:rsidTr="00A369A1">
        <w:trPr>
          <w:trHeight w:val="255"/>
        </w:trPr>
        <w:tc>
          <w:tcPr>
            <w:tcW w:w="2410" w:type="dxa"/>
            <w:shd w:val="clear" w:color="auto" w:fill="auto"/>
            <w:noWrap/>
          </w:tcPr>
          <w:p w14:paraId="2D51FA79" w14:textId="77777777" w:rsidR="00CA11D6" w:rsidRPr="00806B7F" w:rsidRDefault="00CA11D6" w:rsidP="00A369A1">
            <w:pPr>
              <w:rPr>
                <w:rFonts w:ascii="Arial" w:hAnsi="Arial" w:cs="Arial"/>
                <w:sz w:val="20"/>
              </w:rPr>
            </w:pPr>
            <w:r w:rsidRPr="00806B7F">
              <w:rPr>
                <w:rFonts w:ascii="Arial" w:hAnsi="Arial" w:cs="Arial"/>
                <w:sz w:val="20"/>
              </w:rPr>
              <w:t>Revenue Contributions</w:t>
            </w:r>
          </w:p>
        </w:tc>
        <w:tc>
          <w:tcPr>
            <w:tcW w:w="1260" w:type="dxa"/>
            <w:shd w:val="clear" w:color="auto" w:fill="auto"/>
            <w:noWrap/>
          </w:tcPr>
          <w:p w14:paraId="3D02D1FE"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8" w:type="dxa"/>
            <w:shd w:val="clear" w:color="auto" w:fill="auto"/>
            <w:noWrap/>
          </w:tcPr>
          <w:p w14:paraId="303ED58A"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9" w:type="dxa"/>
            <w:shd w:val="clear" w:color="auto" w:fill="auto"/>
            <w:noWrap/>
          </w:tcPr>
          <w:p w14:paraId="7592E7EB"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8" w:type="dxa"/>
            <w:shd w:val="clear" w:color="auto" w:fill="auto"/>
            <w:noWrap/>
          </w:tcPr>
          <w:p w14:paraId="1FD82BF1"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8" w:type="dxa"/>
          </w:tcPr>
          <w:p w14:paraId="431A82E9"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9" w:type="dxa"/>
            <w:shd w:val="clear" w:color="auto" w:fill="auto"/>
            <w:noWrap/>
          </w:tcPr>
          <w:p w14:paraId="6B1CED9F" w14:textId="77777777" w:rsidR="00CA11D6" w:rsidRPr="00806B7F" w:rsidRDefault="00CA11D6" w:rsidP="00A369A1">
            <w:pPr>
              <w:jc w:val="center"/>
              <w:rPr>
                <w:rFonts w:ascii="Arial" w:hAnsi="Arial" w:cs="Arial"/>
                <w:bCs/>
                <w:sz w:val="20"/>
              </w:rPr>
            </w:pPr>
            <w:r w:rsidRPr="00806B7F">
              <w:rPr>
                <w:rFonts w:ascii="Arial" w:hAnsi="Arial" w:cs="Arial"/>
                <w:bCs/>
                <w:sz w:val="20"/>
              </w:rPr>
              <w:t>20.000</w:t>
            </w:r>
          </w:p>
        </w:tc>
      </w:tr>
      <w:tr w:rsidR="00CA11D6" w:rsidRPr="00806B7F" w14:paraId="61952D40" w14:textId="77777777" w:rsidTr="00A369A1">
        <w:trPr>
          <w:trHeight w:val="270"/>
        </w:trPr>
        <w:tc>
          <w:tcPr>
            <w:tcW w:w="2410" w:type="dxa"/>
            <w:shd w:val="clear" w:color="auto" w:fill="auto"/>
            <w:noWrap/>
          </w:tcPr>
          <w:p w14:paraId="361AD6E9" w14:textId="77777777" w:rsidR="00CA11D6" w:rsidRPr="00806B7F" w:rsidRDefault="00CA11D6" w:rsidP="00A369A1">
            <w:pPr>
              <w:rPr>
                <w:rFonts w:ascii="Arial" w:hAnsi="Arial" w:cs="Arial"/>
                <w:sz w:val="20"/>
              </w:rPr>
            </w:pPr>
          </w:p>
        </w:tc>
        <w:tc>
          <w:tcPr>
            <w:tcW w:w="1260" w:type="dxa"/>
            <w:shd w:val="clear" w:color="auto" w:fill="auto"/>
            <w:noWrap/>
          </w:tcPr>
          <w:p w14:paraId="3EB37645" w14:textId="77777777" w:rsidR="00CA11D6" w:rsidRPr="00806B7F" w:rsidRDefault="00CA11D6" w:rsidP="00A369A1">
            <w:pPr>
              <w:jc w:val="center"/>
              <w:rPr>
                <w:rFonts w:ascii="Arial" w:hAnsi="Arial" w:cs="Arial"/>
                <w:bCs/>
                <w:sz w:val="20"/>
              </w:rPr>
            </w:pPr>
            <w:r w:rsidRPr="00806B7F">
              <w:rPr>
                <w:rFonts w:ascii="Arial" w:hAnsi="Arial" w:cs="Arial"/>
                <w:bCs/>
                <w:sz w:val="20"/>
              </w:rPr>
              <w:t>10.116</w:t>
            </w:r>
          </w:p>
        </w:tc>
        <w:tc>
          <w:tcPr>
            <w:tcW w:w="1118" w:type="dxa"/>
            <w:shd w:val="clear" w:color="auto" w:fill="auto"/>
            <w:noWrap/>
          </w:tcPr>
          <w:p w14:paraId="05CD15CD" w14:textId="77777777" w:rsidR="00CA11D6" w:rsidRPr="00806B7F" w:rsidRDefault="00CA11D6" w:rsidP="00A369A1">
            <w:pPr>
              <w:jc w:val="center"/>
              <w:rPr>
                <w:rFonts w:ascii="Arial" w:hAnsi="Arial" w:cs="Arial"/>
                <w:bCs/>
                <w:sz w:val="20"/>
              </w:rPr>
            </w:pPr>
            <w:r w:rsidRPr="00806B7F">
              <w:rPr>
                <w:rFonts w:ascii="Arial" w:hAnsi="Arial" w:cs="Arial"/>
                <w:bCs/>
                <w:sz w:val="20"/>
              </w:rPr>
              <w:t>10.320</w:t>
            </w:r>
          </w:p>
        </w:tc>
        <w:tc>
          <w:tcPr>
            <w:tcW w:w="1119" w:type="dxa"/>
            <w:shd w:val="clear" w:color="auto" w:fill="auto"/>
            <w:noWrap/>
          </w:tcPr>
          <w:p w14:paraId="27CA200F" w14:textId="77777777" w:rsidR="00CA11D6" w:rsidRPr="00806B7F" w:rsidRDefault="00CA11D6" w:rsidP="00A369A1">
            <w:pPr>
              <w:jc w:val="center"/>
              <w:rPr>
                <w:rFonts w:ascii="Arial" w:hAnsi="Arial" w:cs="Arial"/>
                <w:bCs/>
                <w:sz w:val="20"/>
              </w:rPr>
            </w:pPr>
            <w:r w:rsidRPr="00806B7F">
              <w:rPr>
                <w:rFonts w:ascii="Arial" w:hAnsi="Arial" w:cs="Arial"/>
                <w:bCs/>
                <w:sz w:val="20"/>
              </w:rPr>
              <w:t>12.015</w:t>
            </w:r>
          </w:p>
        </w:tc>
        <w:tc>
          <w:tcPr>
            <w:tcW w:w="1118" w:type="dxa"/>
            <w:shd w:val="clear" w:color="auto" w:fill="auto"/>
            <w:noWrap/>
          </w:tcPr>
          <w:p w14:paraId="103C96F9" w14:textId="77777777" w:rsidR="00CA11D6" w:rsidRPr="00806B7F" w:rsidRDefault="00CA11D6" w:rsidP="00A369A1">
            <w:pPr>
              <w:jc w:val="center"/>
              <w:rPr>
                <w:rFonts w:ascii="Arial" w:hAnsi="Arial" w:cs="Arial"/>
                <w:bCs/>
                <w:sz w:val="20"/>
              </w:rPr>
            </w:pPr>
            <w:r w:rsidRPr="00806B7F">
              <w:rPr>
                <w:rFonts w:ascii="Arial" w:hAnsi="Arial" w:cs="Arial"/>
                <w:bCs/>
                <w:sz w:val="20"/>
              </w:rPr>
              <w:t>5.197</w:t>
            </w:r>
          </w:p>
        </w:tc>
        <w:tc>
          <w:tcPr>
            <w:tcW w:w="1118" w:type="dxa"/>
          </w:tcPr>
          <w:p w14:paraId="7F7898C8" w14:textId="77777777" w:rsidR="00CA11D6" w:rsidRPr="00806B7F" w:rsidRDefault="00CA11D6" w:rsidP="00A369A1">
            <w:pPr>
              <w:jc w:val="center"/>
              <w:rPr>
                <w:rFonts w:ascii="Arial" w:hAnsi="Arial" w:cs="Arial"/>
                <w:bCs/>
                <w:sz w:val="20"/>
              </w:rPr>
            </w:pPr>
            <w:r w:rsidRPr="00806B7F">
              <w:rPr>
                <w:rFonts w:ascii="Arial" w:hAnsi="Arial" w:cs="Arial"/>
                <w:bCs/>
                <w:sz w:val="20"/>
              </w:rPr>
              <w:t>4.000</w:t>
            </w:r>
          </w:p>
        </w:tc>
        <w:tc>
          <w:tcPr>
            <w:tcW w:w="1119" w:type="dxa"/>
            <w:shd w:val="clear" w:color="auto" w:fill="auto"/>
            <w:noWrap/>
          </w:tcPr>
          <w:p w14:paraId="508A380D" w14:textId="77777777" w:rsidR="00CA11D6" w:rsidRPr="00806B7F" w:rsidRDefault="00CA11D6" w:rsidP="00A369A1">
            <w:pPr>
              <w:jc w:val="center"/>
              <w:rPr>
                <w:rFonts w:ascii="Arial" w:hAnsi="Arial" w:cs="Arial"/>
                <w:bCs/>
                <w:sz w:val="20"/>
              </w:rPr>
            </w:pPr>
            <w:r w:rsidRPr="00806B7F">
              <w:rPr>
                <w:rFonts w:ascii="Arial" w:hAnsi="Arial" w:cs="Arial"/>
                <w:bCs/>
                <w:sz w:val="20"/>
              </w:rPr>
              <w:t>41.648</w:t>
            </w:r>
          </w:p>
        </w:tc>
      </w:tr>
      <w:bookmarkEnd w:id="1"/>
    </w:tbl>
    <w:p w14:paraId="32F5EAFC" w14:textId="77777777" w:rsidR="00CA11D6" w:rsidRPr="00806B7F" w:rsidRDefault="00CA11D6" w:rsidP="00CA11D6">
      <w:pPr>
        <w:jc w:val="both"/>
        <w:rPr>
          <w:rFonts w:ascii="Arial" w:hAnsi="Arial" w:cs="Arial"/>
          <w:b/>
          <w:sz w:val="20"/>
        </w:rPr>
      </w:pPr>
    </w:p>
    <w:p w14:paraId="1F448D41" w14:textId="77777777" w:rsidR="00CA11D6" w:rsidRPr="00806B7F" w:rsidRDefault="00CA11D6" w:rsidP="00CA11D6">
      <w:pPr>
        <w:jc w:val="both"/>
        <w:rPr>
          <w:rFonts w:ascii="Arial" w:hAnsi="Arial" w:cs="Arial"/>
          <w:b/>
          <w:sz w:val="20"/>
        </w:rPr>
      </w:pPr>
      <w:r w:rsidRPr="00806B7F">
        <w:rPr>
          <w:rFonts w:ascii="Arial" w:hAnsi="Arial" w:cs="Arial"/>
          <w:b/>
          <w:sz w:val="20"/>
        </w:rPr>
        <w:t>Summary Programme</w:t>
      </w:r>
    </w:p>
    <w:p w14:paraId="23EBC9F0" w14:textId="77777777" w:rsidR="00CA11D6" w:rsidRPr="00806B7F" w:rsidRDefault="00CA11D6" w:rsidP="00CA11D6">
      <w:pPr>
        <w:jc w:val="both"/>
        <w:rPr>
          <w:rFonts w:ascii="Arial" w:hAnsi="Arial" w:cs="Arial"/>
          <w:sz w:val="20"/>
        </w:rPr>
      </w:pPr>
    </w:p>
    <w:p w14:paraId="27AEAF11" w14:textId="77777777" w:rsidR="00CA11D6" w:rsidRPr="00806B7F" w:rsidRDefault="00CA11D6" w:rsidP="00CA11D6">
      <w:pPr>
        <w:jc w:val="both"/>
        <w:rPr>
          <w:rFonts w:ascii="Arial" w:hAnsi="Arial" w:cs="Arial"/>
          <w:sz w:val="20"/>
        </w:rPr>
      </w:pPr>
      <w:r w:rsidRPr="00806B7F">
        <w:rPr>
          <w:rFonts w:ascii="Arial" w:hAnsi="Arial" w:cs="Arial"/>
          <w:sz w:val="20"/>
        </w:rPr>
        <w:t>Based on the draft capital programme as presented we have a shortfall of £13.6m:</w:t>
      </w:r>
    </w:p>
    <w:p w14:paraId="737EDF76" w14:textId="77777777" w:rsidR="00CA11D6" w:rsidRPr="00806B7F" w:rsidRDefault="00CA11D6" w:rsidP="00CA11D6">
      <w:pPr>
        <w:jc w:val="both"/>
        <w:rPr>
          <w:rFonts w:ascii="Arial" w:hAnsi="Arial" w:cs="Arial"/>
          <w:sz w:val="20"/>
        </w:rPr>
      </w:pPr>
    </w:p>
    <w:p w14:paraId="654FAC39"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9 Summary Capital Requirements and Funding Available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52"/>
        <w:gridCol w:w="1110"/>
        <w:gridCol w:w="1111"/>
        <w:gridCol w:w="1110"/>
        <w:gridCol w:w="1110"/>
        <w:gridCol w:w="1111"/>
      </w:tblGrid>
      <w:tr w:rsidR="00CA11D6" w:rsidRPr="00806B7F" w14:paraId="586C9A83" w14:textId="77777777" w:rsidTr="00A369A1">
        <w:tc>
          <w:tcPr>
            <w:tcW w:w="2410" w:type="dxa"/>
            <w:shd w:val="clear" w:color="auto" w:fill="auto"/>
          </w:tcPr>
          <w:p w14:paraId="3C8EF860" w14:textId="77777777" w:rsidR="00CA11D6" w:rsidRPr="00806B7F" w:rsidRDefault="00CA11D6" w:rsidP="00A369A1">
            <w:pPr>
              <w:jc w:val="both"/>
              <w:rPr>
                <w:rFonts w:ascii="Arial" w:hAnsi="Arial" w:cs="Arial"/>
                <w:sz w:val="20"/>
              </w:rPr>
            </w:pPr>
          </w:p>
        </w:tc>
        <w:tc>
          <w:tcPr>
            <w:tcW w:w="1252" w:type="dxa"/>
            <w:shd w:val="clear" w:color="auto" w:fill="auto"/>
          </w:tcPr>
          <w:p w14:paraId="53DB4368" w14:textId="77777777" w:rsidR="00CA11D6" w:rsidRPr="00806B7F" w:rsidRDefault="00CA11D6" w:rsidP="00A369A1">
            <w:pPr>
              <w:jc w:val="center"/>
              <w:rPr>
                <w:rFonts w:ascii="Arial" w:hAnsi="Arial" w:cs="Arial"/>
                <w:bCs/>
                <w:sz w:val="20"/>
              </w:rPr>
            </w:pPr>
            <w:r w:rsidRPr="00806B7F">
              <w:rPr>
                <w:rFonts w:ascii="Arial" w:hAnsi="Arial" w:cs="Arial"/>
                <w:bCs/>
                <w:sz w:val="20"/>
              </w:rPr>
              <w:t>2023/24</w:t>
            </w:r>
          </w:p>
        </w:tc>
        <w:tc>
          <w:tcPr>
            <w:tcW w:w="1110" w:type="dxa"/>
            <w:shd w:val="clear" w:color="auto" w:fill="auto"/>
          </w:tcPr>
          <w:p w14:paraId="1DB5C007" w14:textId="77777777" w:rsidR="00CA11D6" w:rsidRPr="00806B7F" w:rsidRDefault="00CA11D6" w:rsidP="00A369A1">
            <w:pPr>
              <w:jc w:val="center"/>
              <w:rPr>
                <w:rFonts w:ascii="Arial" w:hAnsi="Arial" w:cs="Arial"/>
                <w:bCs/>
                <w:sz w:val="20"/>
              </w:rPr>
            </w:pPr>
            <w:r w:rsidRPr="00806B7F">
              <w:rPr>
                <w:rFonts w:ascii="Arial" w:hAnsi="Arial" w:cs="Arial"/>
                <w:bCs/>
                <w:sz w:val="20"/>
              </w:rPr>
              <w:t>2024/25</w:t>
            </w:r>
          </w:p>
        </w:tc>
        <w:tc>
          <w:tcPr>
            <w:tcW w:w="1111" w:type="dxa"/>
            <w:shd w:val="clear" w:color="auto" w:fill="auto"/>
          </w:tcPr>
          <w:p w14:paraId="60949ED0" w14:textId="77777777" w:rsidR="00CA11D6" w:rsidRPr="00806B7F" w:rsidRDefault="00CA11D6" w:rsidP="00A369A1">
            <w:pPr>
              <w:jc w:val="center"/>
              <w:rPr>
                <w:rFonts w:ascii="Arial" w:hAnsi="Arial" w:cs="Arial"/>
                <w:bCs/>
                <w:sz w:val="20"/>
              </w:rPr>
            </w:pPr>
            <w:r w:rsidRPr="00806B7F">
              <w:rPr>
                <w:rFonts w:ascii="Arial" w:hAnsi="Arial" w:cs="Arial"/>
                <w:bCs/>
                <w:sz w:val="20"/>
              </w:rPr>
              <w:t>2025/26</w:t>
            </w:r>
          </w:p>
        </w:tc>
        <w:tc>
          <w:tcPr>
            <w:tcW w:w="1110" w:type="dxa"/>
            <w:shd w:val="clear" w:color="auto" w:fill="auto"/>
          </w:tcPr>
          <w:p w14:paraId="409D7C56" w14:textId="77777777" w:rsidR="00CA11D6" w:rsidRPr="00806B7F" w:rsidRDefault="00CA11D6" w:rsidP="00A369A1">
            <w:pPr>
              <w:jc w:val="center"/>
              <w:rPr>
                <w:rFonts w:ascii="Arial" w:hAnsi="Arial" w:cs="Arial"/>
                <w:bCs/>
                <w:sz w:val="20"/>
              </w:rPr>
            </w:pPr>
            <w:r w:rsidRPr="00806B7F">
              <w:rPr>
                <w:rFonts w:ascii="Arial" w:hAnsi="Arial" w:cs="Arial"/>
                <w:bCs/>
                <w:sz w:val="20"/>
              </w:rPr>
              <w:t>2026/27</w:t>
            </w:r>
          </w:p>
        </w:tc>
        <w:tc>
          <w:tcPr>
            <w:tcW w:w="1110" w:type="dxa"/>
            <w:shd w:val="clear" w:color="auto" w:fill="auto"/>
          </w:tcPr>
          <w:p w14:paraId="74B7C2DC" w14:textId="77777777" w:rsidR="00CA11D6" w:rsidRPr="00806B7F" w:rsidRDefault="00CA11D6" w:rsidP="00A369A1">
            <w:pPr>
              <w:jc w:val="center"/>
              <w:rPr>
                <w:rFonts w:ascii="Arial" w:hAnsi="Arial" w:cs="Arial"/>
                <w:bCs/>
                <w:sz w:val="20"/>
              </w:rPr>
            </w:pPr>
            <w:r w:rsidRPr="00806B7F">
              <w:rPr>
                <w:rFonts w:ascii="Arial" w:hAnsi="Arial" w:cs="Arial"/>
                <w:bCs/>
                <w:sz w:val="20"/>
              </w:rPr>
              <w:t>2027/28</w:t>
            </w:r>
          </w:p>
        </w:tc>
        <w:tc>
          <w:tcPr>
            <w:tcW w:w="1111" w:type="dxa"/>
            <w:shd w:val="clear" w:color="auto" w:fill="auto"/>
          </w:tcPr>
          <w:p w14:paraId="48BB6709" w14:textId="77777777" w:rsidR="00CA11D6" w:rsidRPr="00806B7F" w:rsidRDefault="00CA11D6" w:rsidP="00A369A1">
            <w:pPr>
              <w:jc w:val="center"/>
              <w:rPr>
                <w:rFonts w:ascii="Arial" w:hAnsi="Arial" w:cs="Arial"/>
                <w:bCs/>
                <w:sz w:val="20"/>
              </w:rPr>
            </w:pPr>
            <w:r w:rsidRPr="00806B7F">
              <w:rPr>
                <w:rFonts w:ascii="Arial" w:hAnsi="Arial" w:cs="Arial"/>
                <w:bCs/>
                <w:sz w:val="20"/>
              </w:rPr>
              <w:t>TOTAL</w:t>
            </w:r>
          </w:p>
        </w:tc>
      </w:tr>
      <w:tr w:rsidR="00CA11D6" w:rsidRPr="00806B7F" w14:paraId="7D64CDC1" w14:textId="77777777" w:rsidTr="00A369A1">
        <w:tc>
          <w:tcPr>
            <w:tcW w:w="2410" w:type="dxa"/>
            <w:shd w:val="clear" w:color="auto" w:fill="auto"/>
          </w:tcPr>
          <w:p w14:paraId="5970700D" w14:textId="77777777" w:rsidR="00CA11D6" w:rsidRPr="00806B7F" w:rsidRDefault="00CA11D6" w:rsidP="00A369A1">
            <w:pPr>
              <w:jc w:val="both"/>
              <w:rPr>
                <w:rFonts w:ascii="Arial" w:hAnsi="Arial" w:cs="Arial"/>
                <w:sz w:val="20"/>
              </w:rPr>
            </w:pPr>
          </w:p>
        </w:tc>
        <w:tc>
          <w:tcPr>
            <w:tcW w:w="1252" w:type="dxa"/>
            <w:shd w:val="clear" w:color="auto" w:fill="auto"/>
          </w:tcPr>
          <w:p w14:paraId="4987821B"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0" w:type="dxa"/>
            <w:shd w:val="clear" w:color="auto" w:fill="auto"/>
          </w:tcPr>
          <w:p w14:paraId="6E972869"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1" w:type="dxa"/>
            <w:shd w:val="clear" w:color="auto" w:fill="auto"/>
          </w:tcPr>
          <w:p w14:paraId="37F645D9"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0" w:type="dxa"/>
            <w:shd w:val="clear" w:color="auto" w:fill="auto"/>
          </w:tcPr>
          <w:p w14:paraId="7DE2597D"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0" w:type="dxa"/>
            <w:shd w:val="clear" w:color="auto" w:fill="auto"/>
          </w:tcPr>
          <w:p w14:paraId="6F90116F"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c>
          <w:tcPr>
            <w:tcW w:w="1111" w:type="dxa"/>
            <w:shd w:val="clear" w:color="auto" w:fill="auto"/>
          </w:tcPr>
          <w:p w14:paraId="04F9C770" w14:textId="77777777" w:rsidR="00CA11D6" w:rsidRPr="00806B7F" w:rsidRDefault="00CA11D6" w:rsidP="00A369A1">
            <w:pPr>
              <w:jc w:val="center"/>
              <w:rPr>
                <w:rFonts w:ascii="Arial" w:hAnsi="Arial" w:cs="Arial"/>
                <w:bCs/>
                <w:sz w:val="20"/>
              </w:rPr>
            </w:pPr>
            <w:r w:rsidRPr="00806B7F">
              <w:rPr>
                <w:rFonts w:ascii="Arial" w:hAnsi="Arial" w:cs="Arial"/>
                <w:bCs/>
                <w:sz w:val="20"/>
              </w:rPr>
              <w:t>£m</w:t>
            </w:r>
          </w:p>
        </w:tc>
      </w:tr>
      <w:tr w:rsidR="00CA11D6" w:rsidRPr="00806B7F" w14:paraId="7C29F45A" w14:textId="77777777" w:rsidTr="00A369A1">
        <w:tc>
          <w:tcPr>
            <w:tcW w:w="2410" w:type="dxa"/>
            <w:shd w:val="clear" w:color="auto" w:fill="auto"/>
          </w:tcPr>
          <w:p w14:paraId="1F365C8D" w14:textId="77777777" w:rsidR="00CA11D6" w:rsidRPr="00806B7F" w:rsidRDefault="00CA11D6" w:rsidP="00A369A1">
            <w:pPr>
              <w:jc w:val="both"/>
              <w:rPr>
                <w:rFonts w:ascii="Arial" w:hAnsi="Arial" w:cs="Arial"/>
                <w:sz w:val="20"/>
              </w:rPr>
            </w:pPr>
            <w:r w:rsidRPr="00806B7F">
              <w:rPr>
                <w:rFonts w:ascii="Arial" w:hAnsi="Arial" w:cs="Arial"/>
                <w:sz w:val="20"/>
              </w:rPr>
              <w:t>Capital Requirements</w:t>
            </w:r>
          </w:p>
        </w:tc>
        <w:tc>
          <w:tcPr>
            <w:tcW w:w="1252" w:type="dxa"/>
            <w:shd w:val="clear" w:color="auto" w:fill="auto"/>
          </w:tcPr>
          <w:p w14:paraId="03895562"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10.116</w:t>
            </w:r>
          </w:p>
        </w:tc>
        <w:tc>
          <w:tcPr>
            <w:tcW w:w="1110" w:type="dxa"/>
            <w:shd w:val="clear" w:color="auto" w:fill="auto"/>
          </w:tcPr>
          <w:p w14:paraId="469D4101"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10.320</w:t>
            </w:r>
          </w:p>
        </w:tc>
        <w:tc>
          <w:tcPr>
            <w:tcW w:w="1111" w:type="dxa"/>
            <w:shd w:val="clear" w:color="auto" w:fill="auto"/>
          </w:tcPr>
          <w:p w14:paraId="19D3AA3E"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12.015</w:t>
            </w:r>
          </w:p>
        </w:tc>
        <w:tc>
          <w:tcPr>
            <w:tcW w:w="1110" w:type="dxa"/>
            <w:shd w:val="clear" w:color="auto" w:fill="auto"/>
          </w:tcPr>
          <w:p w14:paraId="6836CF0F"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11.082</w:t>
            </w:r>
          </w:p>
        </w:tc>
        <w:tc>
          <w:tcPr>
            <w:tcW w:w="1110" w:type="dxa"/>
            <w:shd w:val="clear" w:color="auto" w:fill="auto"/>
          </w:tcPr>
          <w:p w14:paraId="19B257AE"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11.764</w:t>
            </w:r>
          </w:p>
        </w:tc>
        <w:tc>
          <w:tcPr>
            <w:tcW w:w="1111" w:type="dxa"/>
            <w:shd w:val="clear" w:color="auto" w:fill="auto"/>
          </w:tcPr>
          <w:p w14:paraId="69DA70E5" w14:textId="77777777" w:rsidR="00CA11D6" w:rsidRPr="00806B7F" w:rsidRDefault="00CA11D6" w:rsidP="00A369A1">
            <w:pPr>
              <w:jc w:val="center"/>
              <w:rPr>
                <w:rFonts w:ascii="Arial" w:hAnsi="Arial" w:cs="Arial"/>
                <w:bCs/>
                <w:sz w:val="20"/>
              </w:rPr>
            </w:pPr>
            <w:r w:rsidRPr="00806B7F">
              <w:rPr>
                <w:rFonts w:ascii="Arial" w:hAnsi="Arial" w:cs="Arial"/>
                <w:bCs/>
                <w:sz w:val="20"/>
              </w:rPr>
              <w:t>55.297</w:t>
            </w:r>
          </w:p>
        </w:tc>
      </w:tr>
      <w:tr w:rsidR="00CA11D6" w:rsidRPr="00806B7F" w14:paraId="6601EF1A" w14:textId="77777777" w:rsidTr="00A369A1">
        <w:tc>
          <w:tcPr>
            <w:tcW w:w="2410" w:type="dxa"/>
            <w:shd w:val="clear" w:color="auto" w:fill="auto"/>
          </w:tcPr>
          <w:p w14:paraId="709027DD" w14:textId="77777777" w:rsidR="00CA11D6" w:rsidRPr="00806B7F" w:rsidRDefault="00CA11D6" w:rsidP="00A369A1">
            <w:pPr>
              <w:jc w:val="both"/>
              <w:rPr>
                <w:rFonts w:ascii="Arial" w:hAnsi="Arial" w:cs="Arial"/>
                <w:sz w:val="20"/>
              </w:rPr>
            </w:pPr>
            <w:r w:rsidRPr="00806B7F">
              <w:rPr>
                <w:rFonts w:ascii="Arial" w:hAnsi="Arial" w:cs="Arial"/>
                <w:sz w:val="20"/>
              </w:rPr>
              <w:t>Capital Funding</w:t>
            </w:r>
          </w:p>
        </w:tc>
        <w:tc>
          <w:tcPr>
            <w:tcW w:w="1252" w:type="dxa"/>
            <w:shd w:val="clear" w:color="auto" w:fill="auto"/>
          </w:tcPr>
          <w:p w14:paraId="65563D33"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10.116</w:t>
            </w:r>
          </w:p>
        </w:tc>
        <w:tc>
          <w:tcPr>
            <w:tcW w:w="1110" w:type="dxa"/>
            <w:shd w:val="clear" w:color="auto" w:fill="auto"/>
          </w:tcPr>
          <w:p w14:paraId="3876A75E"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10.320</w:t>
            </w:r>
          </w:p>
        </w:tc>
        <w:tc>
          <w:tcPr>
            <w:tcW w:w="1111" w:type="dxa"/>
            <w:shd w:val="clear" w:color="auto" w:fill="auto"/>
          </w:tcPr>
          <w:p w14:paraId="3AFF92D2"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12.015</w:t>
            </w:r>
          </w:p>
        </w:tc>
        <w:tc>
          <w:tcPr>
            <w:tcW w:w="1110" w:type="dxa"/>
            <w:shd w:val="clear" w:color="auto" w:fill="auto"/>
          </w:tcPr>
          <w:p w14:paraId="79B05BAD"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5.197</w:t>
            </w:r>
          </w:p>
        </w:tc>
        <w:tc>
          <w:tcPr>
            <w:tcW w:w="1110" w:type="dxa"/>
            <w:shd w:val="clear" w:color="auto" w:fill="auto"/>
          </w:tcPr>
          <w:p w14:paraId="7DB9F06F"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4.000</w:t>
            </w:r>
          </w:p>
        </w:tc>
        <w:tc>
          <w:tcPr>
            <w:tcW w:w="1111" w:type="dxa"/>
            <w:shd w:val="clear" w:color="auto" w:fill="auto"/>
          </w:tcPr>
          <w:p w14:paraId="6149C470" w14:textId="77777777" w:rsidR="00CA11D6" w:rsidRPr="00806B7F" w:rsidRDefault="00CA11D6" w:rsidP="00A369A1">
            <w:pPr>
              <w:jc w:val="center"/>
              <w:rPr>
                <w:rFonts w:ascii="Arial" w:hAnsi="Arial" w:cs="Arial"/>
                <w:bCs/>
                <w:sz w:val="20"/>
                <w:u w:val="single"/>
              </w:rPr>
            </w:pPr>
            <w:r w:rsidRPr="00806B7F">
              <w:rPr>
                <w:rFonts w:ascii="Arial" w:hAnsi="Arial" w:cs="Arial"/>
                <w:bCs/>
                <w:sz w:val="20"/>
              </w:rPr>
              <w:t>41.648</w:t>
            </w:r>
          </w:p>
        </w:tc>
      </w:tr>
      <w:tr w:rsidR="00CA11D6" w:rsidRPr="00806B7F" w14:paraId="0F9607AA" w14:textId="77777777" w:rsidTr="00A369A1">
        <w:tc>
          <w:tcPr>
            <w:tcW w:w="2410" w:type="dxa"/>
            <w:shd w:val="clear" w:color="auto" w:fill="auto"/>
          </w:tcPr>
          <w:p w14:paraId="733EA04B" w14:textId="77777777" w:rsidR="00CA11D6" w:rsidRPr="00806B7F" w:rsidRDefault="00CA11D6" w:rsidP="00A369A1">
            <w:pPr>
              <w:jc w:val="both"/>
              <w:rPr>
                <w:rFonts w:ascii="Arial" w:hAnsi="Arial" w:cs="Arial"/>
                <w:b/>
                <w:sz w:val="20"/>
              </w:rPr>
            </w:pPr>
            <w:r w:rsidRPr="00806B7F">
              <w:rPr>
                <w:rFonts w:ascii="Arial" w:hAnsi="Arial" w:cs="Arial"/>
                <w:b/>
                <w:sz w:val="20"/>
              </w:rPr>
              <w:t>Surplus/(Shortfall)</w:t>
            </w:r>
          </w:p>
        </w:tc>
        <w:tc>
          <w:tcPr>
            <w:tcW w:w="1252" w:type="dxa"/>
            <w:shd w:val="clear" w:color="auto" w:fill="auto"/>
          </w:tcPr>
          <w:p w14:paraId="4498540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0" w:type="dxa"/>
            <w:shd w:val="clear" w:color="auto" w:fill="auto"/>
          </w:tcPr>
          <w:p w14:paraId="22DBA6D2"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1" w:type="dxa"/>
            <w:shd w:val="clear" w:color="auto" w:fill="auto"/>
          </w:tcPr>
          <w:p w14:paraId="5F9B94D0" w14:textId="77777777" w:rsidR="00CA11D6" w:rsidRPr="00806B7F" w:rsidRDefault="00CA11D6" w:rsidP="00A369A1">
            <w:pPr>
              <w:jc w:val="center"/>
              <w:rPr>
                <w:rFonts w:ascii="Arial" w:hAnsi="Arial" w:cs="Arial"/>
                <w:bCs/>
                <w:sz w:val="20"/>
              </w:rPr>
            </w:pPr>
            <w:r w:rsidRPr="00806B7F">
              <w:rPr>
                <w:rFonts w:ascii="Arial" w:hAnsi="Arial" w:cs="Arial"/>
                <w:bCs/>
                <w:sz w:val="20"/>
              </w:rPr>
              <w:t>-</w:t>
            </w:r>
          </w:p>
        </w:tc>
        <w:tc>
          <w:tcPr>
            <w:tcW w:w="1110" w:type="dxa"/>
            <w:shd w:val="clear" w:color="auto" w:fill="auto"/>
          </w:tcPr>
          <w:p w14:paraId="6EA8D730" w14:textId="77777777" w:rsidR="00CA11D6" w:rsidRPr="00806B7F" w:rsidRDefault="00CA11D6" w:rsidP="00A369A1">
            <w:pPr>
              <w:jc w:val="center"/>
              <w:rPr>
                <w:rFonts w:ascii="Arial" w:hAnsi="Arial" w:cs="Arial"/>
                <w:bCs/>
                <w:sz w:val="20"/>
              </w:rPr>
            </w:pPr>
            <w:r w:rsidRPr="00806B7F">
              <w:rPr>
                <w:rFonts w:ascii="Arial" w:hAnsi="Arial" w:cs="Arial"/>
                <w:bCs/>
                <w:sz w:val="20"/>
              </w:rPr>
              <w:t>(5.885)</w:t>
            </w:r>
          </w:p>
        </w:tc>
        <w:tc>
          <w:tcPr>
            <w:tcW w:w="1110" w:type="dxa"/>
            <w:shd w:val="clear" w:color="auto" w:fill="auto"/>
          </w:tcPr>
          <w:p w14:paraId="5E542E4B" w14:textId="77777777" w:rsidR="00CA11D6" w:rsidRPr="00806B7F" w:rsidRDefault="00CA11D6" w:rsidP="00A369A1">
            <w:pPr>
              <w:jc w:val="center"/>
              <w:rPr>
                <w:rFonts w:ascii="Arial" w:hAnsi="Arial" w:cs="Arial"/>
                <w:bCs/>
                <w:sz w:val="20"/>
              </w:rPr>
            </w:pPr>
            <w:r w:rsidRPr="00806B7F">
              <w:rPr>
                <w:rFonts w:ascii="Arial" w:hAnsi="Arial" w:cs="Arial"/>
                <w:bCs/>
                <w:sz w:val="20"/>
              </w:rPr>
              <w:t>(7.764)</w:t>
            </w:r>
          </w:p>
        </w:tc>
        <w:tc>
          <w:tcPr>
            <w:tcW w:w="1111" w:type="dxa"/>
            <w:shd w:val="clear" w:color="auto" w:fill="auto"/>
          </w:tcPr>
          <w:p w14:paraId="5E80D5C6" w14:textId="77777777" w:rsidR="00CA11D6" w:rsidRPr="00806B7F" w:rsidRDefault="00CA11D6" w:rsidP="00A369A1">
            <w:pPr>
              <w:jc w:val="center"/>
              <w:rPr>
                <w:rFonts w:ascii="Arial" w:hAnsi="Arial" w:cs="Arial"/>
                <w:bCs/>
                <w:sz w:val="20"/>
              </w:rPr>
            </w:pPr>
            <w:r w:rsidRPr="00806B7F">
              <w:rPr>
                <w:rFonts w:ascii="Arial" w:hAnsi="Arial" w:cs="Arial"/>
                <w:bCs/>
                <w:sz w:val="20"/>
              </w:rPr>
              <w:t>(13.649)</w:t>
            </w:r>
          </w:p>
        </w:tc>
      </w:tr>
    </w:tbl>
    <w:p w14:paraId="09B0CC78" w14:textId="77777777" w:rsidR="00CA11D6" w:rsidRPr="00806B7F" w:rsidRDefault="00CA11D6" w:rsidP="00CA11D6">
      <w:pPr>
        <w:jc w:val="both"/>
        <w:rPr>
          <w:rFonts w:ascii="Arial" w:hAnsi="Arial" w:cs="Arial"/>
          <w:sz w:val="20"/>
        </w:rPr>
      </w:pPr>
    </w:p>
    <w:p w14:paraId="5EA0C48D" w14:textId="77777777" w:rsidR="00CA11D6" w:rsidRPr="00806B7F" w:rsidRDefault="00CA11D6" w:rsidP="00CA11D6">
      <w:pPr>
        <w:jc w:val="both"/>
        <w:rPr>
          <w:rFonts w:ascii="Arial" w:hAnsi="Arial" w:cs="Arial"/>
          <w:sz w:val="20"/>
        </w:rPr>
      </w:pPr>
      <w:r w:rsidRPr="00806B7F">
        <w:rPr>
          <w:rFonts w:ascii="Arial" w:hAnsi="Arial" w:cs="Arial"/>
          <w:sz w:val="20"/>
        </w:rPr>
        <w:t xml:space="preserve">This show there is a significant funding gap. </w:t>
      </w:r>
    </w:p>
    <w:p w14:paraId="58A12E76" w14:textId="77777777" w:rsidR="00CA11D6" w:rsidRPr="00806B7F" w:rsidRDefault="00CA11D6" w:rsidP="00DB5DCF">
      <w:pPr>
        <w:rPr>
          <w:rFonts w:ascii="Arial" w:hAnsi="Arial" w:cs="Arial"/>
          <w:sz w:val="20"/>
        </w:rPr>
      </w:pPr>
    </w:p>
    <w:p w14:paraId="3A804B85" w14:textId="77777777" w:rsidR="00CA11D6" w:rsidRPr="00806B7F" w:rsidRDefault="00CA11D6" w:rsidP="00CA11D6">
      <w:pPr>
        <w:jc w:val="both"/>
        <w:rPr>
          <w:rFonts w:ascii="Arial" w:hAnsi="Arial" w:cs="Arial"/>
          <w:b/>
          <w:sz w:val="20"/>
        </w:rPr>
      </w:pPr>
      <w:r w:rsidRPr="00806B7F">
        <w:rPr>
          <w:rFonts w:ascii="Arial" w:hAnsi="Arial" w:cs="Arial"/>
          <w:b/>
          <w:sz w:val="20"/>
        </w:rPr>
        <w:t>Impact on the Revenue budget</w:t>
      </w:r>
    </w:p>
    <w:p w14:paraId="66DE014F" w14:textId="77777777" w:rsidR="00CA11D6" w:rsidRPr="00806B7F" w:rsidRDefault="00CA11D6" w:rsidP="00CA11D6">
      <w:pPr>
        <w:jc w:val="both"/>
        <w:rPr>
          <w:rFonts w:ascii="Arial" w:hAnsi="Arial" w:cs="Arial"/>
          <w:sz w:val="20"/>
        </w:rPr>
      </w:pPr>
    </w:p>
    <w:p w14:paraId="6DE5254A" w14:textId="77777777" w:rsidR="00CA11D6" w:rsidRPr="00806B7F" w:rsidRDefault="00CA11D6" w:rsidP="00CA11D6">
      <w:pPr>
        <w:jc w:val="both"/>
        <w:rPr>
          <w:rFonts w:ascii="Arial" w:hAnsi="Arial" w:cs="Arial"/>
          <w:sz w:val="20"/>
        </w:rPr>
      </w:pPr>
      <w:r w:rsidRPr="00806B7F">
        <w:rPr>
          <w:rFonts w:ascii="Arial" w:hAnsi="Arial" w:cs="Arial"/>
          <w:sz w:val="20"/>
        </w:rPr>
        <w:t xml:space="preserve">The capital programme shows the Authority utilising </w:t>
      </w:r>
      <w:proofErr w:type="gramStart"/>
      <w:r w:rsidRPr="00806B7F">
        <w:rPr>
          <w:rFonts w:ascii="Arial" w:hAnsi="Arial" w:cs="Arial"/>
          <w:sz w:val="20"/>
        </w:rPr>
        <w:t>all of</w:t>
      </w:r>
      <w:proofErr w:type="gramEnd"/>
      <w:r w:rsidRPr="00806B7F">
        <w:rPr>
          <w:rFonts w:ascii="Arial" w:hAnsi="Arial" w:cs="Arial"/>
          <w:sz w:val="20"/>
        </w:rPr>
        <w:t xml:space="preserve"> its capital reserves and receipts part way through 2026/27, meaning that the remainder of the capital programme will need to be met from either capital grant (if available), additional revenue contributions or from new borrowing.  </w:t>
      </w:r>
    </w:p>
    <w:p w14:paraId="0AD46FD0" w14:textId="77777777" w:rsidR="00CA11D6" w:rsidRPr="00806B7F" w:rsidRDefault="00CA11D6" w:rsidP="00CA11D6">
      <w:pPr>
        <w:jc w:val="both"/>
        <w:rPr>
          <w:rFonts w:ascii="Arial" w:hAnsi="Arial" w:cs="Arial"/>
          <w:sz w:val="20"/>
        </w:rPr>
      </w:pPr>
    </w:p>
    <w:p w14:paraId="12D22FA5" w14:textId="77777777" w:rsidR="00CA11D6" w:rsidRPr="00806B7F" w:rsidRDefault="00CA11D6" w:rsidP="00CA11D6">
      <w:pPr>
        <w:jc w:val="both"/>
        <w:rPr>
          <w:rFonts w:ascii="Arial" w:hAnsi="Arial" w:cs="Arial"/>
          <w:sz w:val="20"/>
        </w:rPr>
      </w:pPr>
      <w:r w:rsidRPr="00806B7F">
        <w:rPr>
          <w:rFonts w:ascii="Arial" w:hAnsi="Arial" w:cs="Arial"/>
          <w:sz w:val="20"/>
        </w:rPr>
        <w:t>The draft budget as set out shows a need to borrow £13.6m. As we have already set aside £2.0m of funds, this would entail £11.6m of new borrowing. This has a significant impact on the revenue budget, in terms of interest payments and setting aside a sum equivalent to the Minimum Revenue Provision (MRP), as shown in the table below.  (Note both the interest rate and the life over which MRP is charged are subject to change.)</w:t>
      </w:r>
    </w:p>
    <w:p w14:paraId="247A7F72" w14:textId="77777777" w:rsidR="00CA11D6" w:rsidRPr="00806B7F" w:rsidRDefault="00CA11D6" w:rsidP="00CA11D6">
      <w:pPr>
        <w:jc w:val="both"/>
        <w:rPr>
          <w:rFonts w:ascii="Arial" w:eastAsia="Calibri" w:hAnsi="Arial" w:cs="Arial"/>
          <w:i/>
          <w:iCs/>
          <w:color w:val="44546A"/>
          <w:sz w:val="20"/>
          <w:lang w:eastAsia="en-US"/>
        </w:rPr>
      </w:pPr>
    </w:p>
    <w:p w14:paraId="0A77FC3A"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10 Cost of Borrowing</w:t>
      </w:r>
    </w:p>
    <w:tbl>
      <w:tblPr>
        <w:tblStyle w:val="TableGrid"/>
        <w:tblW w:w="8909" w:type="dxa"/>
        <w:tblInd w:w="108" w:type="dxa"/>
        <w:tblLook w:val="04A0" w:firstRow="1" w:lastRow="0" w:firstColumn="1" w:lastColumn="0" w:noHBand="0" w:noVBand="1"/>
      </w:tblPr>
      <w:tblGrid>
        <w:gridCol w:w="2968"/>
        <w:gridCol w:w="2973"/>
        <w:gridCol w:w="2968"/>
      </w:tblGrid>
      <w:tr w:rsidR="00CA11D6" w:rsidRPr="00806B7F" w14:paraId="5F9C066E" w14:textId="77777777" w:rsidTr="00A369A1">
        <w:tc>
          <w:tcPr>
            <w:tcW w:w="2968" w:type="dxa"/>
          </w:tcPr>
          <w:p w14:paraId="3813FF4F" w14:textId="77777777" w:rsidR="00CA11D6" w:rsidRPr="00806B7F" w:rsidRDefault="00CA11D6" w:rsidP="00A369A1">
            <w:pPr>
              <w:jc w:val="both"/>
              <w:rPr>
                <w:rFonts w:ascii="Arial" w:hAnsi="Arial" w:cs="Arial"/>
                <w:sz w:val="20"/>
              </w:rPr>
            </w:pPr>
          </w:p>
        </w:tc>
        <w:tc>
          <w:tcPr>
            <w:tcW w:w="2973" w:type="dxa"/>
          </w:tcPr>
          <w:p w14:paraId="7236430D" w14:textId="77777777" w:rsidR="00CA11D6" w:rsidRPr="00806B7F" w:rsidRDefault="00CA11D6" w:rsidP="00A369A1">
            <w:pPr>
              <w:jc w:val="center"/>
              <w:rPr>
                <w:rFonts w:ascii="Arial" w:hAnsi="Arial" w:cs="Arial"/>
                <w:sz w:val="20"/>
              </w:rPr>
            </w:pPr>
            <w:r w:rsidRPr="00806B7F">
              <w:rPr>
                <w:rFonts w:ascii="Arial" w:hAnsi="Arial" w:cs="Arial"/>
                <w:sz w:val="20"/>
              </w:rPr>
              <w:t>26/27 Impact</w:t>
            </w:r>
          </w:p>
        </w:tc>
        <w:tc>
          <w:tcPr>
            <w:tcW w:w="2968" w:type="dxa"/>
          </w:tcPr>
          <w:p w14:paraId="26B74342" w14:textId="77777777" w:rsidR="00CA11D6" w:rsidRPr="00806B7F" w:rsidDel="00391B27" w:rsidRDefault="00CA11D6" w:rsidP="00A369A1">
            <w:pPr>
              <w:jc w:val="center"/>
              <w:rPr>
                <w:rFonts w:ascii="Arial" w:hAnsi="Arial" w:cs="Arial"/>
                <w:sz w:val="20"/>
              </w:rPr>
            </w:pPr>
            <w:r w:rsidRPr="00806B7F">
              <w:rPr>
                <w:rFonts w:ascii="Arial" w:hAnsi="Arial" w:cs="Arial"/>
                <w:sz w:val="20"/>
              </w:rPr>
              <w:t>27/28 Impact</w:t>
            </w:r>
          </w:p>
        </w:tc>
      </w:tr>
      <w:tr w:rsidR="00CA11D6" w:rsidRPr="00806B7F" w14:paraId="1D22BD5A" w14:textId="77777777" w:rsidTr="00A369A1">
        <w:tc>
          <w:tcPr>
            <w:tcW w:w="2968" w:type="dxa"/>
          </w:tcPr>
          <w:p w14:paraId="7FAF806D" w14:textId="77777777" w:rsidR="00CA11D6" w:rsidRPr="00806B7F" w:rsidRDefault="00CA11D6" w:rsidP="00A369A1">
            <w:pPr>
              <w:jc w:val="both"/>
              <w:rPr>
                <w:rFonts w:ascii="Arial" w:hAnsi="Arial" w:cs="Arial"/>
                <w:sz w:val="20"/>
              </w:rPr>
            </w:pPr>
            <w:r w:rsidRPr="00806B7F">
              <w:rPr>
                <w:rFonts w:ascii="Arial" w:hAnsi="Arial" w:cs="Arial"/>
                <w:sz w:val="20"/>
              </w:rPr>
              <w:t>Interest per annum</w:t>
            </w:r>
          </w:p>
        </w:tc>
        <w:tc>
          <w:tcPr>
            <w:tcW w:w="2973" w:type="dxa"/>
          </w:tcPr>
          <w:p w14:paraId="0ADEC6F8" w14:textId="77777777" w:rsidR="00CA11D6" w:rsidRPr="00806B7F" w:rsidRDefault="00CA11D6" w:rsidP="00A369A1">
            <w:pPr>
              <w:jc w:val="center"/>
              <w:rPr>
                <w:rFonts w:ascii="Arial" w:hAnsi="Arial" w:cs="Arial"/>
                <w:sz w:val="20"/>
              </w:rPr>
            </w:pPr>
            <w:r w:rsidRPr="00806B7F">
              <w:rPr>
                <w:rFonts w:ascii="Arial" w:hAnsi="Arial" w:cs="Arial"/>
                <w:sz w:val="20"/>
              </w:rPr>
              <w:t>£88k</w:t>
            </w:r>
          </w:p>
        </w:tc>
        <w:tc>
          <w:tcPr>
            <w:tcW w:w="2968" w:type="dxa"/>
          </w:tcPr>
          <w:p w14:paraId="1F83C4D4" w14:textId="77777777" w:rsidR="00CA11D6" w:rsidRPr="00806B7F" w:rsidRDefault="00CA11D6" w:rsidP="00A369A1">
            <w:pPr>
              <w:jc w:val="center"/>
              <w:rPr>
                <w:rFonts w:ascii="Arial" w:hAnsi="Arial" w:cs="Arial"/>
                <w:sz w:val="20"/>
              </w:rPr>
            </w:pPr>
            <w:r w:rsidRPr="00806B7F">
              <w:rPr>
                <w:rFonts w:ascii="Arial" w:hAnsi="Arial" w:cs="Arial"/>
                <w:sz w:val="20"/>
              </w:rPr>
              <w:t>£350k</w:t>
            </w:r>
          </w:p>
        </w:tc>
      </w:tr>
      <w:tr w:rsidR="00CA11D6" w:rsidRPr="00806B7F" w14:paraId="4F271D97" w14:textId="77777777" w:rsidTr="00A369A1">
        <w:tc>
          <w:tcPr>
            <w:tcW w:w="2968" w:type="dxa"/>
          </w:tcPr>
          <w:p w14:paraId="58C6F259" w14:textId="77777777" w:rsidR="00CA11D6" w:rsidRPr="00806B7F" w:rsidRDefault="00CA11D6" w:rsidP="00A369A1">
            <w:pPr>
              <w:jc w:val="both"/>
              <w:rPr>
                <w:rFonts w:ascii="Arial" w:hAnsi="Arial" w:cs="Arial"/>
                <w:sz w:val="20"/>
              </w:rPr>
            </w:pPr>
            <w:r w:rsidRPr="00806B7F">
              <w:rPr>
                <w:rFonts w:ascii="Arial" w:hAnsi="Arial" w:cs="Arial"/>
                <w:sz w:val="20"/>
              </w:rPr>
              <w:t>MRP (MRP is only charged in year after purchase)</w:t>
            </w:r>
          </w:p>
        </w:tc>
        <w:tc>
          <w:tcPr>
            <w:tcW w:w="2973" w:type="dxa"/>
          </w:tcPr>
          <w:p w14:paraId="634C1333"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2968" w:type="dxa"/>
          </w:tcPr>
          <w:p w14:paraId="788987AE" w14:textId="77777777" w:rsidR="00CA11D6" w:rsidRPr="00806B7F" w:rsidRDefault="00CA11D6" w:rsidP="00A369A1">
            <w:pPr>
              <w:jc w:val="center"/>
              <w:rPr>
                <w:rFonts w:ascii="Arial" w:hAnsi="Arial" w:cs="Arial"/>
                <w:sz w:val="20"/>
              </w:rPr>
            </w:pPr>
            <w:r w:rsidRPr="00806B7F">
              <w:rPr>
                <w:rFonts w:ascii="Arial" w:hAnsi="Arial" w:cs="Arial"/>
                <w:sz w:val="20"/>
              </w:rPr>
              <w:t>£118k</w:t>
            </w:r>
          </w:p>
        </w:tc>
      </w:tr>
      <w:tr w:rsidR="00CA11D6" w:rsidRPr="00806B7F" w14:paraId="25D7882E" w14:textId="77777777" w:rsidTr="00A369A1">
        <w:tc>
          <w:tcPr>
            <w:tcW w:w="2968" w:type="dxa"/>
          </w:tcPr>
          <w:p w14:paraId="2AA6FB9B" w14:textId="77777777" w:rsidR="00CA11D6" w:rsidRPr="00806B7F" w:rsidRDefault="00CA11D6" w:rsidP="00A369A1">
            <w:pPr>
              <w:jc w:val="both"/>
              <w:rPr>
                <w:rFonts w:ascii="Arial" w:hAnsi="Arial" w:cs="Arial"/>
                <w:sz w:val="20"/>
              </w:rPr>
            </w:pPr>
          </w:p>
        </w:tc>
        <w:tc>
          <w:tcPr>
            <w:tcW w:w="2973" w:type="dxa"/>
          </w:tcPr>
          <w:p w14:paraId="630F234D" w14:textId="77777777" w:rsidR="00CA11D6" w:rsidRPr="00806B7F" w:rsidRDefault="00CA11D6" w:rsidP="00A369A1">
            <w:pPr>
              <w:jc w:val="center"/>
              <w:rPr>
                <w:rFonts w:ascii="Arial" w:hAnsi="Arial" w:cs="Arial"/>
                <w:sz w:val="20"/>
              </w:rPr>
            </w:pPr>
            <w:r w:rsidRPr="00806B7F">
              <w:rPr>
                <w:rFonts w:ascii="Arial" w:hAnsi="Arial" w:cs="Arial"/>
                <w:sz w:val="20"/>
              </w:rPr>
              <w:t>£88k</w:t>
            </w:r>
          </w:p>
        </w:tc>
        <w:tc>
          <w:tcPr>
            <w:tcW w:w="2968" w:type="dxa"/>
          </w:tcPr>
          <w:p w14:paraId="56CA3170" w14:textId="77777777" w:rsidR="00CA11D6" w:rsidRPr="00806B7F" w:rsidRDefault="00CA11D6" w:rsidP="00A369A1">
            <w:pPr>
              <w:jc w:val="center"/>
              <w:rPr>
                <w:rFonts w:ascii="Arial" w:hAnsi="Arial" w:cs="Arial"/>
                <w:sz w:val="20"/>
              </w:rPr>
            </w:pPr>
            <w:r w:rsidRPr="00806B7F">
              <w:rPr>
                <w:rFonts w:ascii="Arial" w:hAnsi="Arial" w:cs="Arial"/>
                <w:sz w:val="20"/>
              </w:rPr>
              <w:t>£468k</w:t>
            </w:r>
          </w:p>
        </w:tc>
      </w:tr>
    </w:tbl>
    <w:p w14:paraId="5890152A" w14:textId="77777777" w:rsidR="00CA11D6" w:rsidRPr="00806B7F" w:rsidRDefault="00CA11D6" w:rsidP="00CA11D6">
      <w:pPr>
        <w:jc w:val="both"/>
        <w:rPr>
          <w:rFonts w:ascii="Arial" w:hAnsi="Arial" w:cs="Arial"/>
          <w:sz w:val="20"/>
        </w:rPr>
      </w:pPr>
    </w:p>
    <w:p w14:paraId="2A88DEE6" w14:textId="77777777" w:rsidR="00CA11D6" w:rsidRPr="00806B7F" w:rsidRDefault="00CA11D6" w:rsidP="00CA11D6">
      <w:pPr>
        <w:jc w:val="both"/>
        <w:rPr>
          <w:rFonts w:ascii="Arial" w:hAnsi="Arial" w:cs="Arial"/>
          <w:sz w:val="20"/>
        </w:rPr>
      </w:pPr>
      <w:r w:rsidRPr="00806B7F">
        <w:rPr>
          <w:rFonts w:ascii="Arial" w:hAnsi="Arial" w:cs="Arial"/>
          <w:sz w:val="20"/>
        </w:rPr>
        <w:t>The cost of this borrowing is incorporated into the revenue budget in future years, but the full year effect of this borrowing will not be felt until 28/29, where the total cost would be £0.8m.</w:t>
      </w:r>
    </w:p>
    <w:p w14:paraId="5FDBF3F2" w14:textId="77777777" w:rsidR="00CA11D6" w:rsidRPr="00806B7F" w:rsidRDefault="00CA11D6" w:rsidP="00CA11D6">
      <w:pPr>
        <w:jc w:val="both"/>
        <w:rPr>
          <w:rFonts w:ascii="Arial" w:hAnsi="Arial" w:cs="Arial"/>
          <w:sz w:val="20"/>
        </w:rPr>
      </w:pPr>
    </w:p>
    <w:p w14:paraId="142A7551" w14:textId="77777777" w:rsidR="00CA11D6" w:rsidRPr="00806B7F" w:rsidRDefault="00CA11D6" w:rsidP="00CA11D6">
      <w:pPr>
        <w:jc w:val="both"/>
        <w:rPr>
          <w:rFonts w:ascii="Arial" w:hAnsi="Arial" w:cs="Arial"/>
          <w:b/>
          <w:sz w:val="20"/>
        </w:rPr>
      </w:pPr>
      <w:r w:rsidRPr="00806B7F">
        <w:rPr>
          <w:rFonts w:ascii="Arial" w:hAnsi="Arial" w:cs="Arial"/>
          <w:b/>
          <w:sz w:val="20"/>
        </w:rPr>
        <w:t>Programme Assumptions</w:t>
      </w:r>
    </w:p>
    <w:p w14:paraId="3BE35534" w14:textId="77777777" w:rsidR="00CA11D6" w:rsidRPr="00806B7F" w:rsidRDefault="00CA11D6" w:rsidP="00CA11D6">
      <w:pPr>
        <w:jc w:val="both"/>
        <w:rPr>
          <w:rFonts w:ascii="Arial" w:hAnsi="Arial" w:cs="Arial"/>
          <w:sz w:val="20"/>
        </w:rPr>
      </w:pPr>
    </w:p>
    <w:p w14:paraId="1B488F40" w14:textId="77777777" w:rsidR="00CA11D6" w:rsidRPr="00806B7F" w:rsidRDefault="00CA11D6" w:rsidP="00CA11D6">
      <w:pPr>
        <w:jc w:val="both"/>
        <w:rPr>
          <w:rFonts w:ascii="Arial" w:hAnsi="Arial" w:cs="Arial"/>
          <w:sz w:val="20"/>
        </w:rPr>
      </w:pPr>
      <w:r w:rsidRPr="00806B7F">
        <w:rPr>
          <w:rFonts w:ascii="Arial" w:hAnsi="Arial" w:cs="Arial"/>
          <w:sz w:val="20"/>
        </w:rPr>
        <w:t xml:space="preserve">It is also worth highlighting that the programme is based around </w:t>
      </w:r>
      <w:proofErr w:type="gramStart"/>
      <w:r w:rsidRPr="00806B7F">
        <w:rPr>
          <w:rFonts w:ascii="Arial" w:hAnsi="Arial" w:cs="Arial"/>
          <w:sz w:val="20"/>
        </w:rPr>
        <w:t>a number of</w:t>
      </w:r>
      <w:proofErr w:type="gramEnd"/>
      <w:r w:rsidRPr="00806B7F">
        <w:rPr>
          <w:rFonts w:ascii="Arial" w:hAnsi="Arial" w:cs="Arial"/>
          <w:sz w:val="20"/>
        </w:rPr>
        <w:t xml:space="preserve"> assumptions which could change: -</w:t>
      </w:r>
    </w:p>
    <w:p w14:paraId="49AC382E"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All costings are subject to refinement during the design and procurement phases;</w:t>
      </w:r>
    </w:p>
    <w:p w14:paraId="6EF423CF"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Vehicle replacements are based on the Fleet Asset management Plan, however the scale of replacements in 23/24 is extremely high and hence some slippage is likely, furthermore whilst we have extended the life of appliances to 13 years a review of our scope to extend this further is underway</w:t>
      </w:r>
    </w:p>
    <w:p w14:paraId="270EBA01"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New Dimensions vehicle replacements are expected to be carried out by Government; however this position may change;</w:t>
      </w:r>
    </w:p>
    <w:p w14:paraId="7B02914D"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No allowance has been made for developments in operational equipment, which may justify future investments. At the present time this would need to be met from the Innovation reserve, of which we have £0.25m remaining, or from the revenue budget;</w:t>
      </w:r>
    </w:p>
    <w:p w14:paraId="2C8D281E"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ICT software replacements are subject to review prior to replacement, which has led in the past to significant slippage;</w:t>
      </w:r>
    </w:p>
    <w:p w14:paraId="3E48C52A"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Operational Communications replacements (ESMCP) are subject to a great deal of uncertainty in terms of both timing and costs as they are related to a national replacement project, in addition there may be grant funding available for this which is also unknown at this time;</w:t>
      </w:r>
    </w:p>
    <w:p w14:paraId="08C0B3ED"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The costs and timing for replacement of Preston Fire Station, investment in STC Props and relocation of SHQ are estimates only at this stage;</w:t>
      </w:r>
    </w:p>
    <w:p w14:paraId="63C35281" w14:textId="77777777" w:rsidR="00CA11D6" w:rsidRPr="00806B7F" w:rsidRDefault="00CA11D6" w:rsidP="00CA11D6">
      <w:pPr>
        <w:numPr>
          <w:ilvl w:val="0"/>
          <w:numId w:val="6"/>
        </w:numPr>
        <w:jc w:val="both"/>
        <w:rPr>
          <w:rFonts w:ascii="Arial" w:hAnsi="Arial" w:cs="Arial"/>
          <w:sz w:val="20"/>
        </w:rPr>
      </w:pPr>
      <w:r w:rsidRPr="00806B7F">
        <w:rPr>
          <w:rFonts w:ascii="Arial" w:hAnsi="Arial" w:cs="Arial"/>
          <w:sz w:val="20"/>
        </w:rPr>
        <w:t xml:space="preserve">Capital grant may be made available in future years, </w:t>
      </w:r>
      <w:proofErr w:type="gramStart"/>
      <w:r w:rsidRPr="00806B7F">
        <w:rPr>
          <w:rFonts w:ascii="Arial" w:hAnsi="Arial" w:cs="Arial"/>
          <w:sz w:val="20"/>
        </w:rPr>
        <w:t>in order to</w:t>
      </w:r>
      <w:proofErr w:type="gramEnd"/>
      <w:r w:rsidRPr="00806B7F">
        <w:rPr>
          <w:rFonts w:ascii="Arial" w:hAnsi="Arial" w:cs="Arial"/>
          <w:sz w:val="20"/>
        </w:rPr>
        <w:t xml:space="preserve"> assist service transformation and greater collaboration, although this is felt to be unlikely</w:t>
      </w:r>
    </w:p>
    <w:p w14:paraId="5740FCAC" w14:textId="77777777" w:rsidR="00CA11D6" w:rsidRPr="00806B7F" w:rsidRDefault="00CA11D6" w:rsidP="00CA11D6">
      <w:pPr>
        <w:jc w:val="both"/>
        <w:rPr>
          <w:rFonts w:ascii="Arial" w:hAnsi="Arial" w:cs="Arial"/>
          <w:sz w:val="20"/>
        </w:rPr>
      </w:pPr>
    </w:p>
    <w:p w14:paraId="732A3C35" w14:textId="77777777" w:rsidR="00CA11D6" w:rsidRPr="00806B7F" w:rsidRDefault="00CA11D6" w:rsidP="00CA11D6">
      <w:pPr>
        <w:jc w:val="both"/>
        <w:rPr>
          <w:rFonts w:ascii="Arial" w:hAnsi="Arial" w:cs="Arial"/>
          <w:b/>
          <w:sz w:val="20"/>
        </w:rPr>
      </w:pPr>
      <w:r w:rsidRPr="00806B7F">
        <w:rPr>
          <w:rFonts w:ascii="Arial" w:hAnsi="Arial" w:cs="Arial"/>
          <w:b/>
          <w:sz w:val="20"/>
        </w:rPr>
        <w:t>Summary</w:t>
      </w:r>
    </w:p>
    <w:p w14:paraId="3654A268" w14:textId="77777777" w:rsidR="00CA11D6" w:rsidRPr="00806B7F" w:rsidRDefault="00CA11D6" w:rsidP="00CA11D6">
      <w:pPr>
        <w:jc w:val="both"/>
        <w:rPr>
          <w:rFonts w:ascii="Arial" w:hAnsi="Arial" w:cs="Arial"/>
          <w:sz w:val="20"/>
        </w:rPr>
      </w:pPr>
    </w:p>
    <w:p w14:paraId="67E75203" w14:textId="77777777" w:rsidR="00CA11D6" w:rsidRPr="00806B7F" w:rsidRDefault="00CA11D6" w:rsidP="00CA11D6">
      <w:pPr>
        <w:jc w:val="both"/>
        <w:rPr>
          <w:rFonts w:ascii="Arial" w:hAnsi="Arial" w:cs="Arial"/>
          <w:sz w:val="20"/>
        </w:rPr>
      </w:pPr>
      <w:r w:rsidRPr="00806B7F">
        <w:rPr>
          <w:rFonts w:ascii="Arial" w:hAnsi="Arial" w:cs="Arial"/>
          <w:sz w:val="20"/>
        </w:rPr>
        <w:t xml:space="preserve">Without borrowing the current programme is not balanced, as such the Authority will need to borrow £11.6m over the life of the programme. The cost of this borrowing is incorporated into the revenue </w:t>
      </w:r>
      <w:proofErr w:type="gramStart"/>
      <w:r w:rsidRPr="00806B7F">
        <w:rPr>
          <w:rFonts w:ascii="Arial" w:hAnsi="Arial" w:cs="Arial"/>
          <w:sz w:val="20"/>
        </w:rPr>
        <w:t>budget,</w:t>
      </w:r>
      <w:proofErr w:type="gramEnd"/>
      <w:r w:rsidRPr="00806B7F">
        <w:rPr>
          <w:rFonts w:ascii="Arial" w:hAnsi="Arial" w:cs="Arial"/>
          <w:sz w:val="20"/>
        </w:rPr>
        <w:t xml:space="preserve"> however this only impacts the last year of the Medium Term Financial Strategy. Given this the Treasurer considers that the programme is prudent, </w:t>
      </w:r>
      <w:proofErr w:type="gramStart"/>
      <w:r w:rsidRPr="00806B7F">
        <w:rPr>
          <w:rFonts w:ascii="Arial" w:hAnsi="Arial" w:cs="Arial"/>
          <w:sz w:val="20"/>
        </w:rPr>
        <w:t>sustainable</w:t>
      </w:r>
      <w:proofErr w:type="gramEnd"/>
      <w:r w:rsidRPr="00806B7F">
        <w:rPr>
          <w:rFonts w:ascii="Arial" w:hAnsi="Arial" w:cs="Arial"/>
          <w:sz w:val="20"/>
        </w:rPr>
        <w:t xml:space="preserve"> and affordable in the medium term. </w:t>
      </w:r>
    </w:p>
    <w:p w14:paraId="30421BF3" w14:textId="77777777" w:rsidR="00CA11D6" w:rsidRPr="00806B7F" w:rsidRDefault="00CA11D6" w:rsidP="00CA11D6">
      <w:pPr>
        <w:jc w:val="both"/>
        <w:rPr>
          <w:rFonts w:ascii="Arial" w:hAnsi="Arial" w:cs="Arial"/>
          <w:sz w:val="20"/>
        </w:rPr>
      </w:pPr>
    </w:p>
    <w:p w14:paraId="73371177" w14:textId="77777777" w:rsidR="00CA11D6" w:rsidRPr="00806B7F" w:rsidRDefault="00CA11D6" w:rsidP="00CA11D6">
      <w:pPr>
        <w:jc w:val="both"/>
        <w:rPr>
          <w:rFonts w:ascii="Arial" w:hAnsi="Arial" w:cs="Arial"/>
          <w:sz w:val="20"/>
        </w:rPr>
      </w:pPr>
      <w:r w:rsidRPr="00806B7F">
        <w:rPr>
          <w:rFonts w:ascii="Arial" w:hAnsi="Arial" w:cs="Arial"/>
          <w:sz w:val="20"/>
        </w:rPr>
        <w:t>As noted above, should any of the funding assumptions or expenditure items within the programme change, this will have an impact on the overall affordability of the programme.</w:t>
      </w:r>
    </w:p>
    <w:p w14:paraId="257D9253" w14:textId="77777777" w:rsidR="00DB5DCF" w:rsidRDefault="00DB5DCF" w:rsidP="00DB5DCF">
      <w:pPr>
        <w:rPr>
          <w:rFonts w:ascii="Arial" w:hAnsi="Arial" w:cs="Arial"/>
          <w:b/>
          <w:sz w:val="20"/>
        </w:rPr>
      </w:pPr>
    </w:p>
    <w:p w14:paraId="7DC88F43" w14:textId="2665ABD3" w:rsidR="0030082B" w:rsidRPr="00DB5DCF" w:rsidRDefault="0030082B" w:rsidP="00DB5DCF">
      <w:pPr>
        <w:rPr>
          <w:rFonts w:ascii="Arial" w:hAnsi="Arial" w:cs="Arial"/>
          <w:b/>
          <w:sz w:val="20"/>
        </w:rPr>
      </w:pPr>
      <w:r w:rsidRPr="00806B7F">
        <w:rPr>
          <w:rFonts w:ascii="Arial" w:hAnsi="Arial" w:cs="Arial"/>
          <w:b/>
          <w:sz w:val="20"/>
          <w:u w:val="single"/>
        </w:rPr>
        <w:t>Prudential Indicators</w:t>
      </w:r>
    </w:p>
    <w:p w14:paraId="122CFD2C" w14:textId="77777777" w:rsidR="0030082B" w:rsidRPr="00806B7F" w:rsidRDefault="0030082B" w:rsidP="0030082B">
      <w:pPr>
        <w:jc w:val="both"/>
        <w:rPr>
          <w:rFonts w:ascii="Arial" w:hAnsi="Arial" w:cs="Arial"/>
          <w:sz w:val="20"/>
        </w:rPr>
      </w:pPr>
    </w:p>
    <w:p w14:paraId="70FBBA3A" w14:textId="77777777" w:rsidR="00CA11D6" w:rsidRPr="00806B7F" w:rsidRDefault="00CA11D6" w:rsidP="00CA11D6">
      <w:pPr>
        <w:jc w:val="both"/>
        <w:rPr>
          <w:rFonts w:ascii="Arial" w:hAnsi="Arial" w:cs="Arial"/>
          <w:sz w:val="20"/>
        </w:rPr>
      </w:pPr>
      <w:r w:rsidRPr="00806B7F">
        <w:rPr>
          <w:rFonts w:ascii="Arial" w:hAnsi="Arial" w:cs="Arial"/>
          <w:sz w:val="20"/>
        </w:rPr>
        <w:t xml:space="preserve">The Prudential Code gives the Authority increased flexibility over its level of capital investment and much greater freedom to borrow, should this be necessary, to finance planned expenditure.  However, in determining the level of borrowing, the Authority must prepare and take account of </w:t>
      </w:r>
      <w:proofErr w:type="gramStart"/>
      <w:r w:rsidRPr="00806B7F">
        <w:rPr>
          <w:rFonts w:ascii="Arial" w:hAnsi="Arial" w:cs="Arial"/>
          <w:sz w:val="20"/>
        </w:rPr>
        <w:t>a number of</w:t>
      </w:r>
      <w:proofErr w:type="gramEnd"/>
      <w:r w:rsidRPr="00806B7F">
        <w:rPr>
          <w:rFonts w:ascii="Arial" w:hAnsi="Arial" w:cs="Arial"/>
          <w:sz w:val="20"/>
        </w:rPr>
        <w:t xml:space="preserve"> Prudential Indicators aimed at demonstrating that the level and method of financing capital expenditure is affordable, prudent and sustainable.  These Indicators are set out at Appendix 1, along with a brief commentary on each. The Prudential Indicators are based on the programme set out above.   These indicators will be updated to reflect the final capital outturn position and reported to the Resources Committee at the June meeting.</w:t>
      </w:r>
    </w:p>
    <w:p w14:paraId="04242B13" w14:textId="77777777" w:rsidR="00CA11D6" w:rsidRPr="00806B7F" w:rsidRDefault="00CA11D6" w:rsidP="00CA11D6">
      <w:pPr>
        <w:jc w:val="both"/>
        <w:rPr>
          <w:rFonts w:ascii="Arial" w:hAnsi="Arial" w:cs="Arial"/>
          <w:b/>
          <w:sz w:val="20"/>
        </w:rPr>
      </w:pPr>
    </w:p>
    <w:p w14:paraId="7A952FDF" w14:textId="77777777" w:rsidR="00CA11D6" w:rsidRPr="00806B7F" w:rsidRDefault="00CA11D6" w:rsidP="00CA11D6">
      <w:pPr>
        <w:jc w:val="both"/>
        <w:rPr>
          <w:rFonts w:ascii="Arial" w:hAnsi="Arial" w:cs="Arial"/>
          <w:sz w:val="20"/>
        </w:rPr>
      </w:pPr>
      <w:r w:rsidRPr="00806B7F">
        <w:rPr>
          <w:rFonts w:ascii="Arial" w:hAnsi="Arial" w:cs="Arial"/>
          <w:sz w:val="20"/>
        </w:rPr>
        <w:t xml:space="preserve">The main emphasis of these Indicators is to enable the Authority to assess whether its proposed spending and its financing is affordable, </w:t>
      </w:r>
      <w:proofErr w:type="gramStart"/>
      <w:r w:rsidRPr="00806B7F">
        <w:rPr>
          <w:rFonts w:ascii="Arial" w:hAnsi="Arial" w:cs="Arial"/>
          <w:sz w:val="20"/>
        </w:rPr>
        <w:t>prudent</w:t>
      </w:r>
      <w:proofErr w:type="gramEnd"/>
      <w:r w:rsidRPr="00806B7F">
        <w:rPr>
          <w:rFonts w:ascii="Arial" w:hAnsi="Arial" w:cs="Arial"/>
          <w:sz w:val="20"/>
        </w:rPr>
        <w:t xml:space="preserve"> and sustainable and in this context, the Treasurer's assessment is that, based on the indicators, this is the case for the following reasons: -</w:t>
      </w:r>
    </w:p>
    <w:p w14:paraId="485A7227" w14:textId="77777777" w:rsidR="00CA11D6" w:rsidRPr="00806B7F" w:rsidRDefault="00CA11D6" w:rsidP="00CA11D6">
      <w:pPr>
        <w:jc w:val="both"/>
        <w:rPr>
          <w:rFonts w:ascii="Arial" w:hAnsi="Arial" w:cs="Arial"/>
          <w:sz w:val="20"/>
        </w:rPr>
      </w:pPr>
    </w:p>
    <w:p w14:paraId="50DA0A9F" w14:textId="77777777" w:rsidR="00CA11D6" w:rsidRPr="00806B7F" w:rsidRDefault="00CA11D6" w:rsidP="00CA11D6">
      <w:pPr>
        <w:numPr>
          <w:ilvl w:val="0"/>
          <w:numId w:val="7"/>
        </w:numPr>
        <w:jc w:val="both"/>
        <w:rPr>
          <w:rFonts w:ascii="Arial" w:hAnsi="Arial" w:cs="Arial"/>
          <w:sz w:val="20"/>
        </w:rPr>
      </w:pPr>
      <w:r w:rsidRPr="00806B7F">
        <w:rPr>
          <w:rFonts w:ascii="Arial" w:hAnsi="Arial" w:cs="Arial"/>
          <w:sz w:val="20"/>
        </w:rPr>
        <w:t xml:space="preserve">In terms of prudence, the level of capital expenditure, in absolute terms, </w:t>
      </w:r>
      <w:proofErr w:type="gramStart"/>
      <w:r w:rsidRPr="00806B7F">
        <w:rPr>
          <w:rFonts w:ascii="Arial" w:hAnsi="Arial" w:cs="Arial"/>
          <w:sz w:val="20"/>
        </w:rPr>
        <w:t>is considered to be</w:t>
      </w:r>
      <w:proofErr w:type="gramEnd"/>
      <w:r w:rsidRPr="00806B7F">
        <w:rPr>
          <w:rFonts w:ascii="Arial" w:hAnsi="Arial" w:cs="Arial"/>
          <w:sz w:val="20"/>
        </w:rPr>
        <w:t xml:space="preserve"> prudent and sustainable at an annual average of £10.5m over the 3-year period.  The trend in the capital financing requirement and the level of external debt are both considered to be within prudent and sustainable levels.  Whilst new borrowing is required this only occurs in the last two years of the programme.</w:t>
      </w:r>
    </w:p>
    <w:p w14:paraId="57D66867" w14:textId="77777777" w:rsidR="00CA11D6" w:rsidRPr="00806B7F" w:rsidRDefault="00CA11D6" w:rsidP="00CA11D6">
      <w:pPr>
        <w:numPr>
          <w:ilvl w:val="0"/>
          <w:numId w:val="7"/>
        </w:numPr>
        <w:jc w:val="both"/>
        <w:rPr>
          <w:rFonts w:ascii="Arial" w:hAnsi="Arial" w:cs="Arial"/>
          <w:sz w:val="20"/>
        </w:rPr>
      </w:pPr>
      <w:r w:rsidRPr="00806B7F">
        <w:rPr>
          <w:rFonts w:ascii="Arial" w:hAnsi="Arial" w:cs="Arial"/>
          <w:sz w:val="20"/>
        </w:rPr>
        <w:t>In terms of affordability, the negative ratio of financing costs is attributable to  interest receivable exceeding interest payable and Minimum Revenue Provision payments in each of the three years.  This reflects the effect of the previous decision to set aside monies to repay debt.</w:t>
      </w:r>
    </w:p>
    <w:p w14:paraId="114D3CB1" w14:textId="77777777" w:rsidR="0030082B" w:rsidRPr="00806B7F" w:rsidRDefault="0030082B" w:rsidP="00A942A9">
      <w:pPr>
        <w:jc w:val="both"/>
        <w:rPr>
          <w:rFonts w:ascii="Arial" w:hAnsi="Arial" w:cs="Arial"/>
          <w:b/>
          <w:sz w:val="20"/>
        </w:rPr>
      </w:pPr>
    </w:p>
    <w:p w14:paraId="6C891E97" w14:textId="77777777" w:rsidR="00A942A9" w:rsidRPr="00806B7F" w:rsidRDefault="00A942A9" w:rsidP="00A942A9">
      <w:pPr>
        <w:keepNext/>
        <w:jc w:val="both"/>
        <w:outlineLvl w:val="3"/>
        <w:rPr>
          <w:rFonts w:ascii="Arial" w:hAnsi="Arial" w:cs="Arial"/>
          <w:b/>
          <w:sz w:val="20"/>
        </w:rPr>
      </w:pPr>
      <w:r w:rsidRPr="00806B7F">
        <w:rPr>
          <w:rFonts w:ascii="Arial" w:hAnsi="Arial" w:cs="Arial"/>
          <w:b/>
          <w:sz w:val="20"/>
        </w:rPr>
        <w:t>Capital Expenditure and Financing</w:t>
      </w:r>
    </w:p>
    <w:p w14:paraId="636785EF" w14:textId="77777777" w:rsidR="00A942A9" w:rsidRPr="00806B7F" w:rsidRDefault="00A942A9" w:rsidP="00A942A9">
      <w:pPr>
        <w:jc w:val="both"/>
        <w:rPr>
          <w:rFonts w:ascii="Arial" w:hAnsi="Arial" w:cs="Arial"/>
          <w:sz w:val="20"/>
        </w:rPr>
      </w:pPr>
    </w:p>
    <w:p w14:paraId="425A6EB0" w14:textId="77777777" w:rsidR="00CA11D6" w:rsidRPr="00806B7F" w:rsidRDefault="00CA11D6" w:rsidP="00CA11D6">
      <w:pPr>
        <w:jc w:val="both"/>
        <w:rPr>
          <w:rFonts w:ascii="Arial" w:hAnsi="Arial" w:cs="Arial"/>
          <w:sz w:val="20"/>
        </w:rPr>
      </w:pPr>
      <w:r w:rsidRPr="00806B7F">
        <w:rPr>
          <w:rFonts w:ascii="Arial" w:hAnsi="Arial" w:cs="Arial"/>
          <w:sz w:val="20"/>
        </w:rPr>
        <w:t>The objective in consideration of the affordability of the Authority’s capital plans is to ensure that total capital expenditure remains within sustainable limits.</w:t>
      </w:r>
    </w:p>
    <w:p w14:paraId="2255255D" w14:textId="53595EF5" w:rsidR="004827FA" w:rsidRDefault="004827FA">
      <w:pPr>
        <w:rPr>
          <w:rFonts w:ascii="Arial" w:hAnsi="Arial" w:cs="Arial"/>
          <w:sz w:val="20"/>
        </w:rPr>
      </w:pPr>
      <w:r>
        <w:rPr>
          <w:rFonts w:ascii="Arial" w:hAnsi="Arial" w:cs="Arial"/>
          <w:sz w:val="20"/>
        </w:rPr>
        <w:br w:type="page"/>
      </w:r>
    </w:p>
    <w:p w14:paraId="269CCA07" w14:textId="77777777" w:rsidR="00CA11D6" w:rsidRPr="00806B7F" w:rsidRDefault="00CA11D6" w:rsidP="00CA11D6">
      <w:pPr>
        <w:jc w:val="both"/>
        <w:rPr>
          <w:rFonts w:ascii="Arial" w:hAnsi="Arial" w:cs="Arial"/>
          <w:sz w:val="20"/>
        </w:rPr>
      </w:pPr>
    </w:p>
    <w:p w14:paraId="378728F1"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Capital expenditure 2021/22 to 2025/26</w:t>
      </w:r>
    </w:p>
    <w:p w14:paraId="573A7C51" w14:textId="77777777" w:rsidR="00CA11D6" w:rsidRPr="00806B7F" w:rsidRDefault="00CA11D6" w:rsidP="00CA11D6">
      <w:pPr>
        <w:jc w:val="both"/>
        <w:rPr>
          <w:rFonts w:ascii="Arial" w:hAnsi="Arial" w:cs="Arial"/>
          <w:sz w:val="20"/>
        </w:rPr>
      </w:pPr>
    </w:p>
    <w:p w14:paraId="79C0164D" w14:textId="77777777" w:rsidR="00CA11D6" w:rsidRPr="00806B7F" w:rsidRDefault="00CA11D6" w:rsidP="00CA11D6">
      <w:pPr>
        <w:jc w:val="both"/>
        <w:rPr>
          <w:rFonts w:ascii="Arial" w:hAnsi="Arial" w:cs="Arial"/>
          <w:sz w:val="20"/>
        </w:rPr>
      </w:pPr>
      <w:r w:rsidRPr="00806B7F">
        <w:rPr>
          <w:rFonts w:ascii="Arial" w:hAnsi="Arial" w:cs="Arial"/>
          <w:sz w:val="20"/>
        </w:rPr>
        <w:t>The actual expenditure for 2020/21 and forecast expenditure 2021/22, and estimates of capital expenditure to be incurred in future years, as per the proposed capital programme and allowing for slippage from the 2021/22 programme, are:</w:t>
      </w:r>
    </w:p>
    <w:p w14:paraId="592470DF" w14:textId="77777777" w:rsidR="00CA11D6" w:rsidRPr="00DB5DCF" w:rsidRDefault="00CA11D6" w:rsidP="00DB5DCF">
      <w:pPr>
        <w:rPr>
          <w:rFonts w:ascii="Arial" w:hAnsi="Arial" w:cs="Arial"/>
          <w:sz w:val="20"/>
        </w:rPr>
      </w:pPr>
    </w:p>
    <w:p w14:paraId="660B003D"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12 Capital expenditure by year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47"/>
        <w:gridCol w:w="1247"/>
        <w:gridCol w:w="1248"/>
        <w:gridCol w:w="1247"/>
        <w:gridCol w:w="1248"/>
      </w:tblGrid>
      <w:tr w:rsidR="00CA11D6" w:rsidRPr="00806B7F" w14:paraId="2AA0CF94" w14:textId="77777777" w:rsidTr="00A369A1">
        <w:tc>
          <w:tcPr>
            <w:tcW w:w="3289" w:type="dxa"/>
          </w:tcPr>
          <w:p w14:paraId="4F150D36" w14:textId="77777777" w:rsidR="00CA11D6" w:rsidRPr="00806B7F" w:rsidRDefault="00CA11D6" w:rsidP="00A369A1">
            <w:pPr>
              <w:rPr>
                <w:rFonts w:ascii="Arial" w:hAnsi="Arial" w:cs="Arial"/>
                <w:sz w:val="20"/>
              </w:rPr>
            </w:pPr>
          </w:p>
        </w:tc>
        <w:tc>
          <w:tcPr>
            <w:tcW w:w="1247" w:type="dxa"/>
          </w:tcPr>
          <w:p w14:paraId="75A89D6A"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60ABF2AD"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247" w:type="dxa"/>
          </w:tcPr>
          <w:p w14:paraId="3F89CAC3"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2434749B"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48" w:type="dxa"/>
          </w:tcPr>
          <w:p w14:paraId="0B6A2904"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02B4359B"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7" w:type="dxa"/>
          </w:tcPr>
          <w:p w14:paraId="567922CB"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0038BB64"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8" w:type="dxa"/>
          </w:tcPr>
          <w:p w14:paraId="1B799631"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22838562"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4A2A1CD4" w14:textId="77777777" w:rsidTr="00A369A1">
        <w:tc>
          <w:tcPr>
            <w:tcW w:w="3289" w:type="dxa"/>
          </w:tcPr>
          <w:p w14:paraId="76482579" w14:textId="77777777" w:rsidR="00CA11D6" w:rsidRPr="00806B7F" w:rsidRDefault="00CA11D6" w:rsidP="00A369A1">
            <w:pPr>
              <w:rPr>
                <w:rFonts w:ascii="Arial" w:hAnsi="Arial" w:cs="Arial"/>
                <w:sz w:val="20"/>
              </w:rPr>
            </w:pPr>
          </w:p>
        </w:tc>
        <w:tc>
          <w:tcPr>
            <w:tcW w:w="1247" w:type="dxa"/>
          </w:tcPr>
          <w:p w14:paraId="48D28273"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4EE35A68"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03101F74"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1C934630"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58F856E3"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208E4C45" w14:textId="77777777" w:rsidTr="00A369A1">
        <w:trPr>
          <w:trHeight w:val="77"/>
        </w:trPr>
        <w:tc>
          <w:tcPr>
            <w:tcW w:w="3289" w:type="dxa"/>
          </w:tcPr>
          <w:p w14:paraId="4CA0CD1A" w14:textId="77777777" w:rsidR="00CA11D6" w:rsidRPr="00806B7F" w:rsidRDefault="00CA11D6" w:rsidP="00A369A1">
            <w:pPr>
              <w:rPr>
                <w:rFonts w:ascii="Arial" w:hAnsi="Arial" w:cs="Arial"/>
                <w:sz w:val="20"/>
                <w:highlight w:val="yellow"/>
              </w:rPr>
            </w:pPr>
            <w:r w:rsidRPr="00806B7F">
              <w:rPr>
                <w:rFonts w:ascii="Arial" w:hAnsi="Arial" w:cs="Arial"/>
                <w:sz w:val="20"/>
              </w:rPr>
              <w:t>Capital Expenditure</w:t>
            </w:r>
          </w:p>
        </w:tc>
        <w:tc>
          <w:tcPr>
            <w:tcW w:w="1247" w:type="dxa"/>
          </w:tcPr>
          <w:p w14:paraId="4FE9415A" w14:textId="77777777" w:rsidR="00CA11D6" w:rsidRPr="00806B7F" w:rsidRDefault="00CA11D6" w:rsidP="00A369A1">
            <w:pPr>
              <w:jc w:val="center"/>
              <w:rPr>
                <w:rFonts w:ascii="Arial" w:hAnsi="Arial" w:cs="Arial"/>
                <w:sz w:val="20"/>
              </w:rPr>
            </w:pPr>
            <w:r w:rsidRPr="00806B7F">
              <w:rPr>
                <w:rFonts w:ascii="Arial" w:hAnsi="Arial" w:cs="Arial"/>
                <w:sz w:val="20"/>
              </w:rPr>
              <w:t>3.350</w:t>
            </w:r>
          </w:p>
        </w:tc>
        <w:tc>
          <w:tcPr>
            <w:tcW w:w="1247" w:type="dxa"/>
          </w:tcPr>
          <w:p w14:paraId="427CEA8B" w14:textId="77777777" w:rsidR="00CA11D6" w:rsidRPr="00806B7F" w:rsidRDefault="00CA11D6" w:rsidP="00A369A1">
            <w:pPr>
              <w:jc w:val="center"/>
              <w:rPr>
                <w:rFonts w:ascii="Arial" w:hAnsi="Arial" w:cs="Arial"/>
                <w:sz w:val="20"/>
              </w:rPr>
            </w:pPr>
            <w:r w:rsidRPr="00806B7F">
              <w:rPr>
                <w:rFonts w:ascii="Arial" w:hAnsi="Arial" w:cs="Arial"/>
                <w:sz w:val="20"/>
              </w:rPr>
              <w:t>3.271</w:t>
            </w:r>
          </w:p>
        </w:tc>
        <w:tc>
          <w:tcPr>
            <w:tcW w:w="1248" w:type="dxa"/>
          </w:tcPr>
          <w:p w14:paraId="4D3EAFF6" w14:textId="77777777" w:rsidR="00CA11D6" w:rsidRPr="00806B7F" w:rsidRDefault="00CA11D6" w:rsidP="00A369A1">
            <w:pPr>
              <w:jc w:val="center"/>
              <w:rPr>
                <w:rFonts w:ascii="Arial" w:hAnsi="Arial" w:cs="Arial"/>
                <w:sz w:val="20"/>
              </w:rPr>
            </w:pPr>
            <w:r w:rsidRPr="00806B7F">
              <w:rPr>
                <w:rFonts w:ascii="Arial" w:hAnsi="Arial" w:cs="Arial"/>
                <w:sz w:val="20"/>
              </w:rPr>
              <w:t>10.116</w:t>
            </w:r>
          </w:p>
        </w:tc>
        <w:tc>
          <w:tcPr>
            <w:tcW w:w="1247" w:type="dxa"/>
          </w:tcPr>
          <w:p w14:paraId="78F1458F" w14:textId="77777777" w:rsidR="00CA11D6" w:rsidRPr="00806B7F" w:rsidRDefault="00CA11D6" w:rsidP="00A369A1">
            <w:pPr>
              <w:jc w:val="center"/>
              <w:rPr>
                <w:rFonts w:ascii="Arial" w:hAnsi="Arial" w:cs="Arial"/>
                <w:sz w:val="20"/>
              </w:rPr>
            </w:pPr>
            <w:r w:rsidRPr="00806B7F">
              <w:rPr>
                <w:rFonts w:ascii="Arial" w:hAnsi="Arial" w:cs="Arial"/>
                <w:sz w:val="20"/>
              </w:rPr>
              <w:t>10.320</w:t>
            </w:r>
          </w:p>
        </w:tc>
        <w:tc>
          <w:tcPr>
            <w:tcW w:w="1248" w:type="dxa"/>
          </w:tcPr>
          <w:p w14:paraId="5B066CF1" w14:textId="77777777" w:rsidR="00CA11D6" w:rsidRPr="00806B7F" w:rsidRDefault="00CA11D6" w:rsidP="00A369A1">
            <w:pPr>
              <w:jc w:val="center"/>
              <w:rPr>
                <w:rFonts w:ascii="Arial" w:hAnsi="Arial" w:cs="Arial"/>
                <w:sz w:val="20"/>
              </w:rPr>
            </w:pPr>
            <w:r w:rsidRPr="00806B7F">
              <w:rPr>
                <w:rFonts w:ascii="Arial" w:hAnsi="Arial" w:cs="Arial"/>
                <w:sz w:val="20"/>
              </w:rPr>
              <w:t>12.015</w:t>
            </w:r>
          </w:p>
        </w:tc>
      </w:tr>
    </w:tbl>
    <w:p w14:paraId="0E10AA11" w14:textId="77777777" w:rsidR="00CA11D6" w:rsidRPr="00806B7F" w:rsidRDefault="00CA11D6" w:rsidP="00CA11D6">
      <w:pPr>
        <w:jc w:val="both"/>
        <w:rPr>
          <w:rFonts w:ascii="Arial" w:hAnsi="Arial" w:cs="Arial"/>
          <w:sz w:val="20"/>
          <w:highlight w:val="yellow"/>
        </w:rPr>
      </w:pPr>
    </w:p>
    <w:p w14:paraId="30590E17" w14:textId="77777777" w:rsidR="00CA11D6" w:rsidRPr="00806B7F" w:rsidRDefault="00CA11D6" w:rsidP="00CA11D6">
      <w:pPr>
        <w:jc w:val="both"/>
        <w:rPr>
          <w:rFonts w:ascii="Arial" w:hAnsi="Arial" w:cs="Arial"/>
          <w:sz w:val="20"/>
        </w:rPr>
      </w:pPr>
      <w:r w:rsidRPr="00806B7F">
        <w:rPr>
          <w:rFonts w:ascii="Arial" w:hAnsi="Arial" w:cs="Arial"/>
          <w:sz w:val="20"/>
        </w:rPr>
        <w:t>This indicator for 2022/23 will also be updated at the year-end to reflect actual capital expenditure incurred.</w:t>
      </w:r>
    </w:p>
    <w:p w14:paraId="637E5FDF" w14:textId="77777777" w:rsidR="00CA11D6" w:rsidRPr="00806B7F" w:rsidRDefault="00CA11D6" w:rsidP="00CA11D6">
      <w:pPr>
        <w:jc w:val="both"/>
        <w:rPr>
          <w:rFonts w:ascii="Arial" w:hAnsi="Arial" w:cs="Arial"/>
          <w:sz w:val="20"/>
        </w:rPr>
      </w:pPr>
    </w:p>
    <w:p w14:paraId="0230CDD9"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Capital financing 2021/22 to 2025/26</w:t>
      </w:r>
    </w:p>
    <w:p w14:paraId="2555BD86" w14:textId="77777777" w:rsidR="00CA11D6" w:rsidRPr="00806B7F" w:rsidRDefault="00CA11D6" w:rsidP="00CA11D6">
      <w:pPr>
        <w:jc w:val="both"/>
        <w:rPr>
          <w:rFonts w:ascii="Arial" w:hAnsi="Arial" w:cs="Arial"/>
          <w:sz w:val="20"/>
        </w:rPr>
      </w:pPr>
    </w:p>
    <w:p w14:paraId="6554804B" w14:textId="77777777" w:rsidR="00CA11D6" w:rsidRPr="00806B7F" w:rsidRDefault="00CA11D6" w:rsidP="00CA11D6">
      <w:pPr>
        <w:jc w:val="both"/>
        <w:rPr>
          <w:rFonts w:ascii="Arial" w:hAnsi="Arial" w:cs="Arial"/>
          <w:sz w:val="20"/>
        </w:rPr>
      </w:pPr>
      <w:r w:rsidRPr="00806B7F">
        <w:rPr>
          <w:rFonts w:ascii="Arial" w:hAnsi="Arial" w:cs="Arial"/>
          <w:sz w:val="20"/>
        </w:rPr>
        <w:t xml:space="preserve">All capital expenditure must be financed, either from external resources (government grants and other contributions), the Authority’s own resources (revenue contributions, </w:t>
      </w:r>
      <w:proofErr w:type="gramStart"/>
      <w:r w:rsidRPr="00806B7F">
        <w:rPr>
          <w:rFonts w:ascii="Arial" w:hAnsi="Arial" w:cs="Arial"/>
          <w:sz w:val="20"/>
        </w:rPr>
        <w:t>reserves</w:t>
      </w:r>
      <w:proofErr w:type="gramEnd"/>
      <w:r w:rsidRPr="00806B7F">
        <w:rPr>
          <w:rFonts w:ascii="Arial" w:hAnsi="Arial" w:cs="Arial"/>
          <w:sz w:val="20"/>
        </w:rPr>
        <w:t xml:space="preserve"> and capital receipts) or debt (borrowing, leasing and Private Finance Initiative).  The planned financing of the above expenditure is as follows: </w:t>
      </w:r>
    </w:p>
    <w:p w14:paraId="7885F37D" w14:textId="5D63375E" w:rsidR="00CA11D6" w:rsidRPr="00806B7F" w:rsidRDefault="00CA11D6" w:rsidP="00CA11D6">
      <w:pPr>
        <w:rPr>
          <w:rFonts w:ascii="Arial" w:eastAsia="Calibri" w:hAnsi="Arial" w:cs="Arial"/>
          <w:i/>
          <w:iCs/>
          <w:color w:val="44546A"/>
          <w:sz w:val="20"/>
          <w:lang w:eastAsia="en-US"/>
        </w:rPr>
      </w:pPr>
    </w:p>
    <w:p w14:paraId="45DAF6EC"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13 Capital financing by year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47"/>
        <w:gridCol w:w="1247"/>
        <w:gridCol w:w="1248"/>
        <w:gridCol w:w="1247"/>
        <w:gridCol w:w="1248"/>
      </w:tblGrid>
      <w:tr w:rsidR="00CA11D6" w:rsidRPr="00806B7F" w14:paraId="36257528" w14:textId="77777777" w:rsidTr="00A369A1">
        <w:tc>
          <w:tcPr>
            <w:tcW w:w="3289" w:type="dxa"/>
          </w:tcPr>
          <w:p w14:paraId="7C3FA6F4" w14:textId="77777777" w:rsidR="00CA11D6" w:rsidRPr="00806B7F" w:rsidRDefault="00CA11D6" w:rsidP="00A369A1">
            <w:pPr>
              <w:rPr>
                <w:rFonts w:ascii="Arial" w:hAnsi="Arial" w:cs="Arial"/>
                <w:sz w:val="20"/>
                <w:highlight w:val="yellow"/>
              </w:rPr>
            </w:pPr>
          </w:p>
        </w:tc>
        <w:tc>
          <w:tcPr>
            <w:tcW w:w="1247" w:type="dxa"/>
          </w:tcPr>
          <w:p w14:paraId="30F4DC12"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3CAB7B13"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247" w:type="dxa"/>
          </w:tcPr>
          <w:p w14:paraId="199D6E42"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479B9219"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48" w:type="dxa"/>
          </w:tcPr>
          <w:p w14:paraId="3640A4CC"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68FEE62C"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7" w:type="dxa"/>
          </w:tcPr>
          <w:p w14:paraId="15D10B71"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0FB09F48"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8" w:type="dxa"/>
          </w:tcPr>
          <w:p w14:paraId="05DB4D99"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493CA226"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468C4206" w14:textId="77777777" w:rsidTr="00A369A1">
        <w:tc>
          <w:tcPr>
            <w:tcW w:w="3289" w:type="dxa"/>
          </w:tcPr>
          <w:p w14:paraId="560C41D7" w14:textId="77777777" w:rsidR="00CA11D6" w:rsidRPr="00806B7F" w:rsidRDefault="00CA11D6" w:rsidP="00A369A1">
            <w:pPr>
              <w:rPr>
                <w:rFonts w:ascii="Arial" w:hAnsi="Arial" w:cs="Arial"/>
                <w:sz w:val="20"/>
                <w:highlight w:val="yellow"/>
              </w:rPr>
            </w:pPr>
          </w:p>
        </w:tc>
        <w:tc>
          <w:tcPr>
            <w:tcW w:w="1247" w:type="dxa"/>
          </w:tcPr>
          <w:p w14:paraId="2F46CBCB"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4A04F9CC"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3BEFD2CA"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7A765463"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28906555"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78EC8157" w14:textId="77777777" w:rsidTr="00A369A1">
        <w:trPr>
          <w:trHeight w:val="70"/>
        </w:trPr>
        <w:tc>
          <w:tcPr>
            <w:tcW w:w="3289" w:type="dxa"/>
          </w:tcPr>
          <w:p w14:paraId="0DCDB959" w14:textId="77777777" w:rsidR="00CA11D6" w:rsidRPr="00806B7F" w:rsidRDefault="00CA11D6" w:rsidP="00A369A1">
            <w:pPr>
              <w:rPr>
                <w:rFonts w:ascii="Arial" w:hAnsi="Arial" w:cs="Arial"/>
                <w:sz w:val="20"/>
              </w:rPr>
            </w:pPr>
            <w:r w:rsidRPr="00806B7F">
              <w:rPr>
                <w:rFonts w:ascii="Arial" w:hAnsi="Arial" w:cs="Arial"/>
                <w:sz w:val="20"/>
              </w:rPr>
              <w:t>Grants and Contributions</w:t>
            </w:r>
          </w:p>
        </w:tc>
        <w:tc>
          <w:tcPr>
            <w:tcW w:w="1247" w:type="dxa"/>
          </w:tcPr>
          <w:p w14:paraId="284C44A7"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10F292C9"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44F5F3DF"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2A999D76"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623A7D79" w14:textId="77777777" w:rsidR="00CA11D6" w:rsidRPr="00806B7F" w:rsidRDefault="00CA11D6" w:rsidP="00A369A1">
            <w:pPr>
              <w:jc w:val="center"/>
              <w:rPr>
                <w:rFonts w:ascii="Arial" w:hAnsi="Arial" w:cs="Arial"/>
                <w:sz w:val="20"/>
              </w:rPr>
            </w:pPr>
            <w:r w:rsidRPr="00806B7F">
              <w:rPr>
                <w:rFonts w:ascii="Arial" w:hAnsi="Arial" w:cs="Arial"/>
                <w:sz w:val="20"/>
              </w:rPr>
              <w:t>1.000</w:t>
            </w:r>
          </w:p>
        </w:tc>
      </w:tr>
      <w:tr w:rsidR="00CA11D6" w:rsidRPr="00806B7F" w14:paraId="37706EA4" w14:textId="77777777" w:rsidTr="00A369A1">
        <w:trPr>
          <w:trHeight w:val="70"/>
        </w:trPr>
        <w:tc>
          <w:tcPr>
            <w:tcW w:w="3289" w:type="dxa"/>
          </w:tcPr>
          <w:p w14:paraId="242AE683" w14:textId="77777777" w:rsidR="00CA11D6" w:rsidRPr="00806B7F" w:rsidRDefault="00CA11D6" w:rsidP="00A369A1">
            <w:pPr>
              <w:rPr>
                <w:rFonts w:ascii="Arial" w:hAnsi="Arial" w:cs="Arial"/>
                <w:sz w:val="20"/>
              </w:rPr>
            </w:pPr>
            <w:r w:rsidRPr="00806B7F">
              <w:rPr>
                <w:rFonts w:ascii="Arial" w:hAnsi="Arial" w:cs="Arial"/>
                <w:sz w:val="20"/>
              </w:rPr>
              <w:t>Own Resources</w:t>
            </w:r>
          </w:p>
        </w:tc>
        <w:tc>
          <w:tcPr>
            <w:tcW w:w="1247" w:type="dxa"/>
          </w:tcPr>
          <w:p w14:paraId="1CD9E577" w14:textId="77777777" w:rsidR="00CA11D6" w:rsidRPr="00806B7F" w:rsidRDefault="00CA11D6" w:rsidP="00A369A1">
            <w:pPr>
              <w:jc w:val="center"/>
              <w:rPr>
                <w:rFonts w:ascii="Arial" w:hAnsi="Arial" w:cs="Arial"/>
                <w:sz w:val="20"/>
              </w:rPr>
            </w:pPr>
            <w:r w:rsidRPr="00806B7F">
              <w:rPr>
                <w:rFonts w:ascii="Arial" w:hAnsi="Arial" w:cs="Arial"/>
                <w:sz w:val="20"/>
              </w:rPr>
              <w:t>3.350</w:t>
            </w:r>
          </w:p>
        </w:tc>
        <w:tc>
          <w:tcPr>
            <w:tcW w:w="1247" w:type="dxa"/>
          </w:tcPr>
          <w:p w14:paraId="6E44D0B5" w14:textId="77777777" w:rsidR="00CA11D6" w:rsidRPr="00806B7F" w:rsidRDefault="00CA11D6" w:rsidP="00A369A1">
            <w:pPr>
              <w:jc w:val="center"/>
              <w:rPr>
                <w:rFonts w:ascii="Arial" w:hAnsi="Arial" w:cs="Arial"/>
                <w:sz w:val="20"/>
              </w:rPr>
            </w:pPr>
            <w:r w:rsidRPr="00806B7F">
              <w:rPr>
                <w:rFonts w:ascii="Arial" w:hAnsi="Arial" w:cs="Arial"/>
                <w:sz w:val="20"/>
              </w:rPr>
              <w:t>3.271</w:t>
            </w:r>
          </w:p>
        </w:tc>
        <w:tc>
          <w:tcPr>
            <w:tcW w:w="1248" w:type="dxa"/>
          </w:tcPr>
          <w:p w14:paraId="61079EB9" w14:textId="77777777" w:rsidR="00CA11D6" w:rsidRPr="00806B7F" w:rsidRDefault="00CA11D6" w:rsidP="00A369A1">
            <w:pPr>
              <w:jc w:val="center"/>
              <w:rPr>
                <w:rFonts w:ascii="Arial" w:hAnsi="Arial" w:cs="Arial"/>
                <w:sz w:val="20"/>
              </w:rPr>
            </w:pPr>
            <w:r w:rsidRPr="00806B7F">
              <w:rPr>
                <w:rFonts w:ascii="Arial" w:hAnsi="Arial" w:cs="Arial"/>
                <w:sz w:val="20"/>
              </w:rPr>
              <w:t>10.116</w:t>
            </w:r>
          </w:p>
        </w:tc>
        <w:tc>
          <w:tcPr>
            <w:tcW w:w="1247" w:type="dxa"/>
          </w:tcPr>
          <w:p w14:paraId="7C60F97E" w14:textId="77777777" w:rsidR="00CA11D6" w:rsidRPr="00806B7F" w:rsidRDefault="00CA11D6" w:rsidP="00A369A1">
            <w:pPr>
              <w:jc w:val="center"/>
              <w:rPr>
                <w:rFonts w:ascii="Arial" w:hAnsi="Arial" w:cs="Arial"/>
                <w:sz w:val="20"/>
              </w:rPr>
            </w:pPr>
            <w:r w:rsidRPr="00806B7F">
              <w:rPr>
                <w:rFonts w:ascii="Arial" w:hAnsi="Arial" w:cs="Arial"/>
                <w:sz w:val="20"/>
              </w:rPr>
              <w:t>10.320</w:t>
            </w:r>
          </w:p>
        </w:tc>
        <w:tc>
          <w:tcPr>
            <w:tcW w:w="1248" w:type="dxa"/>
          </w:tcPr>
          <w:p w14:paraId="2F505242" w14:textId="77777777" w:rsidR="00CA11D6" w:rsidRPr="00806B7F" w:rsidRDefault="00CA11D6" w:rsidP="00A369A1">
            <w:pPr>
              <w:jc w:val="center"/>
              <w:rPr>
                <w:rFonts w:ascii="Arial" w:hAnsi="Arial" w:cs="Arial"/>
                <w:sz w:val="20"/>
              </w:rPr>
            </w:pPr>
            <w:r w:rsidRPr="00806B7F">
              <w:rPr>
                <w:rFonts w:ascii="Arial" w:hAnsi="Arial" w:cs="Arial"/>
                <w:sz w:val="20"/>
              </w:rPr>
              <w:t>11.015</w:t>
            </w:r>
          </w:p>
        </w:tc>
      </w:tr>
      <w:tr w:rsidR="00CA11D6" w:rsidRPr="00806B7F" w14:paraId="03A591A2" w14:textId="77777777" w:rsidTr="00A369A1">
        <w:trPr>
          <w:trHeight w:val="70"/>
        </w:trPr>
        <w:tc>
          <w:tcPr>
            <w:tcW w:w="3289" w:type="dxa"/>
          </w:tcPr>
          <w:p w14:paraId="6F515A0C" w14:textId="77777777" w:rsidR="00CA11D6" w:rsidRPr="00806B7F" w:rsidRDefault="00CA11D6" w:rsidP="00A369A1">
            <w:pPr>
              <w:rPr>
                <w:rFonts w:ascii="Arial" w:hAnsi="Arial" w:cs="Arial"/>
                <w:sz w:val="20"/>
              </w:rPr>
            </w:pPr>
            <w:r w:rsidRPr="00806B7F">
              <w:rPr>
                <w:rFonts w:ascii="Arial" w:hAnsi="Arial" w:cs="Arial"/>
                <w:sz w:val="20"/>
              </w:rPr>
              <w:t>Debt</w:t>
            </w:r>
          </w:p>
        </w:tc>
        <w:tc>
          <w:tcPr>
            <w:tcW w:w="1247" w:type="dxa"/>
          </w:tcPr>
          <w:p w14:paraId="1EF881B6"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3E94E6A1"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71607B36"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1D63C6D2"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17CF380A" w14:textId="77777777" w:rsidR="00CA11D6" w:rsidRPr="00806B7F" w:rsidRDefault="00CA11D6" w:rsidP="00A369A1">
            <w:pPr>
              <w:jc w:val="center"/>
              <w:rPr>
                <w:rFonts w:ascii="Arial" w:hAnsi="Arial" w:cs="Arial"/>
                <w:sz w:val="20"/>
              </w:rPr>
            </w:pPr>
            <w:r w:rsidRPr="00806B7F">
              <w:rPr>
                <w:rFonts w:ascii="Arial" w:hAnsi="Arial" w:cs="Arial"/>
                <w:sz w:val="20"/>
              </w:rPr>
              <w:t>-</w:t>
            </w:r>
          </w:p>
        </w:tc>
      </w:tr>
      <w:tr w:rsidR="00CA11D6" w:rsidRPr="00806B7F" w14:paraId="3D4A2D43" w14:textId="77777777" w:rsidTr="00A369A1">
        <w:trPr>
          <w:trHeight w:val="70"/>
        </w:trPr>
        <w:tc>
          <w:tcPr>
            <w:tcW w:w="3289" w:type="dxa"/>
          </w:tcPr>
          <w:p w14:paraId="01D09799" w14:textId="77777777" w:rsidR="00CA11D6" w:rsidRPr="00806B7F" w:rsidRDefault="00CA11D6" w:rsidP="00A369A1">
            <w:pPr>
              <w:rPr>
                <w:rFonts w:ascii="Arial" w:hAnsi="Arial" w:cs="Arial"/>
                <w:b/>
                <w:sz w:val="20"/>
              </w:rPr>
            </w:pPr>
            <w:r w:rsidRPr="00806B7F">
              <w:rPr>
                <w:rFonts w:ascii="Arial" w:hAnsi="Arial" w:cs="Arial"/>
                <w:b/>
                <w:sz w:val="20"/>
              </w:rPr>
              <w:t>Total</w:t>
            </w:r>
          </w:p>
        </w:tc>
        <w:tc>
          <w:tcPr>
            <w:tcW w:w="1247" w:type="dxa"/>
          </w:tcPr>
          <w:p w14:paraId="3A546E59" w14:textId="77777777" w:rsidR="00CA11D6" w:rsidRPr="00806B7F" w:rsidRDefault="00CA11D6" w:rsidP="00A369A1">
            <w:pPr>
              <w:jc w:val="center"/>
              <w:rPr>
                <w:rFonts w:ascii="Arial" w:hAnsi="Arial" w:cs="Arial"/>
                <w:b/>
                <w:sz w:val="20"/>
              </w:rPr>
            </w:pPr>
            <w:r w:rsidRPr="00806B7F">
              <w:rPr>
                <w:rFonts w:ascii="Arial" w:hAnsi="Arial" w:cs="Arial"/>
                <w:sz w:val="20"/>
              </w:rPr>
              <w:t>3.350</w:t>
            </w:r>
          </w:p>
        </w:tc>
        <w:tc>
          <w:tcPr>
            <w:tcW w:w="1247" w:type="dxa"/>
          </w:tcPr>
          <w:p w14:paraId="541A14CA" w14:textId="77777777" w:rsidR="00CA11D6" w:rsidRPr="00806B7F" w:rsidRDefault="00CA11D6" w:rsidP="00A369A1">
            <w:pPr>
              <w:jc w:val="center"/>
              <w:rPr>
                <w:rFonts w:ascii="Arial" w:hAnsi="Arial" w:cs="Arial"/>
                <w:b/>
                <w:sz w:val="20"/>
              </w:rPr>
            </w:pPr>
            <w:r w:rsidRPr="00806B7F">
              <w:rPr>
                <w:rFonts w:ascii="Arial" w:hAnsi="Arial" w:cs="Arial"/>
                <w:sz w:val="20"/>
              </w:rPr>
              <w:t>3.271</w:t>
            </w:r>
          </w:p>
        </w:tc>
        <w:tc>
          <w:tcPr>
            <w:tcW w:w="1248" w:type="dxa"/>
          </w:tcPr>
          <w:p w14:paraId="079C6CAB" w14:textId="77777777" w:rsidR="00CA11D6" w:rsidRPr="00806B7F" w:rsidRDefault="00CA11D6" w:rsidP="00A369A1">
            <w:pPr>
              <w:jc w:val="center"/>
              <w:rPr>
                <w:rFonts w:ascii="Arial" w:hAnsi="Arial" w:cs="Arial"/>
                <w:b/>
                <w:sz w:val="20"/>
              </w:rPr>
            </w:pPr>
            <w:r w:rsidRPr="00806B7F">
              <w:rPr>
                <w:rFonts w:ascii="Arial" w:hAnsi="Arial" w:cs="Arial"/>
                <w:sz w:val="20"/>
              </w:rPr>
              <w:t>10.116</w:t>
            </w:r>
          </w:p>
        </w:tc>
        <w:tc>
          <w:tcPr>
            <w:tcW w:w="1247" w:type="dxa"/>
          </w:tcPr>
          <w:p w14:paraId="17018316" w14:textId="77777777" w:rsidR="00CA11D6" w:rsidRPr="00806B7F" w:rsidRDefault="00CA11D6" w:rsidP="00A369A1">
            <w:pPr>
              <w:jc w:val="center"/>
              <w:rPr>
                <w:rFonts w:ascii="Arial" w:hAnsi="Arial" w:cs="Arial"/>
                <w:b/>
                <w:sz w:val="20"/>
              </w:rPr>
            </w:pPr>
            <w:r w:rsidRPr="00806B7F">
              <w:rPr>
                <w:rFonts w:ascii="Arial" w:hAnsi="Arial" w:cs="Arial"/>
                <w:sz w:val="20"/>
              </w:rPr>
              <w:t>10.320</w:t>
            </w:r>
          </w:p>
        </w:tc>
        <w:tc>
          <w:tcPr>
            <w:tcW w:w="1248" w:type="dxa"/>
          </w:tcPr>
          <w:p w14:paraId="300EA7DA" w14:textId="77777777" w:rsidR="00CA11D6" w:rsidRPr="00806B7F" w:rsidRDefault="00CA11D6" w:rsidP="00A369A1">
            <w:pPr>
              <w:jc w:val="center"/>
              <w:rPr>
                <w:rFonts w:ascii="Arial" w:hAnsi="Arial" w:cs="Arial"/>
                <w:b/>
                <w:sz w:val="20"/>
              </w:rPr>
            </w:pPr>
            <w:r w:rsidRPr="00806B7F">
              <w:rPr>
                <w:rFonts w:ascii="Arial" w:hAnsi="Arial" w:cs="Arial"/>
                <w:sz w:val="20"/>
              </w:rPr>
              <w:t>12.015</w:t>
            </w:r>
          </w:p>
        </w:tc>
      </w:tr>
    </w:tbl>
    <w:p w14:paraId="61B73FBA" w14:textId="77777777" w:rsidR="00CA11D6" w:rsidRPr="00806B7F" w:rsidRDefault="00CA11D6" w:rsidP="00CA11D6">
      <w:pPr>
        <w:jc w:val="both"/>
        <w:rPr>
          <w:rFonts w:ascii="Arial" w:hAnsi="Arial" w:cs="Arial"/>
          <w:b/>
          <w:sz w:val="20"/>
          <w:highlight w:val="yellow"/>
        </w:rPr>
      </w:pPr>
    </w:p>
    <w:p w14:paraId="6B9A0464" w14:textId="77777777" w:rsidR="00CA11D6" w:rsidRPr="00806B7F" w:rsidRDefault="00CA11D6" w:rsidP="00CA11D6">
      <w:pPr>
        <w:jc w:val="both"/>
        <w:rPr>
          <w:rFonts w:ascii="Arial" w:hAnsi="Arial" w:cs="Arial"/>
          <w:b/>
          <w:sz w:val="20"/>
        </w:rPr>
      </w:pPr>
      <w:r w:rsidRPr="00806B7F">
        <w:rPr>
          <w:rFonts w:ascii="Arial" w:hAnsi="Arial" w:cs="Arial"/>
          <w:b/>
          <w:sz w:val="20"/>
        </w:rPr>
        <w:t>Borrowing Strategy</w:t>
      </w:r>
    </w:p>
    <w:p w14:paraId="0EA75DCD" w14:textId="77777777" w:rsidR="00CA11D6" w:rsidRPr="00806B7F" w:rsidRDefault="00CA11D6" w:rsidP="00CA11D6">
      <w:pPr>
        <w:jc w:val="both"/>
        <w:rPr>
          <w:rFonts w:ascii="Arial" w:hAnsi="Arial" w:cs="Arial"/>
          <w:sz w:val="20"/>
          <w:u w:val="single"/>
        </w:rPr>
      </w:pPr>
    </w:p>
    <w:p w14:paraId="45C6437C"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Capital Financing Requirement (CFR) 2021/22 to 2025/26</w:t>
      </w:r>
    </w:p>
    <w:p w14:paraId="6217C6DC" w14:textId="77777777" w:rsidR="00CA11D6" w:rsidRPr="00DB5DCF" w:rsidRDefault="00CA11D6" w:rsidP="00DB5DCF">
      <w:pPr>
        <w:rPr>
          <w:rFonts w:ascii="Arial" w:hAnsi="Arial" w:cs="Arial"/>
          <w:sz w:val="20"/>
        </w:rPr>
      </w:pPr>
    </w:p>
    <w:p w14:paraId="4534C575"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14 Capital financing requirements  by year</w:t>
      </w: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60"/>
        <w:gridCol w:w="1260"/>
        <w:gridCol w:w="1261"/>
        <w:gridCol w:w="1260"/>
        <w:gridCol w:w="1261"/>
      </w:tblGrid>
      <w:tr w:rsidR="00CA11D6" w:rsidRPr="00806B7F" w14:paraId="2F30BFDB" w14:textId="77777777" w:rsidTr="00A369A1">
        <w:tc>
          <w:tcPr>
            <w:tcW w:w="3289" w:type="dxa"/>
          </w:tcPr>
          <w:p w14:paraId="1487E3B0" w14:textId="77777777" w:rsidR="00CA11D6" w:rsidRPr="00806B7F" w:rsidRDefault="00CA11D6" w:rsidP="00A369A1">
            <w:pPr>
              <w:rPr>
                <w:rFonts w:ascii="Arial" w:hAnsi="Arial" w:cs="Arial"/>
                <w:sz w:val="20"/>
                <w:highlight w:val="yellow"/>
              </w:rPr>
            </w:pPr>
          </w:p>
          <w:p w14:paraId="3C3683AC" w14:textId="77777777" w:rsidR="00CA11D6" w:rsidRPr="00806B7F" w:rsidRDefault="00CA11D6" w:rsidP="00A369A1">
            <w:pPr>
              <w:rPr>
                <w:rFonts w:ascii="Arial" w:hAnsi="Arial" w:cs="Arial"/>
                <w:sz w:val="20"/>
                <w:highlight w:val="yellow"/>
              </w:rPr>
            </w:pPr>
          </w:p>
        </w:tc>
        <w:tc>
          <w:tcPr>
            <w:tcW w:w="1260" w:type="dxa"/>
          </w:tcPr>
          <w:p w14:paraId="126621D2"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732C41F0"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260" w:type="dxa"/>
          </w:tcPr>
          <w:p w14:paraId="03EA8D6D"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58403E2D"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61" w:type="dxa"/>
          </w:tcPr>
          <w:p w14:paraId="339E2B4D"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55EFF27A"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60" w:type="dxa"/>
          </w:tcPr>
          <w:p w14:paraId="7136136D"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42942606"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61" w:type="dxa"/>
          </w:tcPr>
          <w:p w14:paraId="48837D89"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7773C3F0"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17D5ACAF" w14:textId="77777777" w:rsidTr="00A369A1">
        <w:tc>
          <w:tcPr>
            <w:tcW w:w="3289" w:type="dxa"/>
          </w:tcPr>
          <w:p w14:paraId="7C3CFD29" w14:textId="77777777" w:rsidR="00CA11D6" w:rsidRPr="00806B7F" w:rsidRDefault="00CA11D6" w:rsidP="00A369A1">
            <w:pPr>
              <w:rPr>
                <w:rFonts w:ascii="Arial" w:hAnsi="Arial" w:cs="Arial"/>
                <w:sz w:val="20"/>
                <w:highlight w:val="yellow"/>
              </w:rPr>
            </w:pPr>
          </w:p>
        </w:tc>
        <w:tc>
          <w:tcPr>
            <w:tcW w:w="1260" w:type="dxa"/>
          </w:tcPr>
          <w:p w14:paraId="4AC90E79"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60" w:type="dxa"/>
          </w:tcPr>
          <w:p w14:paraId="1E3D061C"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61" w:type="dxa"/>
          </w:tcPr>
          <w:p w14:paraId="262024F5"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60" w:type="dxa"/>
          </w:tcPr>
          <w:p w14:paraId="3A369B1A"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61" w:type="dxa"/>
          </w:tcPr>
          <w:p w14:paraId="5BE914F4"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306A2FFF" w14:textId="77777777" w:rsidTr="00A369A1">
        <w:trPr>
          <w:trHeight w:val="227"/>
        </w:trPr>
        <w:tc>
          <w:tcPr>
            <w:tcW w:w="3289" w:type="dxa"/>
          </w:tcPr>
          <w:p w14:paraId="7B4E7975" w14:textId="77777777" w:rsidR="00CA11D6" w:rsidRPr="00806B7F" w:rsidRDefault="00CA11D6" w:rsidP="00A369A1">
            <w:pPr>
              <w:rPr>
                <w:rFonts w:ascii="Arial" w:hAnsi="Arial" w:cs="Arial"/>
                <w:sz w:val="20"/>
              </w:rPr>
            </w:pPr>
            <w:r w:rsidRPr="00806B7F">
              <w:rPr>
                <w:rFonts w:ascii="Arial" w:hAnsi="Arial" w:cs="Arial"/>
                <w:sz w:val="20"/>
              </w:rPr>
              <w:t>Capital Financing Requirement (Debt only)</w:t>
            </w:r>
          </w:p>
        </w:tc>
        <w:tc>
          <w:tcPr>
            <w:tcW w:w="1260" w:type="dxa"/>
          </w:tcPr>
          <w:p w14:paraId="0C966D13"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60" w:type="dxa"/>
          </w:tcPr>
          <w:p w14:paraId="01E33737"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61" w:type="dxa"/>
          </w:tcPr>
          <w:p w14:paraId="04C9ED22"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60" w:type="dxa"/>
          </w:tcPr>
          <w:p w14:paraId="519AF503"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61" w:type="dxa"/>
          </w:tcPr>
          <w:p w14:paraId="40B665BF" w14:textId="77777777" w:rsidR="00CA11D6" w:rsidRPr="00806B7F" w:rsidRDefault="00CA11D6" w:rsidP="00A369A1">
            <w:pPr>
              <w:jc w:val="center"/>
              <w:rPr>
                <w:rFonts w:ascii="Arial" w:hAnsi="Arial" w:cs="Arial"/>
                <w:sz w:val="20"/>
              </w:rPr>
            </w:pPr>
            <w:r w:rsidRPr="00806B7F">
              <w:rPr>
                <w:rFonts w:ascii="Arial" w:hAnsi="Arial" w:cs="Arial"/>
                <w:sz w:val="20"/>
              </w:rPr>
              <w:t>-</w:t>
            </w:r>
          </w:p>
        </w:tc>
      </w:tr>
    </w:tbl>
    <w:p w14:paraId="74C01AC8" w14:textId="77777777" w:rsidR="00CA11D6" w:rsidRPr="00806B7F" w:rsidRDefault="00CA11D6" w:rsidP="00CA11D6">
      <w:pPr>
        <w:jc w:val="both"/>
        <w:rPr>
          <w:rFonts w:ascii="Arial" w:hAnsi="Arial" w:cs="Arial"/>
          <w:sz w:val="20"/>
          <w:highlight w:val="yellow"/>
        </w:rPr>
      </w:pPr>
    </w:p>
    <w:p w14:paraId="08D05FFF" w14:textId="77777777" w:rsidR="00CA11D6" w:rsidRPr="00806B7F" w:rsidRDefault="00CA11D6" w:rsidP="00CA11D6">
      <w:pPr>
        <w:jc w:val="both"/>
        <w:rPr>
          <w:rFonts w:ascii="Arial" w:hAnsi="Arial" w:cs="Arial"/>
          <w:sz w:val="20"/>
        </w:rPr>
      </w:pPr>
      <w:r w:rsidRPr="00806B7F">
        <w:rPr>
          <w:rFonts w:ascii="Arial" w:hAnsi="Arial" w:cs="Arial"/>
          <w:sz w:val="20"/>
        </w:rPr>
        <w:t xml:space="preserve">The capital financing requirement measures the authority’s underlying need to borrow for a capital purpose and reflects the effects of previous investment decisions as well as future planned expenditure.  In accordance with best professional practice, the Authority does not associate borrowing with </w:t>
      </w:r>
      <w:proofErr w:type="gramStart"/>
      <w:r w:rsidRPr="00806B7F">
        <w:rPr>
          <w:rFonts w:ascii="Arial" w:hAnsi="Arial" w:cs="Arial"/>
          <w:sz w:val="20"/>
        </w:rPr>
        <w:t>particular items</w:t>
      </w:r>
      <w:proofErr w:type="gramEnd"/>
      <w:r w:rsidRPr="00806B7F">
        <w:rPr>
          <w:rFonts w:ascii="Arial" w:hAnsi="Arial" w:cs="Arial"/>
          <w:sz w:val="20"/>
        </w:rPr>
        <w:t xml:space="preserve"> or types of expenditure. External borrowing arises </w:t>
      </w:r>
      <w:proofErr w:type="gramStart"/>
      <w:r w:rsidRPr="00806B7F">
        <w:rPr>
          <w:rFonts w:ascii="Arial" w:hAnsi="Arial" w:cs="Arial"/>
          <w:sz w:val="20"/>
        </w:rPr>
        <w:t>as a consequence of</w:t>
      </w:r>
      <w:proofErr w:type="gramEnd"/>
      <w:r w:rsidRPr="00806B7F">
        <w:rPr>
          <w:rFonts w:ascii="Arial" w:hAnsi="Arial" w:cs="Arial"/>
          <w:sz w:val="20"/>
        </w:rPr>
        <w:t xml:space="preserve"> all the financial transactions of the Authority and not simply those arising from capital spending, but in the medium term the Treasurer anticipates that borrowing is undertaken for capital purposes only.   These capital financing requirements then feed through into the anticipated level of external debt as reported in the Treasury Management Strategy elsewhere on the agenda but repeated here for completeness. As reported in the Treasury Management Strategy the Authority has made additional MRP provisions since 2010/11 </w:t>
      </w:r>
      <w:proofErr w:type="gramStart"/>
      <w:r w:rsidRPr="00806B7F">
        <w:rPr>
          <w:rFonts w:ascii="Arial" w:hAnsi="Arial" w:cs="Arial"/>
          <w:sz w:val="20"/>
        </w:rPr>
        <w:t>in order to</w:t>
      </w:r>
      <w:proofErr w:type="gramEnd"/>
      <w:r w:rsidRPr="00806B7F">
        <w:rPr>
          <w:rFonts w:ascii="Arial" w:hAnsi="Arial" w:cs="Arial"/>
          <w:sz w:val="20"/>
        </w:rPr>
        <w:t xml:space="preserve"> reduce capital financing requirements to nil.</w:t>
      </w:r>
    </w:p>
    <w:p w14:paraId="3CFF7E7F" w14:textId="77777777" w:rsidR="00CA11D6" w:rsidRPr="00806B7F" w:rsidRDefault="00CA11D6" w:rsidP="00CA11D6">
      <w:pPr>
        <w:jc w:val="both"/>
        <w:rPr>
          <w:rFonts w:ascii="Arial" w:hAnsi="Arial" w:cs="Arial"/>
          <w:sz w:val="20"/>
        </w:rPr>
      </w:pPr>
    </w:p>
    <w:p w14:paraId="30A4A534"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Authorised limit and operational boundary for its total external debt</w:t>
      </w:r>
    </w:p>
    <w:p w14:paraId="37629847" w14:textId="77777777" w:rsidR="00CA11D6" w:rsidRPr="00806B7F" w:rsidRDefault="00CA11D6" w:rsidP="00CA11D6">
      <w:pPr>
        <w:ind w:firstLine="360"/>
        <w:jc w:val="both"/>
        <w:rPr>
          <w:rFonts w:ascii="Arial" w:hAnsi="Arial" w:cs="Arial"/>
          <w:sz w:val="20"/>
        </w:rPr>
      </w:pPr>
    </w:p>
    <w:p w14:paraId="5C78B435" w14:textId="77777777" w:rsidR="00CA11D6" w:rsidRPr="00806B7F" w:rsidRDefault="00CA11D6" w:rsidP="00CA11D6">
      <w:pPr>
        <w:jc w:val="both"/>
        <w:rPr>
          <w:rFonts w:ascii="Arial" w:hAnsi="Arial" w:cs="Arial"/>
          <w:sz w:val="20"/>
        </w:rPr>
      </w:pPr>
      <w:r w:rsidRPr="00806B7F">
        <w:rPr>
          <w:rFonts w:ascii="Arial" w:hAnsi="Arial" w:cs="Arial"/>
          <w:sz w:val="20"/>
        </w:rPr>
        <w:t xml:space="preserve">In respect of its external debt the Authority is required to set two limits over the three-year period: an authorised limit and an operational boundary. Both are based on the planned capital expenditure, estimates of the capital financing </w:t>
      </w:r>
      <w:proofErr w:type="gramStart"/>
      <w:r w:rsidRPr="00806B7F">
        <w:rPr>
          <w:rFonts w:ascii="Arial" w:hAnsi="Arial" w:cs="Arial"/>
          <w:sz w:val="20"/>
        </w:rPr>
        <w:t>requirement</w:t>
      </w:r>
      <w:proofErr w:type="gramEnd"/>
      <w:r w:rsidRPr="00806B7F">
        <w:rPr>
          <w:rFonts w:ascii="Arial" w:hAnsi="Arial" w:cs="Arial"/>
          <w:sz w:val="20"/>
        </w:rPr>
        <w:t xml:space="preserve"> and estimates of cash flow requirements for all purposes. It should be noted that these limits have then been uplifted to include potential borrowing associated with a future decision to go ahead with a replacement Headquarters.</w:t>
      </w:r>
    </w:p>
    <w:p w14:paraId="1DA63BFC" w14:textId="77777777" w:rsidR="00CA11D6" w:rsidRPr="00806B7F" w:rsidRDefault="00CA11D6" w:rsidP="00CA11D6">
      <w:pPr>
        <w:jc w:val="both"/>
        <w:rPr>
          <w:rFonts w:ascii="Arial" w:hAnsi="Arial" w:cs="Arial"/>
          <w:sz w:val="20"/>
        </w:rPr>
      </w:pPr>
    </w:p>
    <w:p w14:paraId="0D57E726" w14:textId="77777777" w:rsidR="00CA11D6" w:rsidRPr="00806B7F" w:rsidRDefault="00CA11D6" w:rsidP="00CA11D6">
      <w:pPr>
        <w:jc w:val="both"/>
        <w:rPr>
          <w:rFonts w:ascii="Arial" w:hAnsi="Arial" w:cs="Arial"/>
          <w:sz w:val="20"/>
        </w:rPr>
      </w:pPr>
      <w:r w:rsidRPr="00806B7F">
        <w:rPr>
          <w:rFonts w:ascii="Arial" w:hAnsi="Arial" w:cs="Arial"/>
          <w:sz w:val="20"/>
        </w:rPr>
        <w:t>The operational boundary is based on the most likely, but not worst case, scenario and represents the maximum level of external debt projected by these estimates. However, unexpected cashflow movements can occur during the year and some provision needs to be made in setting the authorised limit to deal with this.</w:t>
      </w:r>
    </w:p>
    <w:p w14:paraId="004B63EA" w14:textId="77777777" w:rsidR="00CA11D6" w:rsidRPr="00806B7F" w:rsidRDefault="00CA11D6" w:rsidP="00CA11D6">
      <w:pPr>
        <w:jc w:val="both"/>
        <w:rPr>
          <w:rFonts w:ascii="Arial" w:hAnsi="Arial" w:cs="Arial"/>
          <w:sz w:val="20"/>
        </w:rPr>
      </w:pPr>
    </w:p>
    <w:p w14:paraId="6744C9F1" w14:textId="77777777" w:rsidR="00CA11D6" w:rsidRPr="00806B7F" w:rsidRDefault="00CA11D6" w:rsidP="00CA11D6">
      <w:pPr>
        <w:jc w:val="both"/>
        <w:rPr>
          <w:rFonts w:ascii="Arial" w:hAnsi="Arial" w:cs="Arial"/>
          <w:sz w:val="20"/>
        </w:rPr>
      </w:pPr>
      <w:r w:rsidRPr="00806B7F">
        <w:rPr>
          <w:rFonts w:ascii="Arial" w:hAnsi="Arial" w:cs="Arial"/>
          <w:sz w:val="20"/>
        </w:rPr>
        <w:t xml:space="preserve">The two indicators are as follows: </w:t>
      </w:r>
    </w:p>
    <w:p w14:paraId="55041CC2" w14:textId="77777777" w:rsidR="00CA11D6" w:rsidRPr="00806B7F" w:rsidRDefault="00CA11D6" w:rsidP="00CA11D6">
      <w:pPr>
        <w:jc w:val="both"/>
        <w:rPr>
          <w:rFonts w:ascii="Arial" w:hAnsi="Arial" w:cs="Arial"/>
          <w:sz w:val="20"/>
        </w:rPr>
      </w:pPr>
    </w:p>
    <w:p w14:paraId="19D03085"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15 Borrowing Limits by year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247"/>
        <w:gridCol w:w="1247"/>
        <w:gridCol w:w="1248"/>
        <w:gridCol w:w="1247"/>
        <w:gridCol w:w="1248"/>
      </w:tblGrid>
      <w:tr w:rsidR="00CA11D6" w:rsidRPr="00806B7F" w14:paraId="14099AEF" w14:textId="77777777" w:rsidTr="00A369A1">
        <w:tc>
          <w:tcPr>
            <w:tcW w:w="3397" w:type="dxa"/>
          </w:tcPr>
          <w:p w14:paraId="62E22353" w14:textId="77777777" w:rsidR="00CA11D6" w:rsidRPr="00806B7F" w:rsidRDefault="00CA11D6" w:rsidP="00A369A1">
            <w:pPr>
              <w:rPr>
                <w:rFonts w:ascii="Arial" w:hAnsi="Arial" w:cs="Arial"/>
                <w:sz w:val="20"/>
                <w:highlight w:val="yellow"/>
              </w:rPr>
            </w:pPr>
          </w:p>
        </w:tc>
        <w:tc>
          <w:tcPr>
            <w:tcW w:w="1247" w:type="dxa"/>
          </w:tcPr>
          <w:p w14:paraId="18720C29"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6A492EAC" w14:textId="77777777" w:rsidR="00CA11D6" w:rsidRPr="00806B7F" w:rsidRDefault="00CA11D6" w:rsidP="00A369A1">
            <w:pPr>
              <w:jc w:val="center"/>
              <w:rPr>
                <w:rFonts w:ascii="Arial" w:hAnsi="Arial" w:cs="Arial"/>
                <w:b/>
                <w:sz w:val="20"/>
              </w:rPr>
            </w:pPr>
            <w:r w:rsidRPr="00806B7F">
              <w:rPr>
                <w:rFonts w:ascii="Arial" w:hAnsi="Arial" w:cs="Arial"/>
                <w:b/>
                <w:sz w:val="20"/>
              </w:rPr>
              <w:t>Actual</w:t>
            </w:r>
          </w:p>
        </w:tc>
        <w:tc>
          <w:tcPr>
            <w:tcW w:w="1247" w:type="dxa"/>
          </w:tcPr>
          <w:p w14:paraId="14907C04"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05F25EC7"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48" w:type="dxa"/>
          </w:tcPr>
          <w:p w14:paraId="3E2AAA0C"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05CA5937"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7" w:type="dxa"/>
          </w:tcPr>
          <w:p w14:paraId="3ECD5811"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66B849C8"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8" w:type="dxa"/>
          </w:tcPr>
          <w:p w14:paraId="46F3740B"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04B7A38A"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55B7C6D1" w14:textId="77777777" w:rsidTr="00A369A1">
        <w:tc>
          <w:tcPr>
            <w:tcW w:w="3397" w:type="dxa"/>
          </w:tcPr>
          <w:p w14:paraId="4F898656" w14:textId="77777777" w:rsidR="00CA11D6" w:rsidRPr="00806B7F" w:rsidRDefault="00CA11D6" w:rsidP="00A369A1">
            <w:pPr>
              <w:rPr>
                <w:rFonts w:ascii="Arial" w:hAnsi="Arial" w:cs="Arial"/>
                <w:sz w:val="20"/>
                <w:highlight w:val="yellow"/>
              </w:rPr>
            </w:pPr>
          </w:p>
        </w:tc>
        <w:tc>
          <w:tcPr>
            <w:tcW w:w="1247" w:type="dxa"/>
          </w:tcPr>
          <w:p w14:paraId="69F35DF7"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3868CCEF"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shd w:val="clear" w:color="auto" w:fill="auto"/>
          </w:tcPr>
          <w:p w14:paraId="278ABE7F"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shd w:val="clear" w:color="auto" w:fill="auto"/>
          </w:tcPr>
          <w:p w14:paraId="10BAE788"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shd w:val="clear" w:color="auto" w:fill="auto"/>
          </w:tcPr>
          <w:p w14:paraId="6D50F444"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1449FF0D" w14:textId="77777777" w:rsidTr="00A369A1">
        <w:tc>
          <w:tcPr>
            <w:tcW w:w="3397" w:type="dxa"/>
            <w:shd w:val="clear" w:color="auto" w:fill="auto"/>
          </w:tcPr>
          <w:p w14:paraId="06533258" w14:textId="77777777" w:rsidR="00CA11D6" w:rsidRPr="00806B7F" w:rsidRDefault="00CA11D6" w:rsidP="00A369A1">
            <w:pPr>
              <w:rPr>
                <w:rFonts w:ascii="Arial" w:hAnsi="Arial" w:cs="Arial"/>
                <w:b/>
                <w:sz w:val="20"/>
              </w:rPr>
            </w:pPr>
            <w:r w:rsidRPr="00806B7F">
              <w:rPr>
                <w:rFonts w:ascii="Arial" w:hAnsi="Arial" w:cs="Arial"/>
                <w:b/>
                <w:sz w:val="20"/>
              </w:rPr>
              <w:t>Authorised Limit for External Debt</w:t>
            </w:r>
          </w:p>
        </w:tc>
        <w:tc>
          <w:tcPr>
            <w:tcW w:w="1247" w:type="dxa"/>
          </w:tcPr>
          <w:p w14:paraId="40BF1B75" w14:textId="77777777" w:rsidR="00CA11D6" w:rsidRPr="00806B7F" w:rsidRDefault="00CA11D6" w:rsidP="00A369A1">
            <w:pPr>
              <w:jc w:val="center"/>
              <w:rPr>
                <w:rFonts w:ascii="Arial" w:hAnsi="Arial" w:cs="Arial"/>
                <w:sz w:val="20"/>
                <w:highlight w:val="yellow"/>
              </w:rPr>
            </w:pPr>
          </w:p>
        </w:tc>
        <w:tc>
          <w:tcPr>
            <w:tcW w:w="1247" w:type="dxa"/>
          </w:tcPr>
          <w:p w14:paraId="7E8D27E6" w14:textId="77777777" w:rsidR="00CA11D6" w:rsidRPr="00806B7F" w:rsidRDefault="00CA11D6" w:rsidP="00A369A1">
            <w:pPr>
              <w:jc w:val="center"/>
              <w:rPr>
                <w:rFonts w:ascii="Arial" w:hAnsi="Arial" w:cs="Arial"/>
                <w:sz w:val="20"/>
                <w:highlight w:val="yellow"/>
              </w:rPr>
            </w:pPr>
          </w:p>
        </w:tc>
        <w:tc>
          <w:tcPr>
            <w:tcW w:w="1248" w:type="dxa"/>
          </w:tcPr>
          <w:p w14:paraId="08409EF0" w14:textId="77777777" w:rsidR="00CA11D6" w:rsidRPr="00806B7F" w:rsidRDefault="00CA11D6" w:rsidP="00A369A1">
            <w:pPr>
              <w:jc w:val="center"/>
              <w:rPr>
                <w:rFonts w:ascii="Arial" w:hAnsi="Arial" w:cs="Arial"/>
                <w:sz w:val="20"/>
                <w:highlight w:val="yellow"/>
              </w:rPr>
            </w:pPr>
          </w:p>
        </w:tc>
        <w:tc>
          <w:tcPr>
            <w:tcW w:w="1247" w:type="dxa"/>
          </w:tcPr>
          <w:p w14:paraId="321E24BF" w14:textId="77777777" w:rsidR="00CA11D6" w:rsidRPr="00806B7F" w:rsidRDefault="00CA11D6" w:rsidP="00A369A1">
            <w:pPr>
              <w:jc w:val="center"/>
              <w:rPr>
                <w:rFonts w:ascii="Arial" w:hAnsi="Arial" w:cs="Arial"/>
                <w:sz w:val="20"/>
                <w:highlight w:val="yellow"/>
              </w:rPr>
            </w:pPr>
          </w:p>
        </w:tc>
        <w:tc>
          <w:tcPr>
            <w:tcW w:w="1248" w:type="dxa"/>
          </w:tcPr>
          <w:p w14:paraId="497478C5" w14:textId="77777777" w:rsidR="00CA11D6" w:rsidRPr="00806B7F" w:rsidRDefault="00CA11D6" w:rsidP="00A369A1">
            <w:pPr>
              <w:jc w:val="center"/>
              <w:rPr>
                <w:rFonts w:ascii="Arial" w:hAnsi="Arial" w:cs="Arial"/>
                <w:sz w:val="20"/>
                <w:highlight w:val="yellow"/>
              </w:rPr>
            </w:pPr>
          </w:p>
        </w:tc>
      </w:tr>
      <w:tr w:rsidR="00CA11D6" w:rsidRPr="00806B7F" w14:paraId="258C5E69" w14:textId="77777777" w:rsidTr="00A369A1">
        <w:tc>
          <w:tcPr>
            <w:tcW w:w="3397" w:type="dxa"/>
            <w:shd w:val="clear" w:color="auto" w:fill="auto"/>
          </w:tcPr>
          <w:p w14:paraId="75CA5542" w14:textId="77777777" w:rsidR="00CA11D6" w:rsidRPr="00806B7F" w:rsidRDefault="00CA11D6" w:rsidP="00A369A1">
            <w:pPr>
              <w:rPr>
                <w:rFonts w:ascii="Arial" w:hAnsi="Arial" w:cs="Arial"/>
                <w:sz w:val="20"/>
              </w:rPr>
            </w:pPr>
            <w:r w:rsidRPr="00806B7F">
              <w:rPr>
                <w:rFonts w:ascii="Arial" w:hAnsi="Arial" w:cs="Arial"/>
                <w:sz w:val="20"/>
              </w:rPr>
              <w:t>Borrowing</w:t>
            </w:r>
          </w:p>
        </w:tc>
        <w:tc>
          <w:tcPr>
            <w:tcW w:w="1247" w:type="dxa"/>
            <w:vAlign w:val="bottom"/>
          </w:tcPr>
          <w:p w14:paraId="6E35C660" w14:textId="77777777" w:rsidR="00CA11D6" w:rsidRPr="00806B7F" w:rsidDel="00C43C8D" w:rsidRDefault="00CA11D6" w:rsidP="00A369A1">
            <w:pPr>
              <w:jc w:val="center"/>
              <w:rPr>
                <w:rFonts w:ascii="Arial" w:hAnsi="Arial" w:cs="Arial"/>
                <w:sz w:val="20"/>
              </w:rPr>
            </w:pPr>
            <w:r w:rsidRPr="00806B7F">
              <w:rPr>
                <w:rFonts w:ascii="Arial" w:hAnsi="Arial" w:cs="Arial"/>
                <w:sz w:val="20"/>
              </w:rPr>
              <w:t>6,000</w:t>
            </w:r>
          </w:p>
        </w:tc>
        <w:tc>
          <w:tcPr>
            <w:tcW w:w="1247" w:type="dxa"/>
            <w:vAlign w:val="bottom"/>
          </w:tcPr>
          <w:p w14:paraId="20084564" w14:textId="77777777" w:rsidR="00CA11D6" w:rsidRPr="00806B7F" w:rsidDel="00C43C8D" w:rsidRDefault="00CA11D6" w:rsidP="00A369A1">
            <w:pPr>
              <w:jc w:val="center"/>
              <w:rPr>
                <w:rFonts w:ascii="Arial" w:hAnsi="Arial" w:cs="Arial"/>
                <w:sz w:val="20"/>
              </w:rPr>
            </w:pPr>
            <w:r w:rsidRPr="00806B7F">
              <w:rPr>
                <w:rFonts w:ascii="Arial" w:hAnsi="Arial" w:cs="Arial"/>
                <w:sz w:val="20"/>
              </w:rPr>
              <w:t>4,000</w:t>
            </w:r>
          </w:p>
        </w:tc>
        <w:tc>
          <w:tcPr>
            <w:tcW w:w="1248" w:type="dxa"/>
            <w:vAlign w:val="bottom"/>
          </w:tcPr>
          <w:p w14:paraId="785AD22F" w14:textId="77777777" w:rsidR="00CA11D6" w:rsidRPr="00806B7F" w:rsidRDefault="00CA11D6" w:rsidP="00A369A1">
            <w:pPr>
              <w:jc w:val="center"/>
              <w:rPr>
                <w:rFonts w:ascii="Arial" w:hAnsi="Arial" w:cs="Arial"/>
                <w:sz w:val="20"/>
              </w:rPr>
            </w:pPr>
            <w:r w:rsidRPr="00806B7F">
              <w:rPr>
                <w:rFonts w:ascii="Arial" w:hAnsi="Arial" w:cs="Arial"/>
                <w:sz w:val="20"/>
              </w:rPr>
              <w:t>4,000</w:t>
            </w:r>
          </w:p>
        </w:tc>
        <w:tc>
          <w:tcPr>
            <w:tcW w:w="1247" w:type="dxa"/>
            <w:vAlign w:val="bottom"/>
          </w:tcPr>
          <w:p w14:paraId="4F3E5281" w14:textId="77777777" w:rsidR="00CA11D6" w:rsidRPr="00806B7F" w:rsidRDefault="00CA11D6" w:rsidP="00A369A1">
            <w:pPr>
              <w:jc w:val="center"/>
              <w:rPr>
                <w:rFonts w:ascii="Arial" w:hAnsi="Arial" w:cs="Arial"/>
                <w:sz w:val="20"/>
              </w:rPr>
            </w:pPr>
            <w:r w:rsidRPr="00806B7F">
              <w:rPr>
                <w:rFonts w:ascii="Arial" w:hAnsi="Arial" w:cs="Arial"/>
                <w:sz w:val="20"/>
              </w:rPr>
              <w:t>4,000</w:t>
            </w:r>
          </w:p>
        </w:tc>
        <w:tc>
          <w:tcPr>
            <w:tcW w:w="1248" w:type="dxa"/>
            <w:vAlign w:val="bottom"/>
          </w:tcPr>
          <w:p w14:paraId="24EFFB67" w14:textId="77777777" w:rsidR="00CA11D6" w:rsidRPr="00806B7F" w:rsidRDefault="00CA11D6" w:rsidP="00A369A1">
            <w:pPr>
              <w:jc w:val="center"/>
              <w:rPr>
                <w:rFonts w:ascii="Arial" w:hAnsi="Arial" w:cs="Arial"/>
                <w:sz w:val="20"/>
              </w:rPr>
            </w:pPr>
            <w:r w:rsidRPr="00806B7F">
              <w:rPr>
                <w:rFonts w:ascii="Arial" w:hAnsi="Arial" w:cs="Arial"/>
                <w:sz w:val="20"/>
              </w:rPr>
              <w:t>4,000</w:t>
            </w:r>
          </w:p>
        </w:tc>
      </w:tr>
      <w:tr w:rsidR="00CA11D6" w:rsidRPr="00806B7F" w14:paraId="55BEAE8D" w14:textId="77777777" w:rsidTr="00A369A1">
        <w:tc>
          <w:tcPr>
            <w:tcW w:w="3397" w:type="dxa"/>
            <w:shd w:val="clear" w:color="auto" w:fill="auto"/>
          </w:tcPr>
          <w:p w14:paraId="150E9A45" w14:textId="77777777" w:rsidR="00CA11D6" w:rsidRPr="00806B7F" w:rsidRDefault="00CA11D6" w:rsidP="00A369A1">
            <w:pPr>
              <w:rPr>
                <w:rFonts w:ascii="Arial" w:hAnsi="Arial" w:cs="Arial"/>
                <w:sz w:val="20"/>
              </w:rPr>
            </w:pPr>
            <w:r w:rsidRPr="00806B7F">
              <w:rPr>
                <w:rFonts w:ascii="Arial" w:hAnsi="Arial" w:cs="Arial"/>
                <w:sz w:val="20"/>
              </w:rPr>
              <w:t>Other long-term liabilities</w:t>
            </w:r>
          </w:p>
        </w:tc>
        <w:tc>
          <w:tcPr>
            <w:tcW w:w="1247" w:type="dxa"/>
            <w:vAlign w:val="bottom"/>
          </w:tcPr>
          <w:p w14:paraId="6C40FE6A" w14:textId="77777777" w:rsidR="00CA11D6" w:rsidRPr="00806B7F" w:rsidRDefault="00CA11D6" w:rsidP="00A369A1">
            <w:pPr>
              <w:jc w:val="center"/>
              <w:rPr>
                <w:rFonts w:ascii="Arial" w:hAnsi="Arial" w:cs="Arial"/>
                <w:sz w:val="20"/>
              </w:rPr>
            </w:pPr>
            <w:r w:rsidRPr="00806B7F">
              <w:rPr>
                <w:rFonts w:ascii="Arial" w:hAnsi="Arial" w:cs="Arial"/>
                <w:sz w:val="20"/>
              </w:rPr>
              <w:t>30,000</w:t>
            </w:r>
          </w:p>
        </w:tc>
        <w:tc>
          <w:tcPr>
            <w:tcW w:w="1247" w:type="dxa"/>
            <w:vAlign w:val="bottom"/>
          </w:tcPr>
          <w:p w14:paraId="146D0EF0" w14:textId="77777777" w:rsidR="00CA11D6" w:rsidRPr="00806B7F" w:rsidRDefault="00CA11D6" w:rsidP="00A369A1">
            <w:pPr>
              <w:jc w:val="center"/>
              <w:rPr>
                <w:rFonts w:ascii="Arial" w:hAnsi="Arial" w:cs="Arial"/>
                <w:sz w:val="20"/>
              </w:rPr>
            </w:pPr>
            <w:r w:rsidRPr="00806B7F">
              <w:rPr>
                <w:rFonts w:ascii="Arial" w:hAnsi="Arial" w:cs="Arial"/>
                <w:sz w:val="20"/>
              </w:rPr>
              <w:t>30,000</w:t>
            </w:r>
          </w:p>
        </w:tc>
        <w:tc>
          <w:tcPr>
            <w:tcW w:w="1248" w:type="dxa"/>
            <w:vAlign w:val="bottom"/>
          </w:tcPr>
          <w:p w14:paraId="36E2CC5A" w14:textId="77777777" w:rsidR="00CA11D6" w:rsidRPr="00806B7F" w:rsidRDefault="00CA11D6" w:rsidP="00A369A1">
            <w:pPr>
              <w:jc w:val="center"/>
              <w:rPr>
                <w:rFonts w:ascii="Arial" w:hAnsi="Arial" w:cs="Arial"/>
                <w:sz w:val="20"/>
              </w:rPr>
            </w:pPr>
            <w:r w:rsidRPr="00806B7F">
              <w:rPr>
                <w:rFonts w:ascii="Arial" w:hAnsi="Arial" w:cs="Arial"/>
                <w:sz w:val="20"/>
              </w:rPr>
              <w:t>30,000</w:t>
            </w:r>
          </w:p>
        </w:tc>
        <w:tc>
          <w:tcPr>
            <w:tcW w:w="1247" w:type="dxa"/>
            <w:vAlign w:val="bottom"/>
          </w:tcPr>
          <w:p w14:paraId="35C67741" w14:textId="77777777" w:rsidR="00CA11D6" w:rsidRPr="00806B7F" w:rsidRDefault="00CA11D6" w:rsidP="00A369A1">
            <w:pPr>
              <w:jc w:val="center"/>
              <w:rPr>
                <w:rFonts w:ascii="Arial" w:hAnsi="Arial" w:cs="Arial"/>
                <w:sz w:val="20"/>
              </w:rPr>
            </w:pPr>
            <w:r w:rsidRPr="00806B7F">
              <w:rPr>
                <w:rFonts w:ascii="Arial" w:hAnsi="Arial" w:cs="Arial"/>
                <w:sz w:val="20"/>
              </w:rPr>
              <w:t>30,000</w:t>
            </w:r>
          </w:p>
        </w:tc>
        <w:tc>
          <w:tcPr>
            <w:tcW w:w="1248" w:type="dxa"/>
            <w:vAlign w:val="bottom"/>
          </w:tcPr>
          <w:p w14:paraId="19D9DB4C" w14:textId="77777777" w:rsidR="00CA11D6" w:rsidRPr="00806B7F" w:rsidRDefault="00CA11D6" w:rsidP="00A369A1">
            <w:pPr>
              <w:jc w:val="center"/>
              <w:rPr>
                <w:rFonts w:ascii="Arial" w:hAnsi="Arial" w:cs="Arial"/>
                <w:sz w:val="20"/>
              </w:rPr>
            </w:pPr>
            <w:r w:rsidRPr="00806B7F">
              <w:rPr>
                <w:rFonts w:ascii="Arial" w:hAnsi="Arial" w:cs="Arial"/>
                <w:sz w:val="20"/>
              </w:rPr>
              <w:t>30,000</w:t>
            </w:r>
          </w:p>
        </w:tc>
      </w:tr>
      <w:tr w:rsidR="00CA11D6" w:rsidRPr="00806B7F" w14:paraId="6E0C3BB9" w14:textId="77777777" w:rsidTr="00A369A1">
        <w:tc>
          <w:tcPr>
            <w:tcW w:w="3397" w:type="dxa"/>
            <w:shd w:val="clear" w:color="auto" w:fill="auto"/>
          </w:tcPr>
          <w:p w14:paraId="0F3B3D0E" w14:textId="77777777" w:rsidR="00CA11D6" w:rsidRPr="00806B7F" w:rsidRDefault="00CA11D6" w:rsidP="00A369A1">
            <w:pPr>
              <w:rPr>
                <w:rFonts w:ascii="Arial" w:hAnsi="Arial" w:cs="Arial"/>
                <w:b/>
                <w:sz w:val="20"/>
              </w:rPr>
            </w:pPr>
            <w:r w:rsidRPr="00806B7F">
              <w:rPr>
                <w:rFonts w:ascii="Arial" w:hAnsi="Arial" w:cs="Arial"/>
                <w:b/>
                <w:sz w:val="20"/>
              </w:rPr>
              <w:t>Total</w:t>
            </w:r>
          </w:p>
        </w:tc>
        <w:tc>
          <w:tcPr>
            <w:tcW w:w="1247" w:type="dxa"/>
            <w:vAlign w:val="bottom"/>
          </w:tcPr>
          <w:p w14:paraId="6EA1EFCA" w14:textId="77777777" w:rsidR="00CA11D6" w:rsidRPr="00806B7F" w:rsidDel="00C43C8D" w:rsidRDefault="00CA11D6" w:rsidP="00A369A1">
            <w:pPr>
              <w:jc w:val="center"/>
              <w:rPr>
                <w:rFonts w:ascii="Arial" w:hAnsi="Arial" w:cs="Arial"/>
                <w:b/>
                <w:sz w:val="20"/>
              </w:rPr>
            </w:pPr>
            <w:r w:rsidRPr="00806B7F">
              <w:rPr>
                <w:rFonts w:ascii="Arial" w:hAnsi="Arial" w:cs="Arial"/>
                <w:b/>
                <w:sz w:val="20"/>
              </w:rPr>
              <w:t>36,000</w:t>
            </w:r>
          </w:p>
        </w:tc>
        <w:tc>
          <w:tcPr>
            <w:tcW w:w="1247" w:type="dxa"/>
            <w:vAlign w:val="bottom"/>
          </w:tcPr>
          <w:p w14:paraId="557910F1" w14:textId="77777777" w:rsidR="00CA11D6" w:rsidRPr="00806B7F" w:rsidDel="00C43C8D" w:rsidRDefault="00CA11D6" w:rsidP="00A369A1">
            <w:pPr>
              <w:jc w:val="center"/>
              <w:rPr>
                <w:rFonts w:ascii="Arial" w:hAnsi="Arial" w:cs="Arial"/>
                <w:b/>
                <w:sz w:val="20"/>
              </w:rPr>
            </w:pPr>
            <w:r w:rsidRPr="00806B7F">
              <w:rPr>
                <w:rFonts w:ascii="Arial" w:hAnsi="Arial" w:cs="Arial"/>
                <w:b/>
                <w:sz w:val="20"/>
              </w:rPr>
              <w:t>34,000</w:t>
            </w:r>
          </w:p>
        </w:tc>
        <w:tc>
          <w:tcPr>
            <w:tcW w:w="1248" w:type="dxa"/>
            <w:vAlign w:val="bottom"/>
          </w:tcPr>
          <w:p w14:paraId="208BD16F" w14:textId="77777777" w:rsidR="00CA11D6" w:rsidRPr="00806B7F" w:rsidRDefault="00CA11D6" w:rsidP="00A369A1">
            <w:pPr>
              <w:jc w:val="center"/>
              <w:rPr>
                <w:rFonts w:ascii="Arial" w:hAnsi="Arial" w:cs="Arial"/>
                <w:b/>
                <w:sz w:val="20"/>
              </w:rPr>
            </w:pPr>
            <w:r w:rsidRPr="00806B7F">
              <w:rPr>
                <w:rFonts w:ascii="Arial" w:hAnsi="Arial" w:cs="Arial"/>
                <w:b/>
                <w:sz w:val="20"/>
              </w:rPr>
              <w:t>34,000</w:t>
            </w:r>
          </w:p>
        </w:tc>
        <w:tc>
          <w:tcPr>
            <w:tcW w:w="1247" w:type="dxa"/>
            <w:vAlign w:val="bottom"/>
          </w:tcPr>
          <w:p w14:paraId="2EEE47AC" w14:textId="77777777" w:rsidR="00CA11D6" w:rsidRPr="00806B7F" w:rsidRDefault="00CA11D6" w:rsidP="00A369A1">
            <w:pPr>
              <w:jc w:val="center"/>
              <w:rPr>
                <w:rFonts w:ascii="Arial" w:hAnsi="Arial" w:cs="Arial"/>
                <w:b/>
                <w:sz w:val="20"/>
              </w:rPr>
            </w:pPr>
            <w:r w:rsidRPr="00806B7F">
              <w:rPr>
                <w:rFonts w:ascii="Arial" w:hAnsi="Arial" w:cs="Arial"/>
                <w:b/>
                <w:sz w:val="20"/>
              </w:rPr>
              <w:t>34,000</w:t>
            </w:r>
          </w:p>
        </w:tc>
        <w:tc>
          <w:tcPr>
            <w:tcW w:w="1248" w:type="dxa"/>
            <w:vAlign w:val="bottom"/>
          </w:tcPr>
          <w:p w14:paraId="06405BBE" w14:textId="77777777" w:rsidR="00CA11D6" w:rsidRPr="00806B7F" w:rsidRDefault="00CA11D6" w:rsidP="00A369A1">
            <w:pPr>
              <w:jc w:val="center"/>
              <w:rPr>
                <w:rFonts w:ascii="Arial" w:hAnsi="Arial" w:cs="Arial"/>
                <w:b/>
                <w:sz w:val="20"/>
              </w:rPr>
            </w:pPr>
            <w:r w:rsidRPr="00806B7F">
              <w:rPr>
                <w:rFonts w:ascii="Arial" w:hAnsi="Arial" w:cs="Arial"/>
                <w:b/>
                <w:sz w:val="20"/>
              </w:rPr>
              <w:t>34,000</w:t>
            </w:r>
          </w:p>
        </w:tc>
      </w:tr>
      <w:tr w:rsidR="00CA11D6" w:rsidRPr="00806B7F" w14:paraId="10E2D896" w14:textId="77777777" w:rsidTr="00A369A1">
        <w:tc>
          <w:tcPr>
            <w:tcW w:w="3397" w:type="dxa"/>
            <w:shd w:val="clear" w:color="auto" w:fill="auto"/>
          </w:tcPr>
          <w:p w14:paraId="665C0EC8" w14:textId="77777777" w:rsidR="00CA11D6" w:rsidRPr="00806B7F" w:rsidRDefault="00CA11D6" w:rsidP="00A369A1">
            <w:pPr>
              <w:rPr>
                <w:rFonts w:ascii="Arial" w:hAnsi="Arial" w:cs="Arial"/>
                <w:sz w:val="20"/>
              </w:rPr>
            </w:pPr>
            <w:r w:rsidRPr="00806B7F">
              <w:rPr>
                <w:rFonts w:ascii="Arial" w:hAnsi="Arial" w:cs="Arial"/>
                <w:b/>
                <w:sz w:val="20"/>
              </w:rPr>
              <w:t>Operational Boundary for External Debt</w:t>
            </w:r>
          </w:p>
        </w:tc>
        <w:tc>
          <w:tcPr>
            <w:tcW w:w="1247" w:type="dxa"/>
          </w:tcPr>
          <w:p w14:paraId="74B0021E" w14:textId="77777777" w:rsidR="00CA11D6" w:rsidRPr="00806B7F" w:rsidRDefault="00CA11D6" w:rsidP="00A369A1">
            <w:pPr>
              <w:jc w:val="center"/>
              <w:rPr>
                <w:rFonts w:ascii="Arial" w:hAnsi="Arial" w:cs="Arial"/>
                <w:b/>
                <w:sz w:val="20"/>
              </w:rPr>
            </w:pPr>
          </w:p>
        </w:tc>
        <w:tc>
          <w:tcPr>
            <w:tcW w:w="1247" w:type="dxa"/>
          </w:tcPr>
          <w:p w14:paraId="1F4E3595" w14:textId="77777777" w:rsidR="00CA11D6" w:rsidRPr="00806B7F" w:rsidRDefault="00CA11D6" w:rsidP="00A369A1">
            <w:pPr>
              <w:jc w:val="center"/>
              <w:rPr>
                <w:rFonts w:ascii="Arial" w:hAnsi="Arial" w:cs="Arial"/>
                <w:b/>
                <w:sz w:val="20"/>
                <w:highlight w:val="yellow"/>
              </w:rPr>
            </w:pPr>
          </w:p>
        </w:tc>
        <w:tc>
          <w:tcPr>
            <w:tcW w:w="1248" w:type="dxa"/>
          </w:tcPr>
          <w:p w14:paraId="166A5233" w14:textId="77777777" w:rsidR="00CA11D6" w:rsidRPr="00806B7F" w:rsidRDefault="00CA11D6" w:rsidP="00A369A1">
            <w:pPr>
              <w:jc w:val="center"/>
              <w:rPr>
                <w:rFonts w:ascii="Arial" w:hAnsi="Arial" w:cs="Arial"/>
                <w:b/>
                <w:sz w:val="20"/>
                <w:highlight w:val="yellow"/>
              </w:rPr>
            </w:pPr>
          </w:p>
        </w:tc>
        <w:tc>
          <w:tcPr>
            <w:tcW w:w="1247" w:type="dxa"/>
          </w:tcPr>
          <w:p w14:paraId="07E0236E" w14:textId="77777777" w:rsidR="00CA11D6" w:rsidRPr="00806B7F" w:rsidRDefault="00CA11D6" w:rsidP="00A369A1">
            <w:pPr>
              <w:jc w:val="center"/>
              <w:rPr>
                <w:rFonts w:ascii="Arial" w:hAnsi="Arial" w:cs="Arial"/>
                <w:b/>
                <w:sz w:val="20"/>
                <w:highlight w:val="yellow"/>
              </w:rPr>
            </w:pPr>
          </w:p>
        </w:tc>
        <w:tc>
          <w:tcPr>
            <w:tcW w:w="1248" w:type="dxa"/>
          </w:tcPr>
          <w:p w14:paraId="3CBBEF94" w14:textId="77777777" w:rsidR="00CA11D6" w:rsidRPr="00806B7F" w:rsidRDefault="00CA11D6" w:rsidP="00A369A1">
            <w:pPr>
              <w:jc w:val="center"/>
              <w:rPr>
                <w:rFonts w:ascii="Arial" w:hAnsi="Arial" w:cs="Arial"/>
                <w:b/>
                <w:sz w:val="20"/>
                <w:highlight w:val="yellow"/>
              </w:rPr>
            </w:pPr>
          </w:p>
        </w:tc>
      </w:tr>
      <w:tr w:rsidR="00CA11D6" w:rsidRPr="00806B7F" w14:paraId="73DAB432" w14:textId="77777777" w:rsidTr="00A369A1">
        <w:tc>
          <w:tcPr>
            <w:tcW w:w="3397" w:type="dxa"/>
            <w:shd w:val="clear" w:color="auto" w:fill="auto"/>
          </w:tcPr>
          <w:p w14:paraId="699BA178" w14:textId="77777777" w:rsidR="00CA11D6" w:rsidRPr="00806B7F" w:rsidRDefault="00CA11D6" w:rsidP="00A369A1">
            <w:pPr>
              <w:rPr>
                <w:rFonts w:ascii="Arial" w:hAnsi="Arial" w:cs="Arial"/>
                <w:sz w:val="20"/>
              </w:rPr>
            </w:pPr>
            <w:r w:rsidRPr="00806B7F">
              <w:rPr>
                <w:rFonts w:ascii="Arial" w:hAnsi="Arial" w:cs="Arial"/>
                <w:sz w:val="20"/>
              </w:rPr>
              <w:t>Borrowing</w:t>
            </w:r>
          </w:p>
        </w:tc>
        <w:tc>
          <w:tcPr>
            <w:tcW w:w="1247" w:type="dxa"/>
            <w:vAlign w:val="bottom"/>
          </w:tcPr>
          <w:p w14:paraId="128E7487" w14:textId="77777777" w:rsidR="00CA11D6" w:rsidRPr="00806B7F" w:rsidDel="006B15A6" w:rsidRDefault="00CA11D6" w:rsidP="00A369A1">
            <w:pPr>
              <w:jc w:val="center"/>
              <w:rPr>
                <w:rFonts w:ascii="Arial" w:hAnsi="Arial" w:cs="Arial"/>
                <w:sz w:val="20"/>
              </w:rPr>
            </w:pPr>
            <w:r w:rsidRPr="00806B7F">
              <w:rPr>
                <w:rFonts w:ascii="Arial" w:hAnsi="Arial" w:cs="Arial"/>
                <w:sz w:val="20"/>
              </w:rPr>
              <w:t>3,000</w:t>
            </w:r>
          </w:p>
        </w:tc>
        <w:tc>
          <w:tcPr>
            <w:tcW w:w="1247" w:type="dxa"/>
            <w:vAlign w:val="bottom"/>
          </w:tcPr>
          <w:p w14:paraId="7E192326" w14:textId="77777777" w:rsidR="00CA11D6" w:rsidRPr="00806B7F" w:rsidDel="006B15A6" w:rsidRDefault="00CA11D6" w:rsidP="00A369A1">
            <w:pPr>
              <w:jc w:val="center"/>
              <w:rPr>
                <w:rFonts w:ascii="Arial" w:hAnsi="Arial" w:cs="Arial"/>
                <w:sz w:val="20"/>
              </w:rPr>
            </w:pPr>
            <w:r w:rsidRPr="00806B7F">
              <w:rPr>
                <w:rFonts w:ascii="Arial" w:hAnsi="Arial" w:cs="Arial"/>
                <w:sz w:val="20"/>
              </w:rPr>
              <w:t>3,000</w:t>
            </w:r>
          </w:p>
        </w:tc>
        <w:tc>
          <w:tcPr>
            <w:tcW w:w="1248" w:type="dxa"/>
            <w:vAlign w:val="bottom"/>
          </w:tcPr>
          <w:p w14:paraId="25666D48" w14:textId="77777777" w:rsidR="00CA11D6" w:rsidRPr="00806B7F" w:rsidRDefault="00CA11D6" w:rsidP="00A369A1">
            <w:pPr>
              <w:jc w:val="center"/>
              <w:rPr>
                <w:rFonts w:ascii="Arial" w:hAnsi="Arial" w:cs="Arial"/>
                <w:sz w:val="20"/>
              </w:rPr>
            </w:pPr>
            <w:r w:rsidRPr="00806B7F">
              <w:rPr>
                <w:rFonts w:ascii="Arial" w:hAnsi="Arial" w:cs="Arial"/>
                <w:sz w:val="20"/>
              </w:rPr>
              <w:t>3,000</w:t>
            </w:r>
          </w:p>
        </w:tc>
        <w:tc>
          <w:tcPr>
            <w:tcW w:w="1247" w:type="dxa"/>
            <w:vAlign w:val="bottom"/>
          </w:tcPr>
          <w:p w14:paraId="657B1C06" w14:textId="77777777" w:rsidR="00CA11D6" w:rsidRPr="00806B7F" w:rsidRDefault="00CA11D6" w:rsidP="00A369A1">
            <w:pPr>
              <w:jc w:val="center"/>
              <w:rPr>
                <w:rFonts w:ascii="Arial" w:hAnsi="Arial" w:cs="Arial"/>
                <w:sz w:val="20"/>
              </w:rPr>
            </w:pPr>
            <w:r w:rsidRPr="00806B7F">
              <w:rPr>
                <w:rFonts w:ascii="Arial" w:hAnsi="Arial" w:cs="Arial"/>
                <w:sz w:val="20"/>
              </w:rPr>
              <w:t>3,000</w:t>
            </w:r>
          </w:p>
        </w:tc>
        <w:tc>
          <w:tcPr>
            <w:tcW w:w="1248" w:type="dxa"/>
            <w:vAlign w:val="bottom"/>
          </w:tcPr>
          <w:p w14:paraId="3EEF0D36" w14:textId="77777777" w:rsidR="00CA11D6" w:rsidRPr="00806B7F" w:rsidRDefault="00CA11D6" w:rsidP="00A369A1">
            <w:pPr>
              <w:jc w:val="center"/>
              <w:rPr>
                <w:rFonts w:ascii="Arial" w:hAnsi="Arial" w:cs="Arial"/>
                <w:sz w:val="20"/>
              </w:rPr>
            </w:pPr>
            <w:r w:rsidRPr="00806B7F">
              <w:rPr>
                <w:rFonts w:ascii="Arial" w:hAnsi="Arial" w:cs="Arial"/>
                <w:sz w:val="20"/>
              </w:rPr>
              <w:t>3,000</w:t>
            </w:r>
          </w:p>
        </w:tc>
      </w:tr>
      <w:tr w:rsidR="00CA11D6" w:rsidRPr="00806B7F" w14:paraId="6AF01401" w14:textId="77777777" w:rsidTr="00A369A1">
        <w:tc>
          <w:tcPr>
            <w:tcW w:w="3397" w:type="dxa"/>
            <w:shd w:val="clear" w:color="auto" w:fill="auto"/>
          </w:tcPr>
          <w:p w14:paraId="283FCB5D" w14:textId="77777777" w:rsidR="00CA11D6" w:rsidRPr="00806B7F" w:rsidRDefault="00CA11D6" w:rsidP="00A369A1">
            <w:pPr>
              <w:rPr>
                <w:rFonts w:ascii="Arial" w:hAnsi="Arial" w:cs="Arial"/>
                <w:sz w:val="20"/>
              </w:rPr>
            </w:pPr>
            <w:r w:rsidRPr="00806B7F">
              <w:rPr>
                <w:rFonts w:ascii="Arial" w:hAnsi="Arial" w:cs="Arial"/>
                <w:sz w:val="20"/>
              </w:rPr>
              <w:t>Other long-term liabilities</w:t>
            </w:r>
          </w:p>
        </w:tc>
        <w:tc>
          <w:tcPr>
            <w:tcW w:w="1247" w:type="dxa"/>
            <w:vAlign w:val="bottom"/>
          </w:tcPr>
          <w:p w14:paraId="32698986" w14:textId="77777777" w:rsidR="00CA11D6" w:rsidRPr="00806B7F" w:rsidRDefault="00CA11D6" w:rsidP="00A369A1">
            <w:pPr>
              <w:jc w:val="center"/>
              <w:rPr>
                <w:rFonts w:ascii="Arial" w:hAnsi="Arial" w:cs="Arial"/>
                <w:sz w:val="20"/>
              </w:rPr>
            </w:pPr>
            <w:r w:rsidRPr="00806B7F">
              <w:rPr>
                <w:rFonts w:ascii="Arial" w:hAnsi="Arial" w:cs="Arial"/>
                <w:sz w:val="20"/>
              </w:rPr>
              <w:t>17,000</w:t>
            </w:r>
          </w:p>
        </w:tc>
        <w:tc>
          <w:tcPr>
            <w:tcW w:w="1247" w:type="dxa"/>
            <w:vAlign w:val="bottom"/>
          </w:tcPr>
          <w:p w14:paraId="15CDB23F" w14:textId="77777777" w:rsidR="00CA11D6" w:rsidRPr="00806B7F" w:rsidRDefault="00CA11D6" w:rsidP="00A369A1">
            <w:pPr>
              <w:jc w:val="center"/>
              <w:rPr>
                <w:rFonts w:ascii="Arial" w:hAnsi="Arial" w:cs="Arial"/>
                <w:sz w:val="20"/>
              </w:rPr>
            </w:pPr>
            <w:r w:rsidRPr="00806B7F">
              <w:rPr>
                <w:rFonts w:ascii="Arial" w:hAnsi="Arial" w:cs="Arial"/>
                <w:sz w:val="20"/>
              </w:rPr>
              <w:t>16,000</w:t>
            </w:r>
          </w:p>
        </w:tc>
        <w:tc>
          <w:tcPr>
            <w:tcW w:w="1248" w:type="dxa"/>
            <w:vAlign w:val="bottom"/>
          </w:tcPr>
          <w:p w14:paraId="0F3BE931" w14:textId="77777777" w:rsidR="00CA11D6" w:rsidRPr="00806B7F" w:rsidRDefault="00CA11D6" w:rsidP="00A369A1">
            <w:pPr>
              <w:jc w:val="center"/>
              <w:rPr>
                <w:rFonts w:ascii="Arial" w:hAnsi="Arial" w:cs="Arial"/>
                <w:sz w:val="20"/>
              </w:rPr>
            </w:pPr>
            <w:r w:rsidRPr="00806B7F">
              <w:rPr>
                <w:rFonts w:ascii="Arial" w:hAnsi="Arial" w:cs="Arial"/>
                <w:sz w:val="20"/>
              </w:rPr>
              <w:t>16,000</w:t>
            </w:r>
          </w:p>
        </w:tc>
        <w:tc>
          <w:tcPr>
            <w:tcW w:w="1247" w:type="dxa"/>
            <w:vAlign w:val="bottom"/>
          </w:tcPr>
          <w:p w14:paraId="086DA929" w14:textId="77777777" w:rsidR="00CA11D6" w:rsidRPr="00806B7F" w:rsidRDefault="00CA11D6" w:rsidP="00A369A1">
            <w:pPr>
              <w:jc w:val="center"/>
              <w:rPr>
                <w:rFonts w:ascii="Arial" w:hAnsi="Arial" w:cs="Arial"/>
                <w:sz w:val="20"/>
              </w:rPr>
            </w:pPr>
            <w:r w:rsidRPr="00806B7F">
              <w:rPr>
                <w:rFonts w:ascii="Arial" w:hAnsi="Arial" w:cs="Arial"/>
                <w:sz w:val="20"/>
              </w:rPr>
              <w:t>16,000</w:t>
            </w:r>
          </w:p>
        </w:tc>
        <w:tc>
          <w:tcPr>
            <w:tcW w:w="1248" w:type="dxa"/>
            <w:vAlign w:val="bottom"/>
          </w:tcPr>
          <w:p w14:paraId="71FF51BF" w14:textId="77777777" w:rsidR="00CA11D6" w:rsidRPr="00806B7F" w:rsidRDefault="00CA11D6" w:rsidP="00A369A1">
            <w:pPr>
              <w:jc w:val="center"/>
              <w:rPr>
                <w:rFonts w:ascii="Arial" w:hAnsi="Arial" w:cs="Arial"/>
                <w:sz w:val="20"/>
              </w:rPr>
            </w:pPr>
            <w:r w:rsidRPr="00806B7F">
              <w:rPr>
                <w:rFonts w:ascii="Arial" w:hAnsi="Arial" w:cs="Arial"/>
                <w:sz w:val="20"/>
              </w:rPr>
              <w:t>15,000</w:t>
            </w:r>
          </w:p>
        </w:tc>
      </w:tr>
      <w:tr w:rsidR="00CA11D6" w:rsidRPr="00806B7F" w14:paraId="32146DD4" w14:textId="77777777" w:rsidTr="00A369A1">
        <w:trPr>
          <w:trHeight w:val="161"/>
        </w:trPr>
        <w:tc>
          <w:tcPr>
            <w:tcW w:w="3397" w:type="dxa"/>
            <w:shd w:val="clear" w:color="auto" w:fill="auto"/>
          </w:tcPr>
          <w:p w14:paraId="173C61E0" w14:textId="77777777" w:rsidR="00CA11D6" w:rsidRPr="00806B7F" w:rsidRDefault="00CA11D6" w:rsidP="00A369A1">
            <w:pPr>
              <w:rPr>
                <w:rFonts w:ascii="Arial" w:hAnsi="Arial" w:cs="Arial"/>
                <w:sz w:val="20"/>
              </w:rPr>
            </w:pPr>
            <w:r w:rsidRPr="00806B7F">
              <w:rPr>
                <w:rFonts w:ascii="Arial" w:hAnsi="Arial" w:cs="Arial"/>
                <w:b/>
                <w:sz w:val="20"/>
              </w:rPr>
              <w:t>Total</w:t>
            </w:r>
          </w:p>
        </w:tc>
        <w:tc>
          <w:tcPr>
            <w:tcW w:w="1247" w:type="dxa"/>
            <w:vAlign w:val="bottom"/>
          </w:tcPr>
          <w:p w14:paraId="02839D6E" w14:textId="77777777" w:rsidR="00CA11D6" w:rsidRPr="00806B7F" w:rsidDel="006B15A6" w:rsidRDefault="00CA11D6" w:rsidP="00A369A1">
            <w:pPr>
              <w:jc w:val="center"/>
              <w:rPr>
                <w:rFonts w:ascii="Arial" w:hAnsi="Arial" w:cs="Arial"/>
                <w:b/>
                <w:sz w:val="20"/>
              </w:rPr>
            </w:pPr>
            <w:r w:rsidRPr="00806B7F">
              <w:rPr>
                <w:rFonts w:ascii="Arial" w:hAnsi="Arial" w:cs="Arial"/>
                <w:b/>
                <w:sz w:val="20"/>
              </w:rPr>
              <w:t>20,000</w:t>
            </w:r>
          </w:p>
        </w:tc>
        <w:tc>
          <w:tcPr>
            <w:tcW w:w="1247" w:type="dxa"/>
            <w:vAlign w:val="bottom"/>
          </w:tcPr>
          <w:p w14:paraId="0E3B2A47" w14:textId="77777777" w:rsidR="00CA11D6" w:rsidRPr="00806B7F" w:rsidDel="006B15A6" w:rsidRDefault="00CA11D6" w:rsidP="00A369A1">
            <w:pPr>
              <w:jc w:val="center"/>
              <w:rPr>
                <w:rFonts w:ascii="Arial" w:hAnsi="Arial" w:cs="Arial"/>
                <w:b/>
                <w:sz w:val="20"/>
              </w:rPr>
            </w:pPr>
            <w:r w:rsidRPr="00806B7F">
              <w:rPr>
                <w:rFonts w:ascii="Arial" w:hAnsi="Arial" w:cs="Arial"/>
                <w:b/>
                <w:sz w:val="20"/>
              </w:rPr>
              <w:t>19,000</w:t>
            </w:r>
          </w:p>
        </w:tc>
        <w:tc>
          <w:tcPr>
            <w:tcW w:w="1248" w:type="dxa"/>
            <w:vAlign w:val="bottom"/>
          </w:tcPr>
          <w:p w14:paraId="0ED1AACF" w14:textId="77777777" w:rsidR="00CA11D6" w:rsidRPr="00806B7F" w:rsidRDefault="00CA11D6" w:rsidP="00A369A1">
            <w:pPr>
              <w:jc w:val="center"/>
              <w:rPr>
                <w:rFonts w:ascii="Arial" w:hAnsi="Arial" w:cs="Arial"/>
                <w:b/>
                <w:sz w:val="20"/>
              </w:rPr>
            </w:pPr>
            <w:r w:rsidRPr="00806B7F">
              <w:rPr>
                <w:rFonts w:ascii="Arial" w:hAnsi="Arial" w:cs="Arial"/>
                <w:b/>
                <w:sz w:val="20"/>
              </w:rPr>
              <w:t>19,000</w:t>
            </w:r>
          </w:p>
        </w:tc>
        <w:tc>
          <w:tcPr>
            <w:tcW w:w="1247" w:type="dxa"/>
            <w:vAlign w:val="bottom"/>
          </w:tcPr>
          <w:p w14:paraId="1C92767B" w14:textId="77777777" w:rsidR="00CA11D6" w:rsidRPr="00806B7F" w:rsidRDefault="00CA11D6" w:rsidP="00A369A1">
            <w:pPr>
              <w:jc w:val="center"/>
              <w:rPr>
                <w:rFonts w:ascii="Arial" w:hAnsi="Arial" w:cs="Arial"/>
                <w:b/>
                <w:sz w:val="20"/>
              </w:rPr>
            </w:pPr>
            <w:r w:rsidRPr="00806B7F">
              <w:rPr>
                <w:rFonts w:ascii="Arial" w:hAnsi="Arial" w:cs="Arial"/>
                <w:b/>
                <w:sz w:val="20"/>
              </w:rPr>
              <w:t>19,000</w:t>
            </w:r>
          </w:p>
        </w:tc>
        <w:tc>
          <w:tcPr>
            <w:tcW w:w="1248" w:type="dxa"/>
            <w:vAlign w:val="bottom"/>
          </w:tcPr>
          <w:p w14:paraId="39D817C3" w14:textId="77777777" w:rsidR="00CA11D6" w:rsidRPr="00806B7F" w:rsidRDefault="00CA11D6" w:rsidP="00A369A1">
            <w:pPr>
              <w:jc w:val="center"/>
              <w:rPr>
                <w:rFonts w:ascii="Arial" w:hAnsi="Arial" w:cs="Arial"/>
                <w:b/>
                <w:sz w:val="20"/>
              </w:rPr>
            </w:pPr>
            <w:r w:rsidRPr="00806B7F">
              <w:rPr>
                <w:rFonts w:ascii="Arial" w:hAnsi="Arial" w:cs="Arial"/>
                <w:b/>
                <w:sz w:val="20"/>
              </w:rPr>
              <w:t>18,000</w:t>
            </w:r>
          </w:p>
        </w:tc>
      </w:tr>
    </w:tbl>
    <w:p w14:paraId="54C63DA0" w14:textId="77777777" w:rsidR="00CA11D6" w:rsidRPr="00806B7F" w:rsidRDefault="00CA11D6" w:rsidP="00CA11D6">
      <w:pPr>
        <w:jc w:val="both"/>
        <w:rPr>
          <w:rFonts w:ascii="Arial" w:hAnsi="Arial" w:cs="Arial"/>
          <w:sz w:val="20"/>
          <w:highlight w:val="yellow"/>
        </w:rPr>
      </w:pPr>
    </w:p>
    <w:p w14:paraId="5436F445"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Gross debt and the Capital Financing Requirement</w:t>
      </w:r>
    </w:p>
    <w:p w14:paraId="5B45F067" w14:textId="77777777" w:rsidR="00CA11D6" w:rsidRPr="00806B7F" w:rsidRDefault="00CA11D6" w:rsidP="00CA11D6">
      <w:pPr>
        <w:jc w:val="both"/>
        <w:rPr>
          <w:rFonts w:ascii="Arial" w:hAnsi="Arial" w:cs="Arial"/>
          <w:sz w:val="20"/>
        </w:rPr>
      </w:pPr>
    </w:p>
    <w:p w14:paraId="25248A7E" w14:textId="77777777" w:rsidR="00CA11D6" w:rsidRPr="00806B7F" w:rsidRDefault="00CA11D6" w:rsidP="00CA11D6">
      <w:pPr>
        <w:jc w:val="both"/>
        <w:rPr>
          <w:rFonts w:ascii="Arial" w:hAnsi="Arial" w:cs="Arial"/>
          <w:sz w:val="20"/>
        </w:rPr>
      </w:pPr>
      <w:r w:rsidRPr="00806B7F">
        <w:rPr>
          <w:rFonts w:ascii="Arial" w:hAnsi="Arial" w:cs="Arial"/>
          <w:sz w:val="20"/>
        </w:rPr>
        <w:t xml:space="preserve">The Prudential Code requires that debt does not exceed the Capital Financing Requirement except in the short term, </w:t>
      </w:r>
      <w:proofErr w:type="gramStart"/>
      <w:r w:rsidRPr="00806B7F">
        <w:rPr>
          <w:rFonts w:ascii="Arial" w:hAnsi="Arial" w:cs="Arial"/>
          <w:sz w:val="20"/>
        </w:rPr>
        <w:t>in order to</w:t>
      </w:r>
      <w:proofErr w:type="gramEnd"/>
      <w:r w:rsidRPr="00806B7F">
        <w:rPr>
          <w:rFonts w:ascii="Arial" w:hAnsi="Arial" w:cs="Arial"/>
          <w:sz w:val="20"/>
        </w:rPr>
        <w:t xml:space="preserve"> ensure that over the medium term that debt will only be for capital purposes.  This is a key indicator of prudence. </w:t>
      </w:r>
    </w:p>
    <w:p w14:paraId="05E1CCE8" w14:textId="77777777" w:rsidR="00CA11D6" w:rsidRPr="00806B7F" w:rsidRDefault="00CA11D6" w:rsidP="00CA11D6">
      <w:pPr>
        <w:jc w:val="both"/>
        <w:rPr>
          <w:rFonts w:ascii="Arial" w:hAnsi="Arial" w:cs="Arial"/>
          <w:sz w:val="20"/>
        </w:rPr>
      </w:pPr>
    </w:p>
    <w:p w14:paraId="427E9E8C" w14:textId="77777777" w:rsidR="00CA11D6" w:rsidRPr="00806B7F" w:rsidRDefault="00CA11D6" w:rsidP="00CA11D6">
      <w:pPr>
        <w:jc w:val="both"/>
        <w:rPr>
          <w:rFonts w:ascii="Arial" w:hAnsi="Arial" w:cs="Arial"/>
          <w:sz w:val="20"/>
        </w:rPr>
      </w:pPr>
      <w:r w:rsidRPr="00806B7F">
        <w:rPr>
          <w:rFonts w:ascii="Arial" w:hAnsi="Arial" w:cs="Arial"/>
          <w:sz w:val="20"/>
        </w:rPr>
        <w:t xml:space="preserve">As reported in the Treasury Management Strategy, the Authority has made additional MRP provisions since 2010/11 </w:t>
      </w:r>
      <w:proofErr w:type="gramStart"/>
      <w:r w:rsidRPr="00806B7F">
        <w:rPr>
          <w:rFonts w:ascii="Arial" w:hAnsi="Arial" w:cs="Arial"/>
          <w:sz w:val="20"/>
        </w:rPr>
        <w:t>in order to</w:t>
      </w:r>
      <w:proofErr w:type="gramEnd"/>
      <w:r w:rsidRPr="00806B7F">
        <w:rPr>
          <w:rFonts w:ascii="Arial" w:hAnsi="Arial" w:cs="Arial"/>
          <w:sz w:val="20"/>
        </w:rPr>
        <w:t xml:space="preserve"> reduce Capital Financing Requirements and hence the charges associated with this, and in order to set monies aside to pay off debt as it matures. It used these monies to pay off £3.2m of debt in October 2017. As a result of this the level of debt now held, £2.0m, exceeds the capital financing requirement, has been zero after MRP payments made during 2019/20: -</w:t>
      </w:r>
    </w:p>
    <w:p w14:paraId="0E953887" w14:textId="77777777" w:rsidR="00CA11D6" w:rsidRPr="00DB5DCF" w:rsidRDefault="00CA11D6" w:rsidP="00DB5DCF">
      <w:pPr>
        <w:rPr>
          <w:rFonts w:ascii="Arial" w:hAnsi="Arial" w:cs="Arial"/>
          <w:sz w:val="20"/>
        </w:rPr>
      </w:pPr>
    </w:p>
    <w:p w14:paraId="0DA65A74"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16 Debt and the Capital Financing Requirements by year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47"/>
        <w:gridCol w:w="1247"/>
        <w:gridCol w:w="1248"/>
        <w:gridCol w:w="1247"/>
        <w:gridCol w:w="1248"/>
      </w:tblGrid>
      <w:tr w:rsidR="00CA11D6" w:rsidRPr="00806B7F" w14:paraId="1C66B4B7" w14:textId="77777777" w:rsidTr="00A369A1">
        <w:tc>
          <w:tcPr>
            <w:tcW w:w="3289" w:type="dxa"/>
          </w:tcPr>
          <w:p w14:paraId="41E8CB96" w14:textId="77777777" w:rsidR="00CA11D6" w:rsidRPr="00806B7F" w:rsidRDefault="00CA11D6" w:rsidP="00A369A1">
            <w:pPr>
              <w:rPr>
                <w:rFonts w:ascii="Arial" w:hAnsi="Arial" w:cs="Arial"/>
                <w:sz w:val="20"/>
                <w:highlight w:val="yellow"/>
              </w:rPr>
            </w:pPr>
          </w:p>
          <w:p w14:paraId="1AD72338" w14:textId="77777777" w:rsidR="00CA11D6" w:rsidRPr="00806B7F" w:rsidRDefault="00CA11D6" w:rsidP="00A369A1">
            <w:pPr>
              <w:rPr>
                <w:rFonts w:ascii="Arial" w:hAnsi="Arial" w:cs="Arial"/>
                <w:sz w:val="20"/>
                <w:highlight w:val="yellow"/>
              </w:rPr>
            </w:pPr>
          </w:p>
        </w:tc>
        <w:tc>
          <w:tcPr>
            <w:tcW w:w="1247" w:type="dxa"/>
          </w:tcPr>
          <w:p w14:paraId="4A6EDA22"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19B32C6F"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247" w:type="dxa"/>
          </w:tcPr>
          <w:p w14:paraId="09BC6F40"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1D04A452"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48" w:type="dxa"/>
          </w:tcPr>
          <w:p w14:paraId="5620AEDC"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3EE11C4B"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7" w:type="dxa"/>
          </w:tcPr>
          <w:p w14:paraId="5D073213"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7818F205"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8" w:type="dxa"/>
          </w:tcPr>
          <w:p w14:paraId="700991F7"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3A319D27"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13EE651B" w14:textId="77777777" w:rsidTr="00A369A1">
        <w:tc>
          <w:tcPr>
            <w:tcW w:w="3289" w:type="dxa"/>
          </w:tcPr>
          <w:p w14:paraId="2B2F9843" w14:textId="77777777" w:rsidR="00CA11D6" w:rsidRPr="00806B7F" w:rsidRDefault="00CA11D6" w:rsidP="00A369A1">
            <w:pPr>
              <w:rPr>
                <w:rFonts w:ascii="Arial" w:hAnsi="Arial" w:cs="Arial"/>
                <w:sz w:val="20"/>
                <w:highlight w:val="yellow"/>
              </w:rPr>
            </w:pPr>
          </w:p>
        </w:tc>
        <w:tc>
          <w:tcPr>
            <w:tcW w:w="1247" w:type="dxa"/>
          </w:tcPr>
          <w:p w14:paraId="5BF11CA1"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4BE4219B"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09EA1E57"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759A99B6"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4707DE77"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3970E3D5" w14:textId="77777777" w:rsidTr="00A369A1">
        <w:trPr>
          <w:trHeight w:val="297"/>
        </w:trPr>
        <w:tc>
          <w:tcPr>
            <w:tcW w:w="3289" w:type="dxa"/>
          </w:tcPr>
          <w:p w14:paraId="3BA98989" w14:textId="77777777" w:rsidR="00CA11D6" w:rsidRPr="00806B7F" w:rsidRDefault="00CA11D6" w:rsidP="00A369A1">
            <w:pPr>
              <w:rPr>
                <w:rFonts w:ascii="Arial" w:hAnsi="Arial" w:cs="Arial"/>
                <w:sz w:val="20"/>
              </w:rPr>
            </w:pPr>
            <w:r w:rsidRPr="00806B7F">
              <w:rPr>
                <w:rFonts w:ascii="Arial" w:hAnsi="Arial" w:cs="Arial"/>
                <w:sz w:val="20"/>
              </w:rPr>
              <w:t xml:space="preserve">Debt </w:t>
            </w:r>
          </w:p>
        </w:tc>
        <w:tc>
          <w:tcPr>
            <w:tcW w:w="1247" w:type="dxa"/>
          </w:tcPr>
          <w:p w14:paraId="720E269B" w14:textId="77777777" w:rsidR="00CA11D6" w:rsidRPr="00806B7F" w:rsidRDefault="00CA11D6" w:rsidP="00A369A1">
            <w:pPr>
              <w:jc w:val="center"/>
              <w:rPr>
                <w:rFonts w:ascii="Arial" w:hAnsi="Arial" w:cs="Arial"/>
                <w:sz w:val="20"/>
              </w:rPr>
            </w:pPr>
            <w:r w:rsidRPr="00806B7F">
              <w:rPr>
                <w:rFonts w:ascii="Arial" w:hAnsi="Arial" w:cs="Arial"/>
                <w:sz w:val="20"/>
              </w:rPr>
              <w:t>2.000</w:t>
            </w:r>
          </w:p>
        </w:tc>
        <w:tc>
          <w:tcPr>
            <w:tcW w:w="1247" w:type="dxa"/>
          </w:tcPr>
          <w:p w14:paraId="23EC0059" w14:textId="77777777" w:rsidR="00CA11D6" w:rsidRPr="00806B7F" w:rsidRDefault="00CA11D6" w:rsidP="00A369A1">
            <w:pPr>
              <w:jc w:val="center"/>
              <w:rPr>
                <w:rFonts w:ascii="Arial" w:hAnsi="Arial" w:cs="Arial"/>
                <w:sz w:val="20"/>
              </w:rPr>
            </w:pPr>
            <w:r w:rsidRPr="00806B7F">
              <w:rPr>
                <w:rFonts w:ascii="Arial" w:hAnsi="Arial" w:cs="Arial"/>
                <w:sz w:val="20"/>
              </w:rPr>
              <w:t>2.000</w:t>
            </w:r>
          </w:p>
        </w:tc>
        <w:tc>
          <w:tcPr>
            <w:tcW w:w="1248" w:type="dxa"/>
          </w:tcPr>
          <w:p w14:paraId="2FD60982" w14:textId="77777777" w:rsidR="00CA11D6" w:rsidRPr="00806B7F" w:rsidRDefault="00CA11D6" w:rsidP="00A369A1">
            <w:pPr>
              <w:jc w:val="center"/>
              <w:rPr>
                <w:rFonts w:ascii="Arial" w:hAnsi="Arial" w:cs="Arial"/>
                <w:sz w:val="20"/>
              </w:rPr>
            </w:pPr>
            <w:r w:rsidRPr="00806B7F">
              <w:rPr>
                <w:rFonts w:ascii="Arial" w:hAnsi="Arial" w:cs="Arial"/>
                <w:sz w:val="20"/>
              </w:rPr>
              <w:t>2.000</w:t>
            </w:r>
          </w:p>
        </w:tc>
        <w:tc>
          <w:tcPr>
            <w:tcW w:w="1247" w:type="dxa"/>
          </w:tcPr>
          <w:p w14:paraId="41379C63" w14:textId="77777777" w:rsidR="00CA11D6" w:rsidRPr="00806B7F" w:rsidRDefault="00CA11D6" w:rsidP="00A369A1">
            <w:pPr>
              <w:jc w:val="center"/>
              <w:rPr>
                <w:rFonts w:ascii="Arial" w:hAnsi="Arial" w:cs="Arial"/>
                <w:sz w:val="20"/>
              </w:rPr>
            </w:pPr>
            <w:r w:rsidRPr="00806B7F">
              <w:rPr>
                <w:rFonts w:ascii="Arial" w:hAnsi="Arial" w:cs="Arial"/>
                <w:sz w:val="20"/>
              </w:rPr>
              <w:t>2.000</w:t>
            </w:r>
          </w:p>
        </w:tc>
        <w:tc>
          <w:tcPr>
            <w:tcW w:w="1248" w:type="dxa"/>
          </w:tcPr>
          <w:p w14:paraId="0D776BD8" w14:textId="77777777" w:rsidR="00CA11D6" w:rsidRPr="00806B7F" w:rsidRDefault="00CA11D6" w:rsidP="00A369A1">
            <w:pPr>
              <w:jc w:val="center"/>
              <w:rPr>
                <w:rFonts w:ascii="Arial" w:hAnsi="Arial" w:cs="Arial"/>
                <w:sz w:val="20"/>
              </w:rPr>
            </w:pPr>
            <w:r w:rsidRPr="00806B7F">
              <w:rPr>
                <w:rFonts w:ascii="Arial" w:hAnsi="Arial" w:cs="Arial"/>
                <w:sz w:val="20"/>
              </w:rPr>
              <w:t>2.000</w:t>
            </w:r>
          </w:p>
        </w:tc>
      </w:tr>
      <w:tr w:rsidR="00CA11D6" w:rsidRPr="00806B7F" w14:paraId="5923B9EA" w14:textId="77777777" w:rsidTr="00A369A1">
        <w:trPr>
          <w:trHeight w:val="219"/>
        </w:trPr>
        <w:tc>
          <w:tcPr>
            <w:tcW w:w="3289" w:type="dxa"/>
          </w:tcPr>
          <w:p w14:paraId="3AE13C38" w14:textId="77777777" w:rsidR="00CA11D6" w:rsidRPr="00806B7F" w:rsidRDefault="00CA11D6" w:rsidP="00A369A1">
            <w:pPr>
              <w:rPr>
                <w:rFonts w:ascii="Arial" w:hAnsi="Arial" w:cs="Arial"/>
                <w:sz w:val="20"/>
              </w:rPr>
            </w:pPr>
            <w:r w:rsidRPr="00806B7F">
              <w:rPr>
                <w:rFonts w:ascii="Arial" w:hAnsi="Arial" w:cs="Arial"/>
                <w:sz w:val="20"/>
              </w:rPr>
              <w:t>Capital Financing Requirement</w:t>
            </w:r>
          </w:p>
        </w:tc>
        <w:tc>
          <w:tcPr>
            <w:tcW w:w="1247" w:type="dxa"/>
          </w:tcPr>
          <w:p w14:paraId="6DD00203"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5FEA2CD7"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35C728C5"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3473E04A"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5C703EBD" w14:textId="77777777" w:rsidR="00CA11D6" w:rsidRPr="00806B7F" w:rsidRDefault="00CA11D6" w:rsidP="00A369A1">
            <w:pPr>
              <w:jc w:val="center"/>
              <w:rPr>
                <w:rFonts w:ascii="Arial" w:hAnsi="Arial" w:cs="Arial"/>
                <w:sz w:val="20"/>
              </w:rPr>
            </w:pPr>
            <w:r w:rsidRPr="00806B7F">
              <w:rPr>
                <w:rFonts w:ascii="Arial" w:hAnsi="Arial" w:cs="Arial"/>
                <w:sz w:val="20"/>
              </w:rPr>
              <w:t>-</w:t>
            </w:r>
          </w:p>
        </w:tc>
      </w:tr>
    </w:tbl>
    <w:p w14:paraId="4AA03D5E" w14:textId="77777777" w:rsidR="00CA11D6" w:rsidRPr="00806B7F" w:rsidRDefault="00CA11D6" w:rsidP="00CA11D6">
      <w:pPr>
        <w:jc w:val="both"/>
        <w:rPr>
          <w:rFonts w:ascii="Arial" w:hAnsi="Arial" w:cs="Arial"/>
          <w:sz w:val="20"/>
          <w:highlight w:val="yellow"/>
          <w:u w:val="single"/>
        </w:rPr>
      </w:pPr>
    </w:p>
    <w:p w14:paraId="005F268E" w14:textId="77777777" w:rsidR="00CA11D6" w:rsidRPr="00806B7F" w:rsidRDefault="00CA11D6" w:rsidP="00CA11D6">
      <w:pPr>
        <w:jc w:val="both"/>
        <w:rPr>
          <w:rFonts w:ascii="Arial" w:hAnsi="Arial" w:cs="Arial"/>
          <w:b/>
          <w:sz w:val="20"/>
        </w:rPr>
      </w:pPr>
      <w:r w:rsidRPr="00806B7F">
        <w:rPr>
          <w:rFonts w:ascii="Arial" w:hAnsi="Arial" w:cs="Arial"/>
          <w:b/>
          <w:sz w:val="20"/>
        </w:rPr>
        <w:t>Revenue Budget Implications</w:t>
      </w:r>
    </w:p>
    <w:p w14:paraId="5D56BC2C" w14:textId="77777777" w:rsidR="00CA11D6" w:rsidRPr="00806B7F" w:rsidRDefault="00CA11D6" w:rsidP="00CA11D6">
      <w:pPr>
        <w:jc w:val="both"/>
        <w:rPr>
          <w:rFonts w:ascii="Arial" w:hAnsi="Arial" w:cs="Arial"/>
          <w:sz w:val="20"/>
          <w:u w:val="single"/>
        </w:rPr>
      </w:pPr>
    </w:p>
    <w:p w14:paraId="637DD2BA" w14:textId="77777777" w:rsidR="00CA11D6" w:rsidRPr="00806B7F" w:rsidRDefault="00CA11D6" w:rsidP="00CA11D6">
      <w:pPr>
        <w:jc w:val="both"/>
        <w:rPr>
          <w:rFonts w:ascii="Arial" w:hAnsi="Arial" w:cs="Arial"/>
          <w:sz w:val="20"/>
        </w:rPr>
      </w:pPr>
      <w:r w:rsidRPr="00806B7F">
        <w:rPr>
          <w:rFonts w:ascii="Arial" w:hAnsi="Arial" w:cs="Arial"/>
          <w:sz w:val="20"/>
        </w:rPr>
        <w:t>Although capital expenditure is not charged directly to the revenue budget, interest payable on loans and Minimum Revenue Provision (MRP, or debt repayments) are charged to revenue, offset by interest receivable.  The net annual charge is known as financing costs.</w:t>
      </w:r>
    </w:p>
    <w:p w14:paraId="6D0A23A0" w14:textId="77777777" w:rsidR="00CA11D6" w:rsidRPr="00806B7F" w:rsidRDefault="00CA11D6" w:rsidP="00CA11D6">
      <w:pPr>
        <w:jc w:val="both"/>
        <w:rPr>
          <w:rFonts w:ascii="Arial" w:hAnsi="Arial" w:cs="Arial"/>
          <w:sz w:val="20"/>
        </w:rPr>
      </w:pPr>
    </w:p>
    <w:p w14:paraId="3905AD35" w14:textId="77777777" w:rsidR="00CA11D6" w:rsidRPr="00806B7F" w:rsidRDefault="00CA11D6" w:rsidP="00CA11D6">
      <w:pPr>
        <w:jc w:val="both"/>
        <w:rPr>
          <w:rFonts w:ascii="Arial" w:hAnsi="Arial" w:cs="Arial"/>
          <w:sz w:val="20"/>
        </w:rPr>
      </w:pPr>
      <w:r w:rsidRPr="00806B7F">
        <w:rPr>
          <w:rFonts w:ascii="Arial" w:hAnsi="Arial" w:cs="Arial"/>
          <w:sz w:val="20"/>
        </w:rPr>
        <w:t>As shown within the Treasury Management Strategy report elsewhere on the agenda, the financing costs are as follows:</w:t>
      </w:r>
    </w:p>
    <w:p w14:paraId="29D29C4D" w14:textId="67FF2D08" w:rsidR="004827FA" w:rsidRDefault="004827FA">
      <w:pPr>
        <w:rPr>
          <w:rFonts w:ascii="Arial" w:hAnsi="Arial" w:cs="Arial"/>
          <w:sz w:val="20"/>
        </w:rPr>
      </w:pPr>
      <w:r>
        <w:rPr>
          <w:rFonts w:ascii="Arial" w:hAnsi="Arial" w:cs="Arial"/>
          <w:sz w:val="20"/>
        </w:rPr>
        <w:br w:type="page"/>
      </w:r>
    </w:p>
    <w:p w14:paraId="436F787A" w14:textId="77777777" w:rsidR="00CA11D6" w:rsidRPr="00DB5DCF" w:rsidRDefault="00CA11D6" w:rsidP="00DB5DCF">
      <w:pPr>
        <w:rPr>
          <w:rFonts w:ascii="Arial" w:hAnsi="Arial" w:cs="Arial"/>
          <w:sz w:val="20"/>
        </w:rPr>
      </w:pPr>
    </w:p>
    <w:p w14:paraId="0FC30BD8"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17 Impact on Revenue Budget by year</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247"/>
        <w:gridCol w:w="1247"/>
        <w:gridCol w:w="1248"/>
        <w:gridCol w:w="1247"/>
        <w:gridCol w:w="1248"/>
      </w:tblGrid>
      <w:tr w:rsidR="00CA11D6" w:rsidRPr="00806B7F" w14:paraId="49203C6E" w14:textId="77777777" w:rsidTr="00A369A1">
        <w:tc>
          <w:tcPr>
            <w:tcW w:w="3289" w:type="dxa"/>
          </w:tcPr>
          <w:p w14:paraId="48AA1717" w14:textId="77777777" w:rsidR="00CA11D6" w:rsidRPr="00806B7F" w:rsidRDefault="00CA11D6" w:rsidP="00A369A1">
            <w:pPr>
              <w:rPr>
                <w:rFonts w:ascii="Arial" w:hAnsi="Arial" w:cs="Arial"/>
                <w:sz w:val="20"/>
                <w:highlight w:val="yellow"/>
              </w:rPr>
            </w:pPr>
          </w:p>
        </w:tc>
        <w:tc>
          <w:tcPr>
            <w:tcW w:w="1247" w:type="dxa"/>
          </w:tcPr>
          <w:p w14:paraId="40449AFB"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22FA6FEB"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247" w:type="dxa"/>
          </w:tcPr>
          <w:p w14:paraId="7CA450F3"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46C27E87"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248" w:type="dxa"/>
          </w:tcPr>
          <w:p w14:paraId="2E7CCB73"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0495BC6B"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7" w:type="dxa"/>
          </w:tcPr>
          <w:p w14:paraId="7F6A0CD7"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227B883F"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248" w:type="dxa"/>
          </w:tcPr>
          <w:p w14:paraId="7826A157"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7D08793E"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15E763D0" w14:textId="77777777" w:rsidTr="00A369A1">
        <w:tc>
          <w:tcPr>
            <w:tcW w:w="3289" w:type="dxa"/>
          </w:tcPr>
          <w:p w14:paraId="74BB1A01" w14:textId="77777777" w:rsidR="00CA11D6" w:rsidRPr="00806B7F" w:rsidRDefault="00CA11D6" w:rsidP="00A369A1">
            <w:pPr>
              <w:rPr>
                <w:rFonts w:ascii="Arial" w:hAnsi="Arial" w:cs="Arial"/>
                <w:sz w:val="20"/>
                <w:highlight w:val="yellow"/>
              </w:rPr>
            </w:pPr>
          </w:p>
        </w:tc>
        <w:tc>
          <w:tcPr>
            <w:tcW w:w="1247" w:type="dxa"/>
          </w:tcPr>
          <w:p w14:paraId="48E19498"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110E6B5B"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71393741"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7" w:type="dxa"/>
          </w:tcPr>
          <w:p w14:paraId="3B09B778"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48" w:type="dxa"/>
          </w:tcPr>
          <w:p w14:paraId="7ED03DFF"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713D2FF7" w14:textId="77777777" w:rsidTr="00A369A1">
        <w:tc>
          <w:tcPr>
            <w:tcW w:w="3289" w:type="dxa"/>
          </w:tcPr>
          <w:p w14:paraId="68ECE5EC" w14:textId="77777777" w:rsidR="00CA11D6" w:rsidRPr="00806B7F" w:rsidRDefault="00CA11D6" w:rsidP="00A369A1">
            <w:pPr>
              <w:rPr>
                <w:rFonts w:ascii="Arial" w:hAnsi="Arial" w:cs="Arial"/>
                <w:sz w:val="20"/>
              </w:rPr>
            </w:pPr>
            <w:r w:rsidRPr="00806B7F">
              <w:rPr>
                <w:rFonts w:ascii="Arial" w:hAnsi="Arial" w:cs="Arial"/>
                <w:sz w:val="20"/>
              </w:rPr>
              <w:t>Interest payable</w:t>
            </w:r>
          </w:p>
        </w:tc>
        <w:tc>
          <w:tcPr>
            <w:tcW w:w="1247" w:type="dxa"/>
          </w:tcPr>
          <w:p w14:paraId="633D73E3" w14:textId="77777777" w:rsidR="00CA11D6" w:rsidRPr="00806B7F" w:rsidRDefault="00CA11D6" w:rsidP="00A369A1">
            <w:pPr>
              <w:jc w:val="center"/>
              <w:rPr>
                <w:rFonts w:ascii="Arial" w:hAnsi="Arial" w:cs="Arial"/>
                <w:sz w:val="20"/>
              </w:rPr>
            </w:pPr>
            <w:r w:rsidRPr="00806B7F">
              <w:rPr>
                <w:rFonts w:ascii="Arial" w:hAnsi="Arial" w:cs="Arial"/>
                <w:sz w:val="20"/>
              </w:rPr>
              <w:t>0.090</w:t>
            </w:r>
          </w:p>
        </w:tc>
        <w:tc>
          <w:tcPr>
            <w:tcW w:w="1247" w:type="dxa"/>
          </w:tcPr>
          <w:p w14:paraId="4793AD8C" w14:textId="77777777" w:rsidR="00CA11D6" w:rsidRPr="00806B7F" w:rsidRDefault="00CA11D6" w:rsidP="00A369A1">
            <w:pPr>
              <w:jc w:val="center"/>
              <w:rPr>
                <w:rFonts w:ascii="Arial" w:hAnsi="Arial" w:cs="Arial"/>
                <w:sz w:val="20"/>
              </w:rPr>
            </w:pPr>
            <w:r w:rsidRPr="00806B7F">
              <w:rPr>
                <w:rFonts w:ascii="Arial" w:hAnsi="Arial" w:cs="Arial"/>
                <w:sz w:val="20"/>
              </w:rPr>
              <w:t>0.090</w:t>
            </w:r>
          </w:p>
        </w:tc>
        <w:tc>
          <w:tcPr>
            <w:tcW w:w="1248" w:type="dxa"/>
          </w:tcPr>
          <w:p w14:paraId="0775A4C9" w14:textId="77777777" w:rsidR="00CA11D6" w:rsidRPr="00806B7F" w:rsidRDefault="00CA11D6" w:rsidP="00A369A1">
            <w:pPr>
              <w:jc w:val="center"/>
              <w:rPr>
                <w:rFonts w:ascii="Arial" w:hAnsi="Arial" w:cs="Arial"/>
                <w:sz w:val="20"/>
              </w:rPr>
            </w:pPr>
            <w:r w:rsidRPr="00806B7F">
              <w:rPr>
                <w:rFonts w:ascii="Arial" w:hAnsi="Arial" w:cs="Arial"/>
                <w:sz w:val="20"/>
              </w:rPr>
              <w:t>0.090</w:t>
            </w:r>
          </w:p>
        </w:tc>
        <w:tc>
          <w:tcPr>
            <w:tcW w:w="1247" w:type="dxa"/>
          </w:tcPr>
          <w:p w14:paraId="473F6D17" w14:textId="77777777" w:rsidR="00CA11D6" w:rsidRPr="00806B7F" w:rsidRDefault="00CA11D6" w:rsidP="00A369A1">
            <w:pPr>
              <w:jc w:val="center"/>
              <w:rPr>
                <w:rFonts w:ascii="Arial" w:hAnsi="Arial" w:cs="Arial"/>
                <w:sz w:val="20"/>
              </w:rPr>
            </w:pPr>
            <w:r w:rsidRPr="00806B7F">
              <w:rPr>
                <w:rFonts w:ascii="Arial" w:hAnsi="Arial" w:cs="Arial"/>
                <w:sz w:val="20"/>
              </w:rPr>
              <w:t>0.090</w:t>
            </w:r>
          </w:p>
        </w:tc>
        <w:tc>
          <w:tcPr>
            <w:tcW w:w="1248" w:type="dxa"/>
          </w:tcPr>
          <w:p w14:paraId="6748DC6D" w14:textId="77777777" w:rsidR="00CA11D6" w:rsidRPr="00806B7F" w:rsidRDefault="00CA11D6" w:rsidP="00A369A1">
            <w:pPr>
              <w:jc w:val="center"/>
              <w:rPr>
                <w:rFonts w:ascii="Arial" w:hAnsi="Arial" w:cs="Arial"/>
                <w:sz w:val="20"/>
              </w:rPr>
            </w:pPr>
            <w:r w:rsidRPr="00806B7F">
              <w:rPr>
                <w:rFonts w:ascii="Arial" w:hAnsi="Arial" w:cs="Arial"/>
                <w:sz w:val="20"/>
              </w:rPr>
              <w:t>0.090</w:t>
            </w:r>
          </w:p>
        </w:tc>
      </w:tr>
      <w:tr w:rsidR="00CA11D6" w:rsidRPr="00806B7F" w14:paraId="7E321285" w14:textId="77777777" w:rsidTr="00A369A1">
        <w:tc>
          <w:tcPr>
            <w:tcW w:w="3289" w:type="dxa"/>
          </w:tcPr>
          <w:p w14:paraId="536605EC" w14:textId="77777777" w:rsidR="00CA11D6" w:rsidRPr="00806B7F" w:rsidRDefault="00CA11D6" w:rsidP="00A369A1">
            <w:pPr>
              <w:rPr>
                <w:rFonts w:ascii="Arial" w:hAnsi="Arial" w:cs="Arial"/>
                <w:sz w:val="20"/>
              </w:rPr>
            </w:pPr>
            <w:r w:rsidRPr="00806B7F">
              <w:rPr>
                <w:rFonts w:ascii="Arial" w:hAnsi="Arial" w:cs="Arial"/>
                <w:sz w:val="20"/>
              </w:rPr>
              <w:t>MRP</w:t>
            </w:r>
          </w:p>
        </w:tc>
        <w:tc>
          <w:tcPr>
            <w:tcW w:w="1247" w:type="dxa"/>
          </w:tcPr>
          <w:p w14:paraId="0BFE1DDB" w14:textId="77777777" w:rsidR="00CA11D6" w:rsidRPr="00806B7F" w:rsidRDefault="00CA11D6" w:rsidP="00A369A1">
            <w:pPr>
              <w:jc w:val="center"/>
              <w:rPr>
                <w:rFonts w:ascii="Arial" w:hAnsi="Arial" w:cs="Arial"/>
                <w:sz w:val="20"/>
              </w:rPr>
            </w:pPr>
            <w:r w:rsidRPr="00806B7F">
              <w:rPr>
                <w:rFonts w:ascii="Arial" w:hAnsi="Arial" w:cs="Arial"/>
                <w:sz w:val="20"/>
              </w:rPr>
              <w:t>0.010</w:t>
            </w:r>
          </w:p>
        </w:tc>
        <w:tc>
          <w:tcPr>
            <w:tcW w:w="1247" w:type="dxa"/>
          </w:tcPr>
          <w:p w14:paraId="2ECC1C59" w14:textId="77777777" w:rsidR="00CA11D6" w:rsidRPr="00806B7F" w:rsidRDefault="00CA11D6" w:rsidP="00A369A1">
            <w:pPr>
              <w:jc w:val="center"/>
              <w:rPr>
                <w:rFonts w:ascii="Arial" w:hAnsi="Arial" w:cs="Arial"/>
                <w:sz w:val="20"/>
              </w:rPr>
            </w:pPr>
            <w:r w:rsidRPr="00806B7F">
              <w:rPr>
                <w:rFonts w:ascii="Arial" w:hAnsi="Arial" w:cs="Arial"/>
                <w:sz w:val="20"/>
              </w:rPr>
              <w:t>0.010</w:t>
            </w:r>
          </w:p>
        </w:tc>
        <w:tc>
          <w:tcPr>
            <w:tcW w:w="1248" w:type="dxa"/>
          </w:tcPr>
          <w:p w14:paraId="6768483D"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7" w:type="dxa"/>
          </w:tcPr>
          <w:p w14:paraId="26A8380F"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1248" w:type="dxa"/>
          </w:tcPr>
          <w:p w14:paraId="1E7B6082" w14:textId="77777777" w:rsidR="00CA11D6" w:rsidRPr="00806B7F" w:rsidRDefault="00CA11D6" w:rsidP="00A369A1">
            <w:pPr>
              <w:jc w:val="center"/>
              <w:rPr>
                <w:rFonts w:ascii="Arial" w:hAnsi="Arial" w:cs="Arial"/>
                <w:sz w:val="20"/>
              </w:rPr>
            </w:pPr>
            <w:r w:rsidRPr="00806B7F">
              <w:rPr>
                <w:rFonts w:ascii="Arial" w:hAnsi="Arial" w:cs="Arial"/>
                <w:sz w:val="20"/>
              </w:rPr>
              <w:t>-</w:t>
            </w:r>
          </w:p>
        </w:tc>
      </w:tr>
      <w:tr w:rsidR="00CA11D6" w:rsidRPr="00806B7F" w14:paraId="111AA429" w14:textId="77777777" w:rsidTr="00A369A1">
        <w:tc>
          <w:tcPr>
            <w:tcW w:w="3289" w:type="dxa"/>
          </w:tcPr>
          <w:p w14:paraId="61FD7A77" w14:textId="77777777" w:rsidR="00CA11D6" w:rsidRPr="00806B7F" w:rsidRDefault="00CA11D6" w:rsidP="00A369A1">
            <w:pPr>
              <w:rPr>
                <w:rFonts w:ascii="Arial" w:hAnsi="Arial" w:cs="Arial"/>
                <w:sz w:val="20"/>
              </w:rPr>
            </w:pPr>
            <w:r w:rsidRPr="00806B7F">
              <w:rPr>
                <w:rFonts w:ascii="Arial" w:hAnsi="Arial" w:cs="Arial"/>
                <w:sz w:val="20"/>
              </w:rPr>
              <w:t>Interest receivable</w:t>
            </w:r>
          </w:p>
        </w:tc>
        <w:tc>
          <w:tcPr>
            <w:tcW w:w="1247" w:type="dxa"/>
          </w:tcPr>
          <w:p w14:paraId="545014B3" w14:textId="77777777" w:rsidR="00CA11D6" w:rsidRPr="00806B7F" w:rsidRDefault="00CA11D6" w:rsidP="00A369A1">
            <w:pPr>
              <w:jc w:val="center"/>
              <w:rPr>
                <w:rFonts w:ascii="Arial" w:hAnsi="Arial" w:cs="Arial"/>
                <w:sz w:val="20"/>
              </w:rPr>
            </w:pPr>
            <w:r w:rsidRPr="00806B7F">
              <w:rPr>
                <w:rFonts w:ascii="Arial" w:hAnsi="Arial" w:cs="Arial"/>
                <w:sz w:val="20"/>
              </w:rPr>
              <w:t>(0.206)</w:t>
            </w:r>
          </w:p>
        </w:tc>
        <w:tc>
          <w:tcPr>
            <w:tcW w:w="1247" w:type="dxa"/>
          </w:tcPr>
          <w:p w14:paraId="1F36FF54" w14:textId="77777777" w:rsidR="00CA11D6" w:rsidRPr="00806B7F" w:rsidRDefault="00CA11D6" w:rsidP="00A369A1">
            <w:pPr>
              <w:jc w:val="center"/>
              <w:rPr>
                <w:rFonts w:ascii="Arial" w:hAnsi="Arial" w:cs="Arial"/>
                <w:sz w:val="20"/>
              </w:rPr>
            </w:pPr>
            <w:r w:rsidRPr="00806B7F">
              <w:rPr>
                <w:rFonts w:ascii="Arial" w:hAnsi="Arial" w:cs="Arial"/>
                <w:sz w:val="20"/>
              </w:rPr>
              <w:t>(0.770)</w:t>
            </w:r>
          </w:p>
        </w:tc>
        <w:tc>
          <w:tcPr>
            <w:tcW w:w="1248" w:type="dxa"/>
          </w:tcPr>
          <w:p w14:paraId="1BEE0D5D" w14:textId="77777777" w:rsidR="00CA11D6" w:rsidRPr="00806B7F" w:rsidRDefault="00CA11D6" w:rsidP="00A369A1">
            <w:pPr>
              <w:jc w:val="center"/>
              <w:rPr>
                <w:rFonts w:ascii="Arial" w:hAnsi="Arial" w:cs="Arial"/>
                <w:sz w:val="20"/>
              </w:rPr>
            </w:pPr>
            <w:r w:rsidRPr="00806B7F">
              <w:rPr>
                <w:rFonts w:ascii="Arial" w:hAnsi="Arial" w:cs="Arial"/>
                <w:sz w:val="20"/>
              </w:rPr>
              <w:t>(1.300)</w:t>
            </w:r>
          </w:p>
        </w:tc>
        <w:tc>
          <w:tcPr>
            <w:tcW w:w="1247" w:type="dxa"/>
          </w:tcPr>
          <w:p w14:paraId="16836614" w14:textId="77777777" w:rsidR="00CA11D6" w:rsidRPr="00806B7F" w:rsidRDefault="00CA11D6" w:rsidP="00A369A1">
            <w:pPr>
              <w:jc w:val="center"/>
              <w:rPr>
                <w:rFonts w:ascii="Arial" w:hAnsi="Arial" w:cs="Arial"/>
                <w:sz w:val="20"/>
              </w:rPr>
            </w:pPr>
            <w:r w:rsidRPr="00806B7F">
              <w:rPr>
                <w:rFonts w:ascii="Arial" w:hAnsi="Arial" w:cs="Arial"/>
                <w:sz w:val="20"/>
              </w:rPr>
              <w:t>(1.000)</w:t>
            </w:r>
          </w:p>
        </w:tc>
        <w:tc>
          <w:tcPr>
            <w:tcW w:w="1248" w:type="dxa"/>
          </w:tcPr>
          <w:p w14:paraId="49EFD712" w14:textId="77777777" w:rsidR="00CA11D6" w:rsidRPr="00806B7F" w:rsidRDefault="00CA11D6" w:rsidP="00A369A1">
            <w:pPr>
              <w:jc w:val="center"/>
              <w:rPr>
                <w:rFonts w:ascii="Arial" w:hAnsi="Arial" w:cs="Arial"/>
                <w:sz w:val="20"/>
              </w:rPr>
            </w:pPr>
            <w:r w:rsidRPr="00806B7F">
              <w:rPr>
                <w:rFonts w:ascii="Arial" w:hAnsi="Arial" w:cs="Arial"/>
                <w:sz w:val="20"/>
              </w:rPr>
              <w:t>(0.650)</w:t>
            </w:r>
          </w:p>
        </w:tc>
      </w:tr>
      <w:tr w:rsidR="00CA11D6" w:rsidRPr="00806B7F" w14:paraId="18A4CBAD" w14:textId="77777777" w:rsidTr="00A369A1">
        <w:tc>
          <w:tcPr>
            <w:tcW w:w="3289" w:type="dxa"/>
          </w:tcPr>
          <w:p w14:paraId="46186B79" w14:textId="77777777" w:rsidR="00CA11D6" w:rsidRPr="00806B7F" w:rsidRDefault="00CA11D6" w:rsidP="00A369A1">
            <w:pPr>
              <w:rPr>
                <w:rFonts w:ascii="Arial" w:hAnsi="Arial" w:cs="Arial"/>
                <w:b/>
                <w:sz w:val="20"/>
              </w:rPr>
            </w:pPr>
            <w:r w:rsidRPr="00806B7F">
              <w:rPr>
                <w:rFonts w:ascii="Arial" w:hAnsi="Arial" w:cs="Arial"/>
                <w:b/>
                <w:sz w:val="20"/>
              </w:rPr>
              <w:t xml:space="preserve">Net financing costs </w:t>
            </w:r>
          </w:p>
        </w:tc>
        <w:tc>
          <w:tcPr>
            <w:tcW w:w="1247" w:type="dxa"/>
          </w:tcPr>
          <w:p w14:paraId="31DFCBBD" w14:textId="77777777" w:rsidR="00CA11D6" w:rsidRPr="00806B7F" w:rsidRDefault="00CA11D6" w:rsidP="00A369A1">
            <w:pPr>
              <w:jc w:val="center"/>
              <w:rPr>
                <w:rFonts w:ascii="Arial" w:hAnsi="Arial" w:cs="Arial"/>
                <w:b/>
                <w:sz w:val="20"/>
              </w:rPr>
            </w:pPr>
            <w:r w:rsidRPr="00806B7F">
              <w:rPr>
                <w:rFonts w:ascii="Arial" w:hAnsi="Arial" w:cs="Arial"/>
                <w:b/>
                <w:sz w:val="20"/>
              </w:rPr>
              <w:t>(0.106)</w:t>
            </w:r>
          </w:p>
        </w:tc>
        <w:tc>
          <w:tcPr>
            <w:tcW w:w="1247" w:type="dxa"/>
          </w:tcPr>
          <w:p w14:paraId="7197CFC6" w14:textId="77777777" w:rsidR="00CA11D6" w:rsidRPr="00806B7F" w:rsidRDefault="00CA11D6" w:rsidP="00A369A1">
            <w:pPr>
              <w:jc w:val="center"/>
              <w:rPr>
                <w:rFonts w:ascii="Arial" w:hAnsi="Arial" w:cs="Arial"/>
                <w:b/>
                <w:sz w:val="20"/>
              </w:rPr>
            </w:pPr>
            <w:r w:rsidRPr="00806B7F">
              <w:rPr>
                <w:rFonts w:ascii="Arial" w:hAnsi="Arial" w:cs="Arial"/>
                <w:b/>
                <w:sz w:val="20"/>
              </w:rPr>
              <w:t>(0.680)</w:t>
            </w:r>
          </w:p>
        </w:tc>
        <w:tc>
          <w:tcPr>
            <w:tcW w:w="1248" w:type="dxa"/>
          </w:tcPr>
          <w:p w14:paraId="680ACF05" w14:textId="77777777" w:rsidR="00CA11D6" w:rsidRPr="00806B7F" w:rsidRDefault="00CA11D6" w:rsidP="00A369A1">
            <w:pPr>
              <w:jc w:val="center"/>
              <w:rPr>
                <w:rFonts w:ascii="Arial" w:hAnsi="Arial" w:cs="Arial"/>
                <w:b/>
                <w:sz w:val="20"/>
              </w:rPr>
            </w:pPr>
            <w:r w:rsidRPr="00806B7F">
              <w:rPr>
                <w:rFonts w:ascii="Arial" w:hAnsi="Arial" w:cs="Arial"/>
                <w:b/>
                <w:sz w:val="20"/>
              </w:rPr>
              <w:t>(1.210)</w:t>
            </w:r>
          </w:p>
        </w:tc>
        <w:tc>
          <w:tcPr>
            <w:tcW w:w="1247" w:type="dxa"/>
          </w:tcPr>
          <w:p w14:paraId="01B4E8D5" w14:textId="77777777" w:rsidR="00CA11D6" w:rsidRPr="00806B7F" w:rsidRDefault="00CA11D6" w:rsidP="00A369A1">
            <w:pPr>
              <w:jc w:val="center"/>
              <w:rPr>
                <w:rFonts w:ascii="Arial" w:hAnsi="Arial" w:cs="Arial"/>
                <w:b/>
                <w:sz w:val="20"/>
              </w:rPr>
            </w:pPr>
            <w:r w:rsidRPr="00806B7F">
              <w:rPr>
                <w:rFonts w:ascii="Arial" w:hAnsi="Arial" w:cs="Arial"/>
                <w:b/>
                <w:sz w:val="20"/>
              </w:rPr>
              <w:t>(0.910)</w:t>
            </w:r>
          </w:p>
        </w:tc>
        <w:tc>
          <w:tcPr>
            <w:tcW w:w="1248" w:type="dxa"/>
          </w:tcPr>
          <w:p w14:paraId="1454EA14" w14:textId="77777777" w:rsidR="00CA11D6" w:rsidRPr="00806B7F" w:rsidRDefault="00CA11D6" w:rsidP="00A369A1">
            <w:pPr>
              <w:jc w:val="center"/>
              <w:rPr>
                <w:rFonts w:ascii="Arial" w:hAnsi="Arial" w:cs="Arial"/>
                <w:b/>
                <w:sz w:val="20"/>
              </w:rPr>
            </w:pPr>
            <w:r w:rsidRPr="00806B7F">
              <w:rPr>
                <w:rFonts w:ascii="Arial" w:hAnsi="Arial" w:cs="Arial"/>
                <w:b/>
                <w:sz w:val="20"/>
              </w:rPr>
              <w:t>(0.560)</w:t>
            </w:r>
          </w:p>
        </w:tc>
      </w:tr>
    </w:tbl>
    <w:p w14:paraId="05265E21" w14:textId="77777777" w:rsidR="00CA11D6" w:rsidRPr="00806B7F" w:rsidRDefault="00CA11D6" w:rsidP="00CA11D6">
      <w:pPr>
        <w:jc w:val="both"/>
        <w:rPr>
          <w:rFonts w:ascii="Arial" w:hAnsi="Arial" w:cs="Arial"/>
          <w:sz w:val="20"/>
          <w:highlight w:val="yellow"/>
        </w:rPr>
      </w:pPr>
    </w:p>
    <w:p w14:paraId="2BF5C6E5" w14:textId="77777777" w:rsidR="00CA11D6" w:rsidRPr="00806B7F" w:rsidRDefault="00CA11D6" w:rsidP="00CA11D6">
      <w:pPr>
        <w:jc w:val="both"/>
        <w:rPr>
          <w:rFonts w:ascii="Arial" w:hAnsi="Arial" w:cs="Arial"/>
          <w:sz w:val="20"/>
          <w:u w:val="single"/>
        </w:rPr>
      </w:pPr>
      <w:r w:rsidRPr="00806B7F">
        <w:rPr>
          <w:rFonts w:ascii="Arial" w:hAnsi="Arial" w:cs="Arial"/>
          <w:sz w:val="20"/>
          <w:u w:val="single"/>
        </w:rPr>
        <w:t>Proportion of financing costs to net revenue stream</w:t>
      </w:r>
    </w:p>
    <w:p w14:paraId="11440313" w14:textId="77777777" w:rsidR="00DB5DCF" w:rsidRDefault="00DB5DCF" w:rsidP="00DB5DCF">
      <w:pPr>
        <w:rPr>
          <w:rFonts w:ascii="Arial" w:eastAsia="Calibri" w:hAnsi="Arial" w:cs="Arial"/>
          <w:i/>
          <w:iCs/>
          <w:color w:val="44546A"/>
          <w:sz w:val="20"/>
          <w:lang w:eastAsia="en-US"/>
        </w:rPr>
      </w:pPr>
    </w:p>
    <w:p w14:paraId="2B09ECFB" w14:textId="424FFA59"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18 Proportion of financing costs to net revenue stream by year</w:t>
      </w:r>
    </w:p>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315"/>
        <w:gridCol w:w="1316"/>
        <w:gridCol w:w="1315"/>
        <w:gridCol w:w="1316"/>
        <w:gridCol w:w="1316"/>
      </w:tblGrid>
      <w:tr w:rsidR="00CA11D6" w:rsidRPr="00806B7F" w14:paraId="6BF4E703" w14:textId="77777777" w:rsidTr="00A369A1">
        <w:tc>
          <w:tcPr>
            <w:tcW w:w="3006" w:type="dxa"/>
          </w:tcPr>
          <w:p w14:paraId="36D5108E" w14:textId="77777777" w:rsidR="00CA11D6" w:rsidRPr="00806B7F" w:rsidRDefault="00CA11D6" w:rsidP="00A369A1">
            <w:pPr>
              <w:rPr>
                <w:rFonts w:ascii="Arial" w:hAnsi="Arial" w:cs="Arial"/>
                <w:sz w:val="20"/>
                <w:highlight w:val="yellow"/>
              </w:rPr>
            </w:pPr>
          </w:p>
        </w:tc>
        <w:tc>
          <w:tcPr>
            <w:tcW w:w="1315" w:type="dxa"/>
          </w:tcPr>
          <w:p w14:paraId="26E8FA58" w14:textId="77777777" w:rsidR="00CA11D6" w:rsidRPr="00806B7F" w:rsidRDefault="00CA11D6" w:rsidP="00A369A1">
            <w:pPr>
              <w:jc w:val="center"/>
              <w:rPr>
                <w:rFonts w:ascii="Arial" w:hAnsi="Arial" w:cs="Arial"/>
                <w:b/>
                <w:sz w:val="20"/>
              </w:rPr>
            </w:pPr>
            <w:r w:rsidRPr="00806B7F">
              <w:rPr>
                <w:rFonts w:ascii="Arial" w:hAnsi="Arial" w:cs="Arial"/>
                <w:b/>
                <w:sz w:val="20"/>
              </w:rPr>
              <w:t>2021/22</w:t>
            </w:r>
          </w:p>
          <w:p w14:paraId="52D8C4E1" w14:textId="77777777" w:rsidR="00CA11D6" w:rsidRPr="00806B7F" w:rsidRDefault="00CA11D6" w:rsidP="00A369A1">
            <w:pPr>
              <w:jc w:val="center"/>
              <w:rPr>
                <w:rFonts w:ascii="Arial" w:hAnsi="Arial" w:cs="Arial"/>
                <w:b/>
                <w:sz w:val="20"/>
              </w:rPr>
            </w:pPr>
            <w:r w:rsidRPr="00806B7F">
              <w:rPr>
                <w:rFonts w:ascii="Arial" w:hAnsi="Arial" w:cs="Arial"/>
                <w:b/>
                <w:sz w:val="20"/>
              </w:rPr>
              <w:t xml:space="preserve">Actual </w:t>
            </w:r>
          </w:p>
        </w:tc>
        <w:tc>
          <w:tcPr>
            <w:tcW w:w="1316" w:type="dxa"/>
          </w:tcPr>
          <w:p w14:paraId="6105CD71" w14:textId="77777777" w:rsidR="00CA11D6" w:rsidRPr="00806B7F" w:rsidRDefault="00CA11D6" w:rsidP="00A369A1">
            <w:pPr>
              <w:jc w:val="center"/>
              <w:rPr>
                <w:rFonts w:ascii="Arial" w:hAnsi="Arial" w:cs="Arial"/>
                <w:b/>
                <w:sz w:val="20"/>
              </w:rPr>
            </w:pPr>
            <w:r w:rsidRPr="00806B7F">
              <w:rPr>
                <w:rFonts w:ascii="Arial" w:hAnsi="Arial" w:cs="Arial"/>
                <w:b/>
                <w:sz w:val="20"/>
              </w:rPr>
              <w:t>2022/23</w:t>
            </w:r>
          </w:p>
          <w:p w14:paraId="36A762DC" w14:textId="77777777" w:rsidR="00CA11D6" w:rsidRPr="00806B7F" w:rsidRDefault="00CA11D6" w:rsidP="00A369A1">
            <w:pPr>
              <w:jc w:val="center"/>
              <w:rPr>
                <w:rFonts w:ascii="Arial" w:hAnsi="Arial" w:cs="Arial"/>
                <w:b/>
                <w:sz w:val="20"/>
              </w:rPr>
            </w:pPr>
            <w:r w:rsidRPr="00806B7F">
              <w:rPr>
                <w:rFonts w:ascii="Arial" w:hAnsi="Arial" w:cs="Arial"/>
                <w:b/>
                <w:sz w:val="20"/>
              </w:rPr>
              <w:t>Forecast</w:t>
            </w:r>
          </w:p>
        </w:tc>
        <w:tc>
          <w:tcPr>
            <w:tcW w:w="1315" w:type="dxa"/>
          </w:tcPr>
          <w:p w14:paraId="4E886099" w14:textId="77777777" w:rsidR="00CA11D6" w:rsidRPr="00806B7F" w:rsidRDefault="00CA11D6" w:rsidP="00A369A1">
            <w:pPr>
              <w:jc w:val="center"/>
              <w:rPr>
                <w:rFonts w:ascii="Arial" w:hAnsi="Arial" w:cs="Arial"/>
                <w:b/>
                <w:sz w:val="20"/>
              </w:rPr>
            </w:pPr>
            <w:r w:rsidRPr="00806B7F">
              <w:rPr>
                <w:rFonts w:ascii="Arial" w:hAnsi="Arial" w:cs="Arial"/>
                <w:b/>
                <w:sz w:val="20"/>
              </w:rPr>
              <w:t>2023/24</w:t>
            </w:r>
          </w:p>
          <w:p w14:paraId="60EE9CC8"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316" w:type="dxa"/>
          </w:tcPr>
          <w:p w14:paraId="3D017E45" w14:textId="77777777" w:rsidR="00CA11D6" w:rsidRPr="00806B7F" w:rsidRDefault="00CA11D6" w:rsidP="00A369A1">
            <w:pPr>
              <w:jc w:val="center"/>
              <w:rPr>
                <w:rFonts w:ascii="Arial" w:hAnsi="Arial" w:cs="Arial"/>
                <w:b/>
                <w:sz w:val="20"/>
              </w:rPr>
            </w:pPr>
            <w:r w:rsidRPr="00806B7F">
              <w:rPr>
                <w:rFonts w:ascii="Arial" w:hAnsi="Arial" w:cs="Arial"/>
                <w:b/>
                <w:sz w:val="20"/>
              </w:rPr>
              <w:t>2024/25</w:t>
            </w:r>
          </w:p>
          <w:p w14:paraId="7D560031"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c>
          <w:tcPr>
            <w:tcW w:w="1316" w:type="dxa"/>
          </w:tcPr>
          <w:p w14:paraId="675263EA" w14:textId="77777777" w:rsidR="00CA11D6" w:rsidRPr="00806B7F" w:rsidRDefault="00CA11D6" w:rsidP="00A369A1">
            <w:pPr>
              <w:jc w:val="center"/>
              <w:rPr>
                <w:rFonts w:ascii="Arial" w:hAnsi="Arial" w:cs="Arial"/>
                <w:b/>
                <w:sz w:val="20"/>
              </w:rPr>
            </w:pPr>
            <w:r w:rsidRPr="00806B7F">
              <w:rPr>
                <w:rFonts w:ascii="Arial" w:hAnsi="Arial" w:cs="Arial"/>
                <w:b/>
                <w:sz w:val="20"/>
              </w:rPr>
              <w:t>2025/26</w:t>
            </w:r>
          </w:p>
          <w:p w14:paraId="5ECFFB9F" w14:textId="77777777" w:rsidR="00CA11D6" w:rsidRPr="00806B7F" w:rsidRDefault="00CA11D6" w:rsidP="00A369A1">
            <w:pPr>
              <w:jc w:val="center"/>
              <w:rPr>
                <w:rFonts w:ascii="Arial" w:hAnsi="Arial" w:cs="Arial"/>
                <w:b/>
                <w:sz w:val="20"/>
              </w:rPr>
            </w:pPr>
            <w:r w:rsidRPr="00806B7F">
              <w:rPr>
                <w:rFonts w:ascii="Arial" w:hAnsi="Arial" w:cs="Arial"/>
                <w:b/>
                <w:sz w:val="20"/>
              </w:rPr>
              <w:t>Estimate</w:t>
            </w:r>
          </w:p>
        </w:tc>
      </w:tr>
      <w:tr w:rsidR="00CA11D6" w:rsidRPr="00806B7F" w14:paraId="4602F355" w14:textId="77777777" w:rsidTr="00A369A1">
        <w:tc>
          <w:tcPr>
            <w:tcW w:w="3006" w:type="dxa"/>
          </w:tcPr>
          <w:p w14:paraId="2D4F5FA4" w14:textId="77777777" w:rsidR="00CA11D6" w:rsidRPr="00806B7F" w:rsidRDefault="00CA11D6" w:rsidP="00A369A1">
            <w:pPr>
              <w:rPr>
                <w:rFonts w:ascii="Arial" w:hAnsi="Arial" w:cs="Arial"/>
                <w:sz w:val="20"/>
              </w:rPr>
            </w:pPr>
            <w:r w:rsidRPr="00806B7F">
              <w:rPr>
                <w:rFonts w:ascii="Arial" w:hAnsi="Arial" w:cs="Arial"/>
                <w:sz w:val="20"/>
              </w:rPr>
              <w:t xml:space="preserve">Net financing costs </w:t>
            </w:r>
          </w:p>
        </w:tc>
        <w:tc>
          <w:tcPr>
            <w:tcW w:w="1315" w:type="dxa"/>
          </w:tcPr>
          <w:p w14:paraId="5914F2AA" w14:textId="77777777" w:rsidR="00CA11D6" w:rsidRPr="00806B7F" w:rsidRDefault="00CA11D6" w:rsidP="00A369A1">
            <w:pPr>
              <w:jc w:val="center"/>
              <w:rPr>
                <w:rFonts w:ascii="Arial" w:hAnsi="Arial" w:cs="Arial"/>
                <w:sz w:val="20"/>
              </w:rPr>
            </w:pPr>
            <w:r w:rsidRPr="00806B7F">
              <w:rPr>
                <w:rFonts w:ascii="Arial" w:hAnsi="Arial" w:cs="Arial"/>
                <w:sz w:val="20"/>
              </w:rPr>
              <w:t>(£0.106m)</w:t>
            </w:r>
          </w:p>
        </w:tc>
        <w:tc>
          <w:tcPr>
            <w:tcW w:w="1316" w:type="dxa"/>
          </w:tcPr>
          <w:p w14:paraId="13AE46AB" w14:textId="77777777" w:rsidR="00CA11D6" w:rsidRPr="00806B7F" w:rsidRDefault="00CA11D6" w:rsidP="00A369A1">
            <w:pPr>
              <w:jc w:val="center"/>
              <w:rPr>
                <w:rFonts w:ascii="Arial" w:hAnsi="Arial" w:cs="Arial"/>
                <w:sz w:val="20"/>
              </w:rPr>
            </w:pPr>
            <w:r w:rsidRPr="00806B7F">
              <w:rPr>
                <w:rFonts w:ascii="Arial" w:hAnsi="Arial" w:cs="Arial"/>
                <w:sz w:val="20"/>
              </w:rPr>
              <w:t>(£0.680m)</w:t>
            </w:r>
          </w:p>
        </w:tc>
        <w:tc>
          <w:tcPr>
            <w:tcW w:w="1315" w:type="dxa"/>
          </w:tcPr>
          <w:p w14:paraId="1FD9B89C" w14:textId="77777777" w:rsidR="00CA11D6" w:rsidRPr="00806B7F" w:rsidRDefault="00CA11D6" w:rsidP="00A369A1">
            <w:pPr>
              <w:jc w:val="center"/>
              <w:rPr>
                <w:rFonts w:ascii="Arial" w:hAnsi="Arial" w:cs="Arial"/>
                <w:sz w:val="20"/>
              </w:rPr>
            </w:pPr>
            <w:r w:rsidRPr="00806B7F">
              <w:rPr>
                <w:rFonts w:ascii="Arial" w:hAnsi="Arial" w:cs="Arial"/>
                <w:sz w:val="20"/>
              </w:rPr>
              <w:t>(£1.210m)</w:t>
            </w:r>
          </w:p>
        </w:tc>
        <w:tc>
          <w:tcPr>
            <w:tcW w:w="1316" w:type="dxa"/>
          </w:tcPr>
          <w:p w14:paraId="7E8BEBC5" w14:textId="77777777" w:rsidR="00CA11D6" w:rsidRPr="00806B7F" w:rsidRDefault="00CA11D6" w:rsidP="00A369A1">
            <w:pPr>
              <w:jc w:val="center"/>
              <w:rPr>
                <w:rFonts w:ascii="Arial" w:hAnsi="Arial" w:cs="Arial"/>
                <w:sz w:val="20"/>
              </w:rPr>
            </w:pPr>
            <w:r w:rsidRPr="00806B7F">
              <w:rPr>
                <w:rFonts w:ascii="Arial" w:hAnsi="Arial" w:cs="Arial"/>
                <w:sz w:val="20"/>
              </w:rPr>
              <w:t>(£0.910m)</w:t>
            </w:r>
          </w:p>
        </w:tc>
        <w:tc>
          <w:tcPr>
            <w:tcW w:w="1316" w:type="dxa"/>
          </w:tcPr>
          <w:p w14:paraId="58E0E01F" w14:textId="77777777" w:rsidR="00CA11D6" w:rsidRPr="00806B7F" w:rsidRDefault="00CA11D6" w:rsidP="00A369A1">
            <w:pPr>
              <w:jc w:val="center"/>
              <w:rPr>
                <w:rFonts w:ascii="Arial" w:hAnsi="Arial" w:cs="Arial"/>
                <w:sz w:val="20"/>
              </w:rPr>
            </w:pPr>
            <w:r w:rsidRPr="00806B7F">
              <w:rPr>
                <w:rFonts w:ascii="Arial" w:hAnsi="Arial" w:cs="Arial"/>
                <w:sz w:val="20"/>
              </w:rPr>
              <w:t>(£0.560m)</w:t>
            </w:r>
          </w:p>
        </w:tc>
      </w:tr>
      <w:tr w:rsidR="00CA11D6" w:rsidRPr="00806B7F" w14:paraId="632EB925" w14:textId="77777777" w:rsidTr="00A369A1">
        <w:tc>
          <w:tcPr>
            <w:tcW w:w="3006" w:type="dxa"/>
          </w:tcPr>
          <w:p w14:paraId="7A3DD732" w14:textId="77777777" w:rsidR="00CA11D6" w:rsidRPr="00806B7F" w:rsidRDefault="00CA11D6" w:rsidP="00A369A1">
            <w:pPr>
              <w:rPr>
                <w:rFonts w:ascii="Arial" w:hAnsi="Arial" w:cs="Arial"/>
                <w:sz w:val="20"/>
              </w:rPr>
            </w:pPr>
            <w:r w:rsidRPr="00806B7F">
              <w:rPr>
                <w:rFonts w:ascii="Arial" w:hAnsi="Arial" w:cs="Arial"/>
                <w:sz w:val="20"/>
              </w:rPr>
              <w:t>Ratio of Financing Costs to Net Revenue Stream</w:t>
            </w:r>
          </w:p>
        </w:tc>
        <w:tc>
          <w:tcPr>
            <w:tcW w:w="1315" w:type="dxa"/>
          </w:tcPr>
          <w:p w14:paraId="317598C5" w14:textId="77777777" w:rsidR="00CA11D6" w:rsidRPr="00806B7F" w:rsidRDefault="00CA11D6" w:rsidP="00A369A1">
            <w:pPr>
              <w:jc w:val="center"/>
              <w:rPr>
                <w:rFonts w:ascii="Arial" w:hAnsi="Arial" w:cs="Arial"/>
                <w:sz w:val="20"/>
              </w:rPr>
            </w:pPr>
            <w:r w:rsidRPr="00806B7F">
              <w:rPr>
                <w:rFonts w:ascii="Arial" w:hAnsi="Arial" w:cs="Arial"/>
                <w:sz w:val="20"/>
              </w:rPr>
              <w:t>(0.18%)</w:t>
            </w:r>
          </w:p>
        </w:tc>
        <w:tc>
          <w:tcPr>
            <w:tcW w:w="1316" w:type="dxa"/>
          </w:tcPr>
          <w:p w14:paraId="07727DEF" w14:textId="77777777" w:rsidR="00CA11D6" w:rsidRPr="00806B7F" w:rsidRDefault="00CA11D6" w:rsidP="00A369A1">
            <w:pPr>
              <w:jc w:val="center"/>
              <w:rPr>
                <w:rFonts w:ascii="Arial" w:hAnsi="Arial" w:cs="Arial"/>
                <w:sz w:val="20"/>
              </w:rPr>
            </w:pPr>
            <w:r w:rsidRPr="00806B7F">
              <w:rPr>
                <w:rFonts w:ascii="Arial" w:hAnsi="Arial" w:cs="Arial"/>
                <w:sz w:val="20"/>
              </w:rPr>
              <w:t>(1.08%)</w:t>
            </w:r>
          </w:p>
        </w:tc>
        <w:tc>
          <w:tcPr>
            <w:tcW w:w="1315" w:type="dxa"/>
          </w:tcPr>
          <w:p w14:paraId="4E55EE6C" w14:textId="77777777" w:rsidR="00CA11D6" w:rsidRPr="00806B7F" w:rsidRDefault="00CA11D6" w:rsidP="00A369A1">
            <w:pPr>
              <w:jc w:val="center"/>
              <w:rPr>
                <w:rFonts w:ascii="Arial" w:hAnsi="Arial" w:cs="Arial"/>
                <w:sz w:val="20"/>
              </w:rPr>
            </w:pPr>
            <w:r w:rsidRPr="00806B7F">
              <w:rPr>
                <w:rFonts w:ascii="Arial" w:hAnsi="Arial" w:cs="Arial"/>
                <w:sz w:val="20"/>
              </w:rPr>
              <w:t>(1.85%)</w:t>
            </w:r>
          </w:p>
        </w:tc>
        <w:tc>
          <w:tcPr>
            <w:tcW w:w="1316" w:type="dxa"/>
          </w:tcPr>
          <w:p w14:paraId="51A892B4" w14:textId="77777777" w:rsidR="00CA11D6" w:rsidRPr="00806B7F" w:rsidRDefault="00CA11D6" w:rsidP="00A369A1">
            <w:pPr>
              <w:jc w:val="center"/>
              <w:rPr>
                <w:rFonts w:ascii="Arial" w:hAnsi="Arial" w:cs="Arial"/>
                <w:sz w:val="20"/>
              </w:rPr>
            </w:pPr>
            <w:r w:rsidRPr="00806B7F">
              <w:rPr>
                <w:rFonts w:ascii="Arial" w:hAnsi="Arial" w:cs="Arial"/>
                <w:sz w:val="20"/>
              </w:rPr>
              <w:t>(1.28%)</w:t>
            </w:r>
          </w:p>
        </w:tc>
        <w:tc>
          <w:tcPr>
            <w:tcW w:w="1316" w:type="dxa"/>
          </w:tcPr>
          <w:p w14:paraId="4B10EBB1" w14:textId="77777777" w:rsidR="00CA11D6" w:rsidRPr="00806B7F" w:rsidRDefault="00CA11D6" w:rsidP="00A369A1">
            <w:pPr>
              <w:jc w:val="center"/>
              <w:rPr>
                <w:rFonts w:ascii="Arial" w:hAnsi="Arial" w:cs="Arial"/>
                <w:sz w:val="20"/>
              </w:rPr>
            </w:pPr>
            <w:r w:rsidRPr="00806B7F">
              <w:rPr>
                <w:rFonts w:ascii="Arial" w:hAnsi="Arial" w:cs="Arial"/>
                <w:sz w:val="20"/>
              </w:rPr>
              <w:t>(0.76%)</w:t>
            </w:r>
          </w:p>
        </w:tc>
      </w:tr>
    </w:tbl>
    <w:p w14:paraId="1281A419" w14:textId="77777777" w:rsidR="00CA11D6" w:rsidRPr="00806B7F" w:rsidRDefault="00CA11D6" w:rsidP="00CA11D6">
      <w:pPr>
        <w:jc w:val="both"/>
        <w:rPr>
          <w:rFonts w:ascii="Arial" w:hAnsi="Arial" w:cs="Arial"/>
          <w:sz w:val="20"/>
          <w:highlight w:val="yellow"/>
        </w:rPr>
      </w:pPr>
    </w:p>
    <w:p w14:paraId="12811CE4" w14:textId="77777777" w:rsidR="00CA11D6" w:rsidRPr="00806B7F" w:rsidRDefault="00CA11D6" w:rsidP="00CA11D6">
      <w:pPr>
        <w:jc w:val="both"/>
        <w:rPr>
          <w:rFonts w:ascii="Arial" w:hAnsi="Arial" w:cs="Arial"/>
          <w:sz w:val="20"/>
        </w:rPr>
      </w:pPr>
      <w:r w:rsidRPr="00806B7F">
        <w:rPr>
          <w:rFonts w:ascii="Arial" w:hAnsi="Arial" w:cs="Arial"/>
          <w:sz w:val="20"/>
        </w:rPr>
        <w:t xml:space="preserve">The negative percentage of this indicator reflects the low level of underlying debt (following the repayment of </w:t>
      </w:r>
      <w:proofErr w:type="gramStart"/>
      <w:r w:rsidRPr="00806B7F">
        <w:rPr>
          <w:rFonts w:ascii="Arial" w:hAnsi="Arial" w:cs="Arial"/>
          <w:sz w:val="20"/>
        </w:rPr>
        <w:t>the majority of</w:t>
      </w:r>
      <w:proofErr w:type="gramEnd"/>
      <w:r w:rsidRPr="00806B7F">
        <w:rPr>
          <w:rFonts w:ascii="Arial" w:hAnsi="Arial" w:cs="Arial"/>
          <w:sz w:val="20"/>
        </w:rPr>
        <w:t xml:space="preserve"> our long-term loans during 2017/18) for the Authority in comparison to the authority’s level of investment income, i.e. interest receivable is significantly higher than interest payable.  </w:t>
      </w:r>
    </w:p>
    <w:p w14:paraId="4558AD8F" w14:textId="258D8CAC" w:rsidR="0030082B" w:rsidRPr="00806B7F" w:rsidRDefault="0030082B" w:rsidP="001F2F63">
      <w:pPr>
        <w:jc w:val="both"/>
        <w:rPr>
          <w:rFonts w:ascii="Arial" w:hAnsi="Arial" w:cs="Arial"/>
          <w:b/>
          <w:sz w:val="20"/>
          <w:u w:val="single"/>
        </w:rPr>
      </w:pPr>
      <w:r w:rsidRPr="00806B7F">
        <w:rPr>
          <w:rFonts w:ascii="Arial" w:hAnsi="Arial" w:cs="Arial"/>
          <w:b/>
          <w:sz w:val="20"/>
          <w:u w:val="single"/>
        </w:rPr>
        <w:br w:type="page"/>
      </w:r>
    </w:p>
    <w:p w14:paraId="2DAE7076" w14:textId="46A50FB7" w:rsidR="009776AF" w:rsidRPr="00806B7F" w:rsidRDefault="00C47520" w:rsidP="00732E63">
      <w:pPr>
        <w:rPr>
          <w:rFonts w:ascii="Arial" w:hAnsi="Arial" w:cs="Arial"/>
          <w:b/>
          <w:sz w:val="20"/>
          <w:u w:val="single"/>
        </w:rPr>
      </w:pPr>
      <w:r w:rsidRPr="00806B7F">
        <w:rPr>
          <w:rFonts w:ascii="Arial" w:hAnsi="Arial" w:cs="Arial"/>
          <w:b/>
          <w:sz w:val="20"/>
          <w:u w:val="single"/>
        </w:rPr>
        <w:t xml:space="preserve">SECTION </w:t>
      </w:r>
      <w:r w:rsidR="0062634A" w:rsidRPr="00806B7F">
        <w:rPr>
          <w:rFonts w:ascii="Arial" w:hAnsi="Arial" w:cs="Arial"/>
          <w:b/>
          <w:sz w:val="20"/>
          <w:u w:val="single"/>
        </w:rPr>
        <w:t>4</w:t>
      </w:r>
    </w:p>
    <w:p w14:paraId="181D2AD9" w14:textId="77777777" w:rsidR="00697755" w:rsidRPr="00806B7F" w:rsidRDefault="00697755" w:rsidP="00625087">
      <w:pPr>
        <w:jc w:val="both"/>
        <w:rPr>
          <w:rFonts w:ascii="Arial" w:hAnsi="Arial" w:cs="Arial"/>
          <w:b/>
          <w:sz w:val="20"/>
          <w:u w:val="single"/>
        </w:rPr>
      </w:pPr>
    </w:p>
    <w:p w14:paraId="3201815A" w14:textId="55C72BC4" w:rsidR="00697755" w:rsidRPr="00806B7F" w:rsidRDefault="00697755" w:rsidP="00625087">
      <w:pPr>
        <w:jc w:val="both"/>
        <w:rPr>
          <w:rFonts w:ascii="Arial" w:hAnsi="Arial" w:cs="Arial"/>
          <w:b/>
          <w:sz w:val="20"/>
          <w:u w:val="single"/>
        </w:rPr>
      </w:pPr>
      <w:r w:rsidRPr="00806B7F">
        <w:rPr>
          <w:rFonts w:ascii="Arial" w:hAnsi="Arial" w:cs="Arial"/>
          <w:b/>
          <w:sz w:val="20"/>
          <w:u w:val="single"/>
        </w:rPr>
        <w:t>RESERVES AND BALANCES POLICY 20</w:t>
      </w:r>
      <w:r w:rsidR="00105C65" w:rsidRPr="00806B7F">
        <w:rPr>
          <w:rFonts w:ascii="Arial" w:hAnsi="Arial" w:cs="Arial"/>
          <w:b/>
          <w:sz w:val="20"/>
          <w:u w:val="single"/>
        </w:rPr>
        <w:t>2</w:t>
      </w:r>
      <w:r w:rsidR="00CA11D6" w:rsidRPr="00806B7F">
        <w:rPr>
          <w:rFonts w:ascii="Arial" w:hAnsi="Arial" w:cs="Arial"/>
          <w:b/>
          <w:sz w:val="20"/>
          <w:u w:val="single"/>
        </w:rPr>
        <w:t>3/24</w:t>
      </w:r>
      <w:r w:rsidR="003C6901" w:rsidRPr="00806B7F">
        <w:rPr>
          <w:rFonts w:ascii="Arial" w:hAnsi="Arial" w:cs="Arial"/>
          <w:b/>
          <w:sz w:val="20"/>
          <w:u w:val="single"/>
        </w:rPr>
        <w:t>-20</w:t>
      </w:r>
      <w:r w:rsidR="00105C65" w:rsidRPr="00806B7F">
        <w:rPr>
          <w:rFonts w:ascii="Arial" w:hAnsi="Arial" w:cs="Arial"/>
          <w:b/>
          <w:sz w:val="20"/>
          <w:u w:val="single"/>
        </w:rPr>
        <w:t>2</w:t>
      </w:r>
      <w:r w:rsidR="00CA11D6" w:rsidRPr="00806B7F">
        <w:rPr>
          <w:rFonts w:ascii="Arial" w:hAnsi="Arial" w:cs="Arial"/>
          <w:b/>
          <w:sz w:val="20"/>
          <w:u w:val="single"/>
        </w:rPr>
        <w:t>7/28</w:t>
      </w:r>
    </w:p>
    <w:p w14:paraId="7ECC2E36" w14:textId="77777777" w:rsidR="00697755" w:rsidRPr="00806B7F" w:rsidRDefault="00697755" w:rsidP="00625087">
      <w:pPr>
        <w:jc w:val="both"/>
        <w:rPr>
          <w:rFonts w:ascii="Arial" w:hAnsi="Arial" w:cs="Arial"/>
          <w:b/>
          <w:sz w:val="20"/>
          <w:u w:val="single"/>
        </w:rPr>
      </w:pPr>
    </w:p>
    <w:p w14:paraId="26C57DDA" w14:textId="77777777" w:rsidR="00027459" w:rsidRPr="00806B7F" w:rsidRDefault="00027459" w:rsidP="00027459">
      <w:pPr>
        <w:jc w:val="both"/>
        <w:rPr>
          <w:rFonts w:ascii="Arial" w:hAnsi="Arial" w:cs="Arial"/>
          <w:sz w:val="20"/>
        </w:rPr>
      </w:pPr>
      <w:r w:rsidRPr="00806B7F">
        <w:rPr>
          <w:rFonts w:ascii="Arial" w:hAnsi="Arial" w:cs="Arial"/>
          <w:sz w:val="20"/>
        </w:rPr>
        <w:t>The National Framework includes a section on reserves. The main components of which are: -</w:t>
      </w:r>
    </w:p>
    <w:p w14:paraId="0179DF94" w14:textId="77777777" w:rsidR="00027459" w:rsidRPr="00806B7F" w:rsidRDefault="00027459" w:rsidP="00027459">
      <w:pPr>
        <w:jc w:val="both"/>
        <w:rPr>
          <w:rFonts w:ascii="Arial" w:hAnsi="Arial" w:cs="Arial"/>
          <w:sz w:val="20"/>
        </w:rPr>
      </w:pPr>
    </w:p>
    <w:p w14:paraId="3B82D9E7" w14:textId="77777777" w:rsidR="00027459" w:rsidRPr="00806B7F" w:rsidRDefault="00027459" w:rsidP="00A53D23">
      <w:pPr>
        <w:numPr>
          <w:ilvl w:val="0"/>
          <w:numId w:val="8"/>
        </w:numPr>
        <w:jc w:val="both"/>
        <w:rPr>
          <w:rFonts w:ascii="Arial" w:hAnsi="Arial" w:cs="Arial"/>
          <w:sz w:val="20"/>
        </w:rPr>
      </w:pPr>
      <w:r w:rsidRPr="00806B7F">
        <w:rPr>
          <w:rFonts w:ascii="Arial" w:hAnsi="Arial" w:cs="Arial"/>
          <w:sz w:val="20"/>
        </w:rPr>
        <w:t xml:space="preserve">General reserves should be held by the fire and rescue authority and managed to balance funding and spending priorities and to manage risks. This should be established as part of the medium-term financial planning process. </w:t>
      </w:r>
    </w:p>
    <w:p w14:paraId="25EE420C" w14:textId="77777777" w:rsidR="00027459" w:rsidRPr="00806B7F" w:rsidRDefault="00027459" w:rsidP="00A53D23">
      <w:pPr>
        <w:numPr>
          <w:ilvl w:val="0"/>
          <w:numId w:val="8"/>
        </w:numPr>
        <w:jc w:val="both"/>
        <w:rPr>
          <w:rFonts w:ascii="Arial" w:hAnsi="Arial" w:cs="Arial"/>
          <w:sz w:val="20"/>
        </w:rPr>
      </w:pPr>
      <w:r w:rsidRPr="00806B7F">
        <w:rPr>
          <w:rFonts w:ascii="Arial" w:hAnsi="Arial" w:cs="Arial"/>
          <w:sz w:val="20"/>
        </w:rPr>
        <w:t xml:space="preserve">Each fire and rescue authority should publish their reserves strategy on their website. The reserves strategy should include details of current and future planned reserve levels, setting out a total amount of reserves and the amount of each specific reserve that is held for each year. The reserves strategy should provide information for at least two years ahead. </w:t>
      </w:r>
    </w:p>
    <w:p w14:paraId="40687E1B" w14:textId="77777777" w:rsidR="00027459" w:rsidRPr="00806B7F" w:rsidRDefault="00027459" w:rsidP="00A53D23">
      <w:pPr>
        <w:numPr>
          <w:ilvl w:val="0"/>
          <w:numId w:val="8"/>
        </w:numPr>
        <w:jc w:val="both"/>
        <w:rPr>
          <w:rFonts w:ascii="Arial" w:hAnsi="Arial" w:cs="Arial"/>
          <w:sz w:val="20"/>
        </w:rPr>
      </w:pPr>
      <w:r w:rsidRPr="00806B7F">
        <w:rPr>
          <w:rFonts w:ascii="Arial" w:hAnsi="Arial" w:cs="Arial"/>
          <w:sz w:val="20"/>
        </w:rPr>
        <w:t>Sufficient information should be provided to enable understanding of the purpose for which each reserve is held and how holding each reserve supports the fire and rescue authority’s medium-term financial plan.</w:t>
      </w:r>
    </w:p>
    <w:p w14:paraId="03BAB10C" w14:textId="77777777" w:rsidR="00027459" w:rsidRPr="00806B7F" w:rsidRDefault="00027459" w:rsidP="00A53D23">
      <w:pPr>
        <w:numPr>
          <w:ilvl w:val="0"/>
          <w:numId w:val="8"/>
        </w:numPr>
        <w:jc w:val="both"/>
        <w:rPr>
          <w:rFonts w:ascii="Arial" w:hAnsi="Arial" w:cs="Arial"/>
          <w:sz w:val="20"/>
        </w:rPr>
      </w:pPr>
      <w:r w:rsidRPr="00806B7F">
        <w:rPr>
          <w:rFonts w:ascii="Arial" w:hAnsi="Arial" w:cs="Arial"/>
          <w:sz w:val="20"/>
        </w:rPr>
        <w:t xml:space="preserve">Information should be set out </w:t>
      </w:r>
      <w:proofErr w:type="gramStart"/>
      <w:r w:rsidRPr="00806B7F">
        <w:rPr>
          <w:rFonts w:ascii="Arial" w:hAnsi="Arial" w:cs="Arial"/>
          <w:sz w:val="20"/>
        </w:rPr>
        <w:t>in a way that is clear</w:t>
      </w:r>
      <w:proofErr w:type="gramEnd"/>
      <w:r w:rsidRPr="00806B7F">
        <w:rPr>
          <w:rFonts w:ascii="Arial" w:hAnsi="Arial" w:cs="Arial"/>
          <w:sz w:val="20"/>
        </w:rPr>
        <w:t xml:space="preserve"> and understandable for members of the public, and should include: </w:t>
      </w:r>
    </w:p>
    <w:p w14:paraId="2C26C7AB" w14:textId="77777777" w:rsidR="00027459" w:rsidRPr="00806B7F" w:rsidRDefault="00027459" w:rsidP="00A53D23">
      <w:pPr>
        <w:numPr>
          <w:ilvl w:val="0"/>
          <w:numId w:val="9"/>
        </w:numPr>
        <w:jc w:val="both"/>
        <w:rPr>
          <w:rFonts w:ascii="Arial" w:hAnsi="Arial" w:cs="Arial"/>
          <w:sz w:val="20"/>
        </w:rPr>
      </w:pPr>
      <w:r w:rsidRPr="00806B7F">
        <w:rPr>
          <w:rFonts w:ascii="Arial" w:hAnsi="Arial" w:cs="Arial"/>
          <w:sz w:val="20"/>
        </w:rPr>
        <w:t xml:space="preserve">how the level of the general reserve has been set; </w:t>
      </w:r>
    </w:p>
    <w:p w14:paraId="66C6A856" w14:textId="77777777" w:rsidR="00027459" w:rsidRPr="00806B7F" w:rsidRDefault="00027459" w:rsidP="00A53D23">
      <w:pPr>
        <w:numPr>
          <w:ilvl w:val="0"/>
          <w:numId w:val="9"/>
        </w:numPr>
        <w:jc w:val="both"/>
        <w:rPr>
          <w:rFonts w:ascii="Arial" w:hAnsi="Arial" w:cs="Arial"/>
          <w:sz w:val="20"/>
        </w:rPr>
      </w:pPr>
      <w:r w:rsidRPr="00806B7F">
        <w:rPr>
          <w:rFonts w:ascii="Arial" w:hAnsi="Arial" w:cs="Arial"/>
          <w:sz w:val="20"/>
        </w:rPr>
        <w:t xml:space="preserve">justification for holding a general reserve larger than five percent of budget; </w:t>
      </w:r>
    </w:p>
    <w:p w14:paraId="6E34D470" w14:textId="77777777" w:rsidR="00027459" w:rsidRPr="00806B7F" w:rsidRDefault="00027459" w:rsidP="00A53D23">
      <w:pPr>
        <w:numPr>
          <w:ilvl w:val="0"/>
          <w:numId w:val="9"/>
        </w:numPr>
        <w:jc w:val="both"/>
        <w:rPr>
          <w:rFonts w:ascii="Arial" w:hAnsi="Arial" w:cs="Arial"/>
          <w:sz w:val="20"/>
        </w:rPr>
      </w:pPr>
      <w:r w:rsidRPr="00806B7F">
        <w:rPr>
          <w:rFonts w:ascii="Arial" w:hAnsi="Arial" w:cs="Arial"/>
          <w:sz w:val="20"/>
        </w:rPr>
        <w:t xml:space="preserve">whether the funds in each earmarked reserve are legally or contractually committed, and if so, what amount is so committed; and </w:t>
      </w:r>
    </w:p>
    <w:p w14:paraId="7BC6CDC9" w14:textId="77777777" w:rsidR="00027459" w:rsidRPr="00806B7F" w:rsidRDefault="00027459" w:rsidP="00A53D23">
      <w:pPr>
        <w:numPr>
          <w:ilvl w:val="0"/>
          <w:numId w:val="9"/>
        </w:numPr>
        <w:jc w:val="both"/>
        <w:rPr>
          <w:rFonts w:ascii="Arial" w:hAnsi="Arial" w:cs="Arial"/>
          <w:sz w:val="20"/>
        </w:rPr>
      </w:pPr>
      <w:r w:rsidRPr="00806B7F">
        <w:rPr>
          <w:rFonts w:ascii="Arial" w:hAnsi="Arial" w:cs="Arial"/>
          <w:sz w:val="20"/>
        </w:rPr>
        <w:t xml:space="preserve">a summary of what activities or items will be funded by each earmarked reserve, and how these support the fire and rescue authority’s strategy to deliver good quality services to the public. </w:t>
      </w:r>
    </w:p>
    <w:p w14:paraId="14D19707" w14:textId="77777777" w:rsidR="00027459" w:rsidRPr="00806B7F" w:rsidRDefault="00027459" w:rsidP="00027459">
      <w:pPr>
        <w:jc w:val="both"/>
        <w:rPr>
          <w:rFonts w:ascii="Arial" w:hAnsi="Arial" w:cs="Arial"/>
          <w:color w:val="FF0000"/>
          <w:sz w:val="20"/>
        </w:rPr>
      </w:pPr>
    </w:p>
    <w:p w14:paraId="479B9686" w14:textId="77777777" w:rsidR="00027459" w:rsidRPr="00806B7F" w:rsidRDefault="00027459" w:rsidP="00027459">
      <w:pPr>
        <w:jc w:val="both"/>
        <w:rPr>
          <w:rFonts w:ascii="Arial" w:hAnsi="Arial" w:cs="Arial"/>
          <w:color w:val="FF0000"/>
          <w:sz w:val="20"/>
        </w:rPr>
      </w:pPr>
      <w:r w:rsidRPr="00806B7F">
        <w:rPr>
          <w:rFonts w:ascii="Arial" w:hAnsi="Arial" w:cs="Arial"/>
          <w:sz w:val="20"/>
        </w:rPr>
        <w:t>The reserves policy complies with these requirements.</w:t>
      </w:r>
    </w:p>
    <w:p w14:paraId="36EA6840" w14:textId="77777777" w:rsidR="00027459" w:rsidRPr="00806B7F" w:rsidRDefault="00027459" w:rsidP="00027459">
      <w:pPr>
        <w:jc w:val="both"/>
        <w:rPr>
          <w:rFonts w:ascii="Arial" w:hAnsi="Arial" w:cs="Arial"/>
          <w:color w:val="FF0000"/>
          <w:sz w:val="20"/>
        </w:rPr>
      </w:pPr>
    </w:p>
    <w:p w14:paraId="06AEF783" w14:textId="77777777" w:rsidR="00CA11D6" w:rsidRPr="00806B7F" w:rsidRDefault="00CA11D6" w:rsidP="00CA11D6">
      <w:pPr>
        <w:jc w:val="both"/>
        <w:rPr>
          <w:rFonts w:ascii="Arial" w:hAnsi="Arial" w:cs="Arial"/>
          <w:b/>
          <w:sz w:val="20"/>
        </w:rPr>
      </w:pPr>
      <w:r w:rsidRPr="00806B7F">
        <w:rPr>
          <w:rFonts w:ascii="Arial" w:hAnsi="Arial" w:cs="Arial"/>
          <w:b/>
          <w:sz w:val="20"/>
        </w:rPr>
        <w:t>General Reserves (General Fund)</w:t>
      </w:r>
    </w:p>
    <w:p w14:paraId="015A03C8" w14:textId="77777777" w:rsidR="00CA11D6" w:rsidRPr="00806B7F" w:rsidRDefault="00CA11D6" w:rsidP="00CA11D6">
      <w:pPr>
        <w:jc w:val="both"/>
        <w:rPr>
          <w:rFonts w:ascii="Arial" w:hAnsi="Arial" w:cs="Arial"/>
          <w:sz w:val="20"/>
        </w:rPr>
      </w:pPr>
    </w:p>
    <w:p w14:paraId="754FC30E" w14:textId="77777777" w:rsidR="00CA11D6" w:rsidRPr="00806B7F" w:rsidRDefault="00CA11D6" w:rsidP="00CA11D6">
      <w:pPr>
        <w:pStyle w:val="BodyText3"/>
        <w:jc w:val="both"/>
        <w:rPr>
          <w:rFonts w:ascii="Arial" w:hAnsi="Arial" w:cs="Arial"/>
          <w:sz w:val="20"/>
          <w:szCs w:val="20"/>
        </w:rPr>
      </w:pPr>
      <w:r w:rsidRPr="00806B7F">
        <w:rPr>
          <w:rFonts w:ascii="Arial" w:hAnsi="Arial" w:cs="Arial"/>
          <w:sz w:val="20"/>
          <w:szCs w:val="20"/>
        </w:rPr>
        <w:t xml:space="preserve">These are non-specific reserves which are kept </w:t>
      </w:r>
      <w:proofErr w:type="gramStart"/>
      <w:r w:rsidRPr="00806B7F">
        <w:rPr>
          <w:rFonts w:ascii="Arial" w:hAnsi="Arial" w:cs="Arial"/>
          <w:sz w:val="20"/>
          <w:szCs w:val="20"/>
        </w:rPr>
        <w:t>to meet</w:t>
      </w:r>
      <w:proofErr w:type="gramEnd"/>
      <w:r w:rsidRPr="00806B7F">
        <w:rPr>
          <w:rFonts w:ascii="Arial" w:hAnsi="Arial" w:cs="Arial"/>
          <w:sz w:val="20"/>
          <w:szCs w:val="20"/>
        </w:rPr>
        <w:t xml:space="preserve"> short/medium term unforeseeable expenditure and to enable significant changes in resources or expenditure to be effectively managed in the medium term.</w:t>
      </w:r>
    </w:p>
    <w:p w14:paraId="0FFAE128" w14:textId="77777777" w:rsidR="00CA11D6" w:rsidRPr="00806B7F" w:rsidRDefault="00CA11D6" w:rsidP="00DB5DCF">
      <w:pPr>
        <w:rPr>
          <w:rFonts w:ascii="Arial" w:hAnsi="Arial" w:cs="Arial"/>
          <w:sz w:val="20"/>
        </w:rPr>
      </w:pPr>
    </w:p>
    <w:p w14:paraId="269C7E4B" w14:textId="77777777" w:rsidR="00CA11D6" w:rsidRPr="00806B7F" w:rsidRDefault="00CA11D6" w:rsidP="00CA11D6">
      <w:pPr>
        <w:pStyle w:val="BodyText3"/>
        <w:jc w:val="both"/>
        <w:rPr>
          <w:rFonts w:ascii="Arial" w:hAnsi="Arial" w:cs="Arial"/>
          <w:sz w:val="20"/>
          <w:szCs w:val="20"/>
        </w:rPr>
      </w:pPr>
      <w:r w:rsidRPr="00806B7F">
        <w:rPr>
          <w:rFonts w:ascii="Arial" w:hAnsi="Arial" w:cs="Arial"/>
          <w:sz w:val="20"/>
          <w:szCs w:val="20"/>
        </w:rPr>
        <w:t>The Authority needs to hold an adequate level of general reserves to provide: -</w:t>
      </w:r>
    </w:p>
    <w:p w14:paraId="5CA5D704" w14:textId="77777777" w:rsidR="00CA11D6" w:rsidRPr="00806B7F" w:rsidRDefault="00CA11D6" w:rsidP="00CA11D6">
      <w:pPr>
        <w:pStyle w:val="BodyText3"/>
        <w:jc w:val="both"/>
        <w:rPr>
          <w:rFonts w:ascii="Arial" w:hAnsi="Arial" w:cs="Arial"/>
          <w:sz w:val="20"/>
          <w:szCs w:val="20"/>
        </w:rPr>
      </w:pPr>
    </w:p>
    <w:p w14:paraId="61369123" w14:textId="77777777" w:rsidR="00CA11D6" w:rsidRPr="00806B7F" w:rsidRDefault="00CA11D6" w:rsidP="00CA11D6">
      <w:pPr>
        <w:pStyle w:val="BodyText3"/>
        <w:numPr>
          <w:ilvl w:val="0"/>
          <w:numId w:val="3"/>
        </w:numPr>
        <w:spacing w:after="0"/>
        <w:jc w:val="both"/>
        <w:rPr>
          <w:rFonts w:ascii="Arial" w:hAnsi="Arial" w:cs="Arial"/>
          <w:sz w:val="20"/>
          <w:szCs w:val="20"/>
        </w:rPr>
      </w:pPr>
      <w:r w:rsidRPr="00806B7F">
        <w:rPr>
          <w:rFonts w:ascii="Arial" w:hAnsi="Arial" w:cs="Arial"/>
          <w:sz w:val="20"/>
          <w:szCs w:val="20"/>
        </w:rPr>
        <w:t>A working balance to help cushion the impact of uneven cash flows and avoid unnecessary temporary borrowing;</w:t>
      </w:r>
    </w:p>
    <w:p w14:paraId="056AE002" w14:textId="77777777" w:rsidR="00CA11D6" w:rsidRPr="00806B7F" w:rsidRDefault="00CA11D6" w:rsidP="00CA11D6">
      <w:pPr>
        <w:pStyle w:val="BodyText3"/>
        <w:numPr>
          <w:ilvl w:val="0"/>
          <w:numId w:val="3"/>
        </w:numPr>
        <w:spacing w:after="0"/>
        <w:jc w:val="both"/>
        <w:rPr>
          <w:rFonts w:ascii="Arial" w:hAnsi="Arial" w:cs="Arial"/>
          <w:sz w:val="20"/>
          <w:szCs w:val="20"/>
        </w:rPr>
      </w:pPr>
      <w:r w:rsidRPr="00806B7F">
        <w:rPr>
          <w:rFonts w:ascii="Arial" w:hAnsi="Arial" w:cs="Arial"/>
          <w:sz w:val="20"/>
          <w:szCs w:val="20"/>
        </w:rPr>
        <w:t>A contingency to cushion the impact of unexpected events;</w:t>
      </w:r>
    </w:p>
    <w:p w14:paraId="70205C9A" w14:textId="77777777" w:rsidR="00CA11D6" w:rsidRPr="00806B7F" w:rsidRDefault="00CA11D6" w:rsidP="00CA11D6">
      <w:pPr>
        <w:pStyle w:val="BodyText3"/>
        <w:numPr>
          <w:ilvl w:val="0"/>
          <w:numId w:val="3"/>
        </w:numPr>
        <w:spacing w:after="0"/>
        <w:jc w:val="both"/>
        <w:rPr>
          <w:rFonts w:ascii="Arial" w:hAnsi="Arial" w:cs="Arial"/>
          <w:sz w:val="20"/>
          <w:szCs w:val="20"/>
        </w:rPr>
      </w:pPr>
      <w:r w:rsidRPr="00806B7F">
        <w:rPr>
          <w:rFonts w:ascii="Arial" w:hAnsi="Arial" w:cs="Arial"/>
          <w:sz w:val="20"/>
          <w:szCs w:val="20"/>
        </w:rPr>
        <w:t xml:space="preserve">A means of smoothing out large fluctuations in spending requirements and/or funding available. </w:t>
      </w:r>
    </w:p>
    <w:p w14:paraId="248D82C6" w14:textId="77777777" w:rsidR="00CA11D6" w:rsidRPr="00806B7F" w:rsidRDefault="00CA11D6" w:rsidP="00DB5DCF">
      <w:pPr>
        <w:rPr>
          <w:rFonts w:ascii="Arial" w:hAnsi="Arial" w:cs="Arial"/>
          <w:sz w:val="20"/>
        </w:rPr>
      </w:pPr>
    </w:p>
    <w:p w14:paraId="63DE9F19" w14:textId="77777777" w:rsidR="00CA11D6" w:rsidRPr="00806B7F" w:rsidRDefault="00CA11D6" w:rsidP="00CA11D6">
      <w:pPr>
        <w:jc w:val="both"/>
        <w:rPr>
          <w:rFonts w:ascii="Arial" w:hAnsi="Arial" w:cs="Arial"/>
          <w:sz w:val="20"/>
        </w:rPr>
      </w:pPr>
      <w:r w:rsidRPr="00806B7F">
        <w:rPr>
          <w:rFonts w:ascii="Arial" w:hAnsi="Arial" w:cs="Arial"/>
          <w:sz w:val="20"/>
        </w:rPr>
        <w:t xml:space="preserve">The following table sets out the purpose of this reserve, how it is utilised, </w:t>
      </w:r>
      <w:proofErr w:type="gramStart"/>
      <w:r w:rsidRPr="00806B7F">
        <w:rPr>
          <w:rFonts w:ascii="Arial" w:hAnsi="Arial" w:cs="Arial"/>
          <w:sz w:val="20"/>
        </w:rPr>
        <w:t>controlled</w:t>
      </w:r>
      <w:proofErr w:type="gramEnd"/>
      <w:r w:rsidRPr="00806B7F">
        <w:rPr>
          <w:rFonts w:ascii="Arial" w:hAnsi="Arial" w:cs="Arial"/>
          <w:sz w:val="20"/>
        </w:rPr>
        <w:t xml:space="preserve"> and reviewed.</w:t>
      </w:r>
    </w:p>
    <w:p w14:paraId="6E8A729F" w14:textId="77777777" w:rsidR="00CA11D6" w:rsidRPr="00806B7F" w:rsidRDefault="00CA11D6" w:rsidP="00DB5DCF">
      <w:pPr>
        <w:rPr>
          <w:rFonts w:ascii="Arial" w:hAnsi="Arial" w:cs="Arial"/>
          <w:sz w:val="20"/>
        </w:rPr>
      </w:pPr>
    </w:p>
    <w:p w14:paraId="505C3738"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 Summary of General Reserves (General Fund)</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512"/>
      </w:tblGrid>
      <w:tr w:rsidR="00CA11D6" w:rsidRPr="00806B7F" w14:paraId="646AA110" w14:textId="77777777" w:rsidTr="00A369A1">
        <w:tc>
          <w:tcPr>
            <w:tcW w:w="1560" w:type="dxa"/>
          </w:tcPr>
          <w:p w14:paraId="7CBF4A1D" w14:textId="77777777" w:rsidR="00CA11D6" w:rsidRPr="00806B7F" w:rsidRDefault="00CA11D6" w:rsidP="00A369A1">
            <w:pPr>
              <w:pStyle w:val="BodyText"/>
              <w:spacing w:before="120"/>
              <w:jc w:val="center"/>
              <w:rPr>
                <w:rFonts w:ascii="Arial" w:hAnsi="Arial" w:cs="Arial"/>
                <w:sz w:val="20"/>
              </w:rPr>
            </w:pPr>
            <w:r w:rsidRPr="00806B7F">
              <w:rPr>
                <w:rFonts w:ascii="Arial" w:hAnsi="Arial" w:cs="Arial"/>
                <w:sz w:val="20"/>
              </w:rPr>
              <w:t>Name</w:t>
            </w:r>
          </w:p>
        </w:tc>
        <w:tc>
          <w:tcPr>
            <w:tcW w:w="7512" w:type="dxa"/>
          </w:tcPr>
          <w:p w14:paraId="518B3485" w14:textId="77777777" w:rsidR="00CA11D6" w:rsidRPr="00806B7F" w:rsidRDefault="00CA11D6" w:rsidP="00A369A1">
            <w:pPr>
              <w:pStyle w:val="BodyText"/>
              <w:spacing w:before="120"/>
              <w:jc w:val="center"/>
              <w:rPr>
                <w:rFonts w:ascii="Arial" w:hAnsi="Arial" w:cs="Arial"/>
                <w:sz w:val="20"/>
              </w:rPr>
            </w:pPr>
            <w:r w:rsidRPr="00806B7F">
              <w:rPr>
                <w:rFonts w:ascii="Arial" w:hAnsi="Arial" w:cs="Arial"/>
                <w:sz w:val="20"/>
              </w:rPr>
              <w:t>General Reserves (General Fund)</w:t>
            </w:r>
          </w:p>
        </w:tc>
      </w:tr>
      <w:tr w:rsidR="00CA11D6" w:rsidRPr="00806B7F" w14:paraId="203F9900" w14:textId="77777777" w:rsidTr="00A369A1">
        <w:tc>
          <w:tcPr>
            <w:tcW w:w="1560" w:type="dxa"/>
          </w:tcPr>
          <w:p w14:paraId="69B1DF57" w14:textId="77777777" w:rsidR="00CA11D6" w:rsidRPr="00806B7F" w:rsidRDefault="00CA11D6" w:rsidP="00A369A1">
            <w:pPr>
              <w:pStyle w:val="BodyText"/>
              <w:rPr>
                <w:rFonts w:ascii="Arial" w:hAnsi="Arial" w:cs="Arial"/>
                <w:b/>
                <w:sz w:val="20"/>
              </w:rPr>
            </w:pPr>
            <w:r w:rsidRPr="00806B7F">
              <w:rPr>
                <w:rFonts w:ascii="Arial" w:hAnsi="Arial" w:cs="Arial"/>
                <w:sz w:val="20"/>
              </w:rPr>
              <w:t>Purpose</w:t>
            </w:r>
          </w:p>
        </w:tc>
        <w:tc>
          <w:tcPr>
            <w:tcW w:w="7512" w:type="dxa"/>
          </w:tcPr>
          <w:p w14:paraId="67D20876" w14:textId="77777777" w:rsidR="00CA11D6" w:rsidRPr="00806B7F" w:rsidRDefault="00CA11D6" w:rsidP="00A369A1">
            <w:pPr>
              <w:pStyle w:val="BodyText"/>
              <w:rPr>
                <w:rFonts w:ascii="Arial" w:hAnsi="Arial" w:cs="Arial"/>
                <w:b/>
                <w:sz w:val="20"/>
              </w:rPr>
            </w:pPr>
            <w:r w:rsidRPr="00806B7F">
              <w:rPr>
                <w:rFonts w:ascii="Arial" w:hAnsi="Arial" w:cs="Arial"/>
                <w:sz w:val="20"/>
              </w:rPr>
              <w:t>This covers uncertainties in future years budgets, such as:</w:t>
            </w:r>
          </w:p>
          <w:p w14:paraId="7F9B7A5E" w14:textId="77777777" w:rsidR="00CA11D6" w:rsidRPr="00806B7F" w:rsidRDefault="00CA11D6" w:rsidP="00CA11D6">
            <w:pPr>
              <w:pStyle w:val="BodyText"/>
              <w:numPr>
                <w:ilvl w:val="0"/>
                <w:numId w:val="2"/>
              </w:numPr>
              <w:spacing w:after="0"/>
              <w:jc w:val="both"/>
              <w:rPr>
                <w:rFonts w:ascii="Arial" w:hAnsi="Arial" w:cs="Arial"/>
                <w:b/>
                <w:sz w:val="20"/>
              </w:rPr>
            </w:pPr>
            <w:r w:rsidRPr="00806B7F">
              <w:rPr>
                <w:rFonts w:ascii="Arial" w:hAnsi="Arial" w:cs="Arial"/>
                <w:sz w:val="20"/>
              </w:rPr>
              <w:t>future grant settlements being lower than forecast;</w:t>
            </w:r>
          </w:p>
          <w:p w14:paraId="0AB270BF" w14:textId="77777777" w:rsidR="00CA11D6" w:rsidRPr="00806B7F" w:rsidRDefault="00CA11D6" w:rsidP="00CA11D6">
            <w:pPr>
              <w:pStyle w:val="BodyText"/>
              <w:numPr>
                <w:ilvl w:val="0"/>
                <w:numId w:val="2"/>
              </w:numPr>
              <w:spacing w:after="0"/>
              <w:jc w:val="both"/>
              <w:rPr>
                <w:rFonts w:ascii="Arial" w:hAnsi="Arial" w:cs="Arial"/>
                <w:b/>
                <w:sz w:val="20"/>
              </w:rPr>
            </w:pPr>
            <w:r w:rsidRPr="00806B7F">
              <w:rPr>
                <w:rFonts w:ascii="Arial" w:hAnsi="Arial" w:cs="Arial"/>
                <w:sz w:val="20"/>
              </w:rPr>
              <w:t>higher levels of inflation than budgeted;</w:t>
            </w:r>
          </w:p>
          <w:p w14:paraId="7A9C07F4" w14:textId="77777777" w:rsidR="00CA11D6" w:rsidRPr="00806B7F" w:rsidRDefault="00CA11D6" w:rsidP="00CA11D6">
            <w:pPr>
              <w:pStyle w:val="BodyText"/>
              <w:numPr>
                <w:ilvl w:val="0"/>
                <w:numId w:val="2"/>
              </w:numPr>
              <w:spacing w:after="0"/>
              <w:jc w:val="both"/>
              <w:rPr>
                <w:rFonts w:ascii="Arial" w:hAnsi="Arial" w:cs="Arial"/>
                <w:b/>
                <w:sz w:val="20"/>
              </w:rPr>
            </w:pPr>
            <w:r w:rsidRPr="00806B7F">
              <w:rPr>
                <w:rFonts w:ascii="Arial" w:hAnsi="Arial" w:cs="Arial"/>
                <w:sz w:val="20"/>
              </w:rPr>
              <w:t>increasing cost of and changes to pensions;</w:t>
            </w:r>
          </w:p>
          <w:p w14:paraId="4EEA212A" w14:textId="77777777" w:rsidR="00CA11D6" w:rsidRPr="00806B7F" w:rsidRDefault="00CA11D6" w:rsidP="00CA11D6">
            <w:pPr>
              <w:pStyle w:val="BodyText"/>
              <w:numPr>
                <w:ilvl w:val="0"/>
                <w:numId w:val="2"/>
              </w:numPr>
              <w:spacing w:after="0"/>
              <w:jc w:val="both"/>
              <w:rPr>
                <w:rFonts w:ascii="Arial" w:hAnsi="Arial" w:cs="Arial"/>
                <w:b/>
                <w:sz w:val="20"/>
              </w:rPr>
            </w:pPr>
            <w:r w:rsidRPr="00806B7F">
              <w:rPr>
                <w:rFonts w:ascii="Arial" w:hAnsi="Arial" w:cs="Arial"/>
                <w:sz w:val="20"/>
              </w:rPr>
              <w:t xml:space="preserve">service demands increasing, putting additional pressure on demand led budgets; </w:t>
            </w:r>
          </w:p>
          <w:p w14:paraId="0707161D" w14:textId="77777777" w:rsidR="00CA11D6" w:rsidRPr="00806B7F" w:rsidRDefault="00CA11D6" w:rsidP="00CA11D6">
            <w:pPr>
              <w:pStyle w:val="BodyText"/>
              <w:numPr>
                <w:ilvl w:val="0"/>
                <w:numId w:val="2"/>
              </w:numPr>
              <w:spacing w:after="0"/>
              <w:jc w:val="both"/>
              <w:rPr>
                <w:rFonts w:ascii="Arial" w:hAnsi="Arial" w:cs="Arial"/>
                <w:b/>
                <w:sz w:val="20"/>
              </w:rPr>
            </w:pPr>
            <w:r w:rsidRPr="00806B7F">
              <w:rPr>
                <w:rFonts w:ascii="Arial" w:hAnsi="Arial" w:cs="Arial"/>
                <w:sz w:val="20"/>
              </w:rPr>
              <w:t>changes in legislation impacting on future service provision;</w:t>
            </w:r>
          </w:p>
          <w:p w14:paraId="35E7FF72" w14:textId="77777777" w:rsidR="00CA11D6" w:rsidRPr="00806B7F" w:rsidRDefault="00CA11D6" w:rsidP="00CA11D6">
            <w:pPr>
              <w:pStyle w:val="BodyText"/>
              <w:numPr>
                <w:ilvl w:val="0"/>
                <w:numId w:val="2"/>
              </w:numPr>
              <w:spacing w:after="0"/>
              <w:rPr>
                <w:rFonts w:ascii="Arial" w:hAnsi="Arial" w:cs="Arial"/>
                <w:b/>
                <w:sz w:val="20"/>
              </w:rPr>
            </w:pPr>
            <w:r w:rsidRPr="00806B7F">
              <w:rPr>
                <w:rFonts w:ascii="Arial" w:hAnsi="Arial" w:cs="Arial"/>
                <w:sz w:val="20"/>
              </w:rPr>
              <w:t>potential cost of industrial action.</w:t>
            </w:r>
          </w:p>
        </w:tc>
      </w:tr>
      <w:tr w:rsidR="00CA11D6" w:rsidRPr="00806B7F" w14:paraId="6215111E" w14:textId="77777777" w:rsidTr="00A369A1">
        <w:tc>
          <w:tcPr>
            <w:tcW w:w="1560" w:type="dxa"/>
          </w:tcPr>
          <w:p w14:paraId="42DD4DA5" w14:textId="77777777" w:rsidR="00CA11D6" w:rsidRPr="00806B7F" w:rsidRDefault="00CA11D6" w:rsidP="00A369A1">
            <w:pPr>
              <w:pStyle w:val="BodyText"/>
              <w:rPr>
                <w:rFonts w:ascii="Arial" w:hAnsi="Arial" w:cs="Arial"/>
                <w:b/>
                <w:sz w:val="20"/>
              </w:rPr>
            </w:pPr>
            <w:r w:rsidRPr="00806B7F">
              <w:rPr>
                <w:rFonts w:ascii="Arial" w:hAnsi="Arial" w:cs="Arial"/>
                <w:sz w:val="20"/>
              </w:rPr>
              <w:t>Utilisation</w:t>
            </w:r>
          </w:p>
        </w:tc>
        <w:tc>
          <w:tcPr>
            <w:tcW w:w="7512" w:type="dxa"/>
          </w:tcPr>
          <w:p w14:paraId="3EF89912" w14:textId="77777777" w:rsidR="00CA11D6" w:rsidRPr="00806B7F" w:rsidRDefault="00CA11D6" w:rsidP="00A369A1">
            <w:pPr>
              <w:pStyle w:val="BodyText"/>
              <w:rPr>
                <w:rFonts w:ascii="Arial" w:hAnsi="Arial" w:cs="Arial"/>
                <w:b/>
                <w:sz w:val="20"/>
              </w:rPr>
            </w:pPr>
            <w:r w:rsidRPr="00806B7F">
              <w:rPr>
                <w:rFonts w:ascii="Arial" w:hAnsi="Arial" w:cs="Arial"/>
                <w:sz w:val="20"/>
              </w:rPr>
              <w:t>This is utilised to offset any in-year overspend that would occur when comparing budget requirement to the level of funding generated.</w:t>
            </w:r>
          </w:p>
        </w:tc>
      </w:tr>
      <w:tr w:rsidR="00CA11D6" w:rsidRPr="00806B7F" w14:paraId="05EDAE80" w14:textId="77777777" w:rsidTr="00A369A1">
        <w:tc>
          <w:tcPr>
            <w:tcW w:w="1560" w:type="dxa"/>
          </w:tcPr>
          <w:p w14:paraId="5D3E93F9" w14:textId="77777777" w:rsidR="00CA11D6" w:rsidRPr="00806B7F" w:rsidRDefault="00CA11D6" w:rsidP="00A369A1">
            <w:pPr>
              <w:pStyle w:val="BodyText"/>
              <w:rPr>
                <w:rFonts w:ascii="Arial" w:hAnsi="Arial" w:cs="Arial"/>
                <w:b/>
                <w:sz w:val="20"/>
              </w:rPr>
            </w:pPr>
            <w:r w:rsidRPr="00806B7F">
              <w:rPr>
                <w:rFonts w:ascii="Arial" w:hAnsi="Arial" w:cs="Arial"/>
                <w:sz w:val="20"/>
              </w:rPr>
              <w:t>Controls</w:t>
            </w:r>
          </w:p>
        </w:tc>
        <w:tc>
          <w:tcPr>
            <w:tcW w:w="7512" w:type="dxa"/>
          </w:tcPr>
          <w:p w14:paraId="44BF9CC3" w14:textId="77777777" w:rsidR="00CA11D6" w:rsidRPr="00806B7F" w:rsidRDefault="00CA11D6" w:rsidP="00A369A1">
            <w:pPr>
              <w:pStyle w:val="BodyText"/>
              <w:rPr>
                <w:rFonts w:ascii="Arial" w:hAnsi="Arial" w:cs="Arial"/>
                <w:b/>
                <w:sz w:val="20"/>
              </w:rPr>
            </w:pPr>
            <w:r w:rsidRPr="00806B7F">
              <w:rPr>
                <w:rFonts w:ascii="Arial" w:hAnsi="Arial" w:cs="Arial"/>
                <w:sz w:val="20"/>
              </w:rPr>
              <w:t>The utilisation of this is agreed as part of the annual budget setting process. Any further utilisation requires the approval of the Resources Committee.</w:t>
            </w:r>
          </w:p>
        </w:tc>
      </w:tr>
      <w:tr w:rsidR="00CA11D6" w:rsidRPr="00806B7F" w14:paraId="39D03934" w14:textId="77777777" w:rsidTr="00A369A1">
        <w:tc>
          <w:tcPr>
            <w:tcW w:w="1560" w:type="dxa"/>
          </w:tcPr>
          <w:p w14:paraId="0A4C06D2" w14:textId="77777777" w:rsidR="00CA11D6" w:rsidRPr="00806B7F" w:rsidRDefault="00CA11D6" w:rsidP="00A369A1">
            <w:pPr>
              <w:pStyle w:val="BodyText"/>
              <w:rPr>
                <w:rFonts w:ascii="Arial" w:hAnsi="Arial" w:cs="Arial"/>
                <w:b/>
                <w:sz w:val="20"/>
              </w:rPr>
            </w:pPr>
            <w:r w:rsidRPr="00806B7F">
              <w:rPr>
                <w:rFonts w:ascii="Arial" w:hAnsi="Arial" w:cs="Arial"/>
                <w:sz w:val="20"/>
              </w:rPr>
              <w:t>Review</w:t>
            </w:r>
          </w:p>
        </w:tc>
        <w:tc>
          <w:tcPr>
            <w:tcW w:w="7512" w:type="dxa"/>
          </w:tcPr>
          <w:p w14:paraId="21AE611C" w14:textId="77777777" w:rsidR="00CA11D6" w:rsidRPr="00806B7F" w:rsidRDefault="00CA11D6" w:rsidP="00A369A1">
            <w:pPr>
              <w:pStyle w:val="BodyText"/>
              <w:rPr>
                <w:rFonts w:ascii="Arial" w:hAnsi="Arial" w:cs="Arial"/>
                <w:b/>
                <w:sz w:val="20"/>
              </w:rPr>
            </w:pPr>
            <w:r w:rsidRPr="00806B7F">
              <w:rPr>
                <w:rFonts w:ascii="Arial" w:hAnsi="Arial" w:cs="Arial"/>
                <w:sz w:val="20"/>
              </w:rPr>
              <w:t>The adequacy of this is reviewed annually, as part of the budget setting process.</w:t>
            </w:r>
          </w:p>
        </w:tc>
      </w:tr>
    </w:tbl>
    <w:p w14:paraId="042F450E" w14:textId="77777777" w:rsidR="00CA11D6" w:rsidRPr="00806B7F" w:rsidRDefault="00CA11D6" w:rsidP="00CA11D6">
      <w:pPr>
        <w:ind w:left="1080"/>
        <w:jc w:val="both"/>
        <w:rPr>
          <w:rFonts w:ascii="Arial" w:hAnsi="Arial" w:cs="Arial"/>
          <w:sz w:val="20"/>
        </w:rPr>
      </w:pPr>
    </w:p>
    <w:p w14:paraId="2478D04D" w14:textId="77777777" w:rsidR="00CA11D6" w:rsidRPr="00806B7F" w:rsidRDefault="00CA11D6" w:rsidP="00CA11D6">
      <w:pPr>
        <w:pStyle w:val="BodyText3"/>
        <w:jc w:val="both"/>
        <w:rPr>
          <w:rFonts w:ascii="Arial" w:hAnsi="Arial" w:cs="Arial"/>
          <w:sz w:val="20"/>
          <w:szCs w:val="20"/>
          <w:u w:val="single"/>
        </w:rPr>
      </w:pPr>
      <w:r w:rsidRPr="00806B7F">
        <w:rPr>
          <w:rFonts w:ascii="Arial" w:hAnsi="Arial" w:cs="Arial"/>
          <w:sz w:val="20"/>
          <w:szCs w:val="20"/>
          <w:u w:val="single"/>
        </w:rPr>
        <w:t>Review of Level of Reserves</w:t>
      </w:r>
    </w:p>
    <w:p w14:paraId="49DBE5E0" w14:textId="77777777" w:rsidR="00CA11D6" w:rsidRPr="00806B7F" w:rsidRDefault="00CA11D6" w:rsidP="00CA11D6">
      <w:pPr>
        <w:pStyle w:val="BodyText3"/>
        <w:jc w:val="both"/>
        <w:rPr>
          <w:rFonts w:ascii="Arial" w:hAnsi="Arial" w:cs="Arial"/>
          <w:sz w:val="20"/>
          <w:szCs w:val="20"/>
        </w:rPr>
      </w:pPr>
      <w:r w:rsidRPr="00806B7F">
        <w:rPr>
          <w:rFonts w:ascii="Arial" w:hAnsi="Arial" w:cs="Arial"/>
          <w:sz w:val="20"/>
          <w:szCs w:val="20"/>
        </w:rPr>
        <w:t xml:space="preserve">In determining the appropriate level of general reserves required by the Authority, the Treasurer is required to form a professional judgement on this, taking account of the strategic, </w:t>
      </w:r>
      <w:proofErr w:type="gramStart"/>
      <w:r w:rsidRPr="00806B7F">
        <w:rPr>
          <w:rFonts w:ascii="Arial" w:hAnsi="Arial" w:cs="Arial"/>
          <w:sz w:val="20"/>
          <w:szCs w:val="20"/>
        </w:rPr>
        <w:t>operational</w:t>
      </w:r>
      <w:proofErr w:type="gramEnd"/>
      <w:r w:rsidRPr="00806B7F">
        <w:rPr>
          <w:rFonts w:ascii="Arial" w:hAnsi="Arial" w:cs="Arial"/>
          <w:sz w:val="20"/>
          <w:szCs w:val="20"/>
        </w:rPr>
        <w:t xml:space="preserve"> and financial risk facing the Authority. This is completed based on guidance issued by CIPFA and includes an assessment of the financial assumptions underpinning the budget, the adequacy of insurance arrangements and consideration of the Authority’s financial management arrangements. In addition, the assessment should focus on both medium and long-term requirements, taking account of the Medium-Term Financial Strategy (MTFS) (as set out in the draft budget report elsewhere on this agenda).</w:t>
      </w:r>
    </w:p>
    <w:p w14:paraId="140E9C4B" w14:textId="77777777" w:rsidR="00CA11D6" w:rsidRPr="00806B7F" w:rsidRDefault="00CA11D6" w:rsidP="00DB5DCF">
      <w:pPr>
        <w:rPr>
          <w:rFonts w:ascii="Arial" w:hAnsi="Arial" w:cs="Arial"/>
          <w:sz w:val="20"/>
        </w:rPr>
      </w:pPr>
    </w:p>
    <w:p w14:paraId="0F8E9B87"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For Lancashire Combined Fire Authority this covers issues such as: uncertainty surrounding future funding settlements and the potential impact of this on the revenue and capital budget; uncertainty surrounding future pay awards and inflation rates; the impact of changes to pension schemes and the remedy for the McCloud judgement; demand led pressures; risk of default associated with our investments, cost associated with maintaining operational cover in the event of Industrial Action etc. </w:t>
      </w:r>
    </w:p>
    <w:p w14:paraId="6CF138F2" w14:textId="77777777" w:rsidR="00CA11D6" w:rsidRPr="00806B7F" w:rsidRDefault="00CA11D6" w:rsidP="00DB5DCF">
      <w:pPr>
        <w:rPr>
          <w:rFonts w:ascii="Arial" w:hAnsi="Arial" w:cs="Arial"/>
          <w:sz w:val="20"/>
        </w:rPr>
      </w:pPr>
    </w:p>
    <w:p w14:paraId="7D2290E0" w14:textId="77777777" w:rsidR="00CA11D6" w:rsidRPr="00806B7F" w:rsidRDefault="00CA11D6" w:rsidP="00CA11D6">
      <w:pPr>
        <w:jc w:val="both"/>
        <w:rPr>
          <w:rFonts w:ascii="Arial" w:hAnsi="Arial" w:cs="Arial"/>
          <w:sz w:val="20"/>
        </w:rPr>
      </w:pPr>
      <w:r w:rsidRPr="00806B7F">
        <w:rPr>
          <w:rFonts w:ascii="Arial" w:hAnsi="Arial" w:cs="Arial"/>
          <w:color w:val="000000" w:themeColor="text1"/>
          <w:sz w:val="20"/>
        </w:rPr>
        <w:t>There remains a great deal of uncertainty over long term funding, a</w:t>
      </w:r>
      <w:r w:rsidRPr="00806B7F">
        <w:rPr>
          <w:rFonts w:ascii="Arial" w:hAnsi="Arial" w:cs="Arial"/>
          <w:sz w:val="20"/>
        </w:rPr>
        <w:t xml:space="preserve">s a result, the anticipated multi-year settlement has been postponed again. The Local Government Finance Settlement only covered 2023/24, although the policy statement that accompanied it stated </w:t>
      </w:r>
      <w:r w:rsidRPr="00806B7F">
        <w:rPr>
          <w:rFonts w:ascii="Arial" w:hAnsi="Arial" w:cs="Arial"/>
          <w:color w:val="000000" w:themeColor="text1"/>
          <w:sz w:val="20"/>
        </w:rPr>
        <w:t>“The core settlement will continue in a similar manner for 2024-25. The major grants will continue as set out for 2023-24: Revenue Support Grant will continue and be uplifted in line with Baseline Funding Levels”.</w:t>
      </w:r>
      <w:r w:rsidRPr="00806B7F">
        <w:rPr>
          <w:rFonts w:ascii="Arial" w:hAnsi="Arial" w:cs="Arial"/>
          <w:sz w:val="20"/>
        </w:rPr>
        <w:t xml:space="preserve"> Whilst this provides a basis for estimating future funding increases, as set out in the revenue budget paper, it does not provide any certainty.</w:t>
      </w:r>
    </w:p>
    <w:p w14:paraId="321CD00C" w14:textId="77777777" w:rsidR="00CA11D6" w:rsidRPr="00806B7F" w:rsidRDefault="00CA11D6" w:rsidP="00DB5DCF">
      <w:pPr>
        <w:rPr>
          <w:rFonts w:ascii="Arial" w:hAnsi="Arial" w:cs="Arial"/>
          <w:sz w:val="20"/>
        </w:rPr>
      </w:pPr>
    </w:p>
    <w:p w14:paraId="16661AC7" w14:textId="77777777" w:rsidR="00CA11D6" w:rsidRPr="00806B7F" w:rsidRDefault="00CA11D6" w:rsidP="00CA11D6">
      <w:pPr>
        <w:autoSpaceDE w:val="0"/>
        <w:autoSpaceDN w:val="0"/>
        <w:adjustRightInd w:val="0"/>
        <w:jc w:val="both"/>
        <w:rPr>
          <w:rFonts w:ascii="Arial" w:hAnsi="Arial" w:cs="Arial"/>
          <w:sz w:val="20"/>
        </w:rPr>
      </w:pPr>
      <w:r w:rsidRPr="00806B7F">
        <w:rPr>
          <w:rFonts w:ascii="Arial" w:hAnsi="Arial" w:cs="Arial"/>
          <w:sz w:val="20"/>
        </w:rPr>
        <w:t xml:space="preserve">Furthermore, the outcome of the </w:t>
      </w:r>
      <w:r w:rsidRPr="00806B7F">
        <w:rPr>
          <w:rFonts w:ascii="Arial" w:hAnsi="Arial" w:cs="Arial"/>
          <w:color w:val="000000"/>
          <w:sz w:val="20"/>
        </w:rPr>
        <w:t>fair funding review of relative needs and resources</w:t>
      </w:r>
      <w:r w:rsidRPr="00806B7F">
        <w:rPr>
          <w:rFonts w:ascii="Arial" w:hAnsi="Arial" w:cs="Arial"/>
          <w:sz w:val="20"/>
        </w:rPr>
        <w:t xml:space="preserve"> and the Government intention to move to greater retention of Business Rates have also been postponed.</w:t>
      </w:r>
    </w:p>
    <w:p w14:paraId="661E0388" w14:textId="77777777" w:rsidR="00CA11D6" w:rsidRPr="00DB5DCF" w:rsidRDefault="00CA11D6" w:rsidP="00DB5DCF">
      <w:pPr>
        <w:rPr>
          <w:rFonts w:ascii="Arial" w:hAnsi="Arial" w:cs="Arial"/>
          <w:sz w:val="20"/>
        </w:rPr>
      </w:pPr>
    </w:p>
    <w:p w14:paraId="287A5DF0" w14:textId="77777777" w:rsidR="00CA11D6" w:rsidRPr="00806B7F" w:rsidRDefault="00CA11D6" w:rsidP="00CA11D6">
      <w:pPr>
        <w:autoSpaceDE w:val="0"/>
        <w:autoSpaceDN w:val="0"/>
        <w:adjustRightInd w:val="0"/>
        <w:jc w:val="both"/>
        <w:rPr>
          <w:rFonts w:ascii="Arial" w:hAnsi="Arial" w:cs="Arial"/>
          <w:sz w:val="20"/>
        </w:rPr>
      </w:pPr>
      <w:r w:rsidRPr="00806B7F">
        <w:rPr>
          <w:rFonts w:ascii="Arial" w:hAnsi="Arial" w:cs="Arial"/>
          <w:sz w:val="20"/>
        </w:rPr>
        <w:t xml:space="preserve">The position in terms of pay awards has still not been resolved, however the likelihood of this being significantly higher than the budgetary allowance and the likelihood of industrial action have both reduced </w:t>
      </w:r>
      <w:proofErr w:type="gramStart"/>
      <w:r w:rsidRPr="00806B7F">
        <w:rPr>
          <w:rFonts w:ascii="Arial" w:hAnsi="Arial" w:cs="Arial"/>
          <w:sz w:val="20"/>
        </w:rPr>
        <w:t>as a result of</w:t>
      </w:r>
      <w:proofErr w:type="gramEnd"/>
      <w:r w:rsidRPr="00806B7F">
        <w:rPr>
          <w:rFonts w:ascii="Arial" w:hAnsi="Arial" w:cs="Arial"/>
          <w:sz w:val="20"/>
        </w:rPr>
        <w:t xml:space="preserve"> the latest pay offer.</w:t>
      </w:r>
    </w:p>
    <w:p w14:paraId="79727861" w14:textId="77777777" w:rsidR="00CA11D6" w:rsidRPr="00806B7F" w:rsidRDefault="00CA11D6" w:rsidP="00CA11D6">
      <w:pPr>
        <w:autoSpaceDE w:val="0"/>
        <w:autoSpaceDN w:val="0"/>
        <w:adjustRightInd w:val="0"/>
        <w:jc w:val="both"/>
        <w:rPr>
          <w:rFonts w:ascii="Arial" w:hAnsi="Arial" w:cs="Arial"/>
          <w:sz w:val="20"/>
        </w:rPr>
      </w:pPr>
    </w:p>
    <w:p w14:paraId="37812A48" w14:textId="77777777" w:rsidR="00CA11D6" w:rsidRPr="00806B7F" w:rsidRDefault="00CA11D6" w:rsidP="00CA11D6">
      <w:pPr>
        <w:autoSpaceDE w:val="0"/>
        <w:autoSpaceDN w:val="0"/>
        <w:adjustRightInd w:val="0"/>
        <w:jc w:val="both"/>
        <w:rPr>
          <w:rFonts w:ascii="Arial" w:hAnsi="Arial" w:cs="Arial"/>
          <w:sz w:val="20"/>
        </w:rPr>
      </w:pPr>
      <w:r w:rsidRPr="00806B7F">
        <w:rPr>
          <w:rFonts w:ascii="Arial" w:hAnsi="Arial" w:cs="Arial"/>
          <w:sz w:val="20"/>
        </w:rPr>
        <w:t>Whilst future pension costs remain uncertain, with Authorities still awaiting definitive guidance on how to implement changes following the McCloud judgement, and with the next revaluation of the FF pension scheme being due this year, the draft budget for 24/25 already includes a 3% allowance for this.</w:t>
      </w:r>
    </w:p>
    <w:p w14:paraId="713FEE89" w14:textId="77777777" w:rsidR="00CA11D6" w:rsidRPr="00806B7F" w:rsidRDefault="00CA11D6" w:rsidP="00CA11D6">
      <w:pPr>
        <w:autoSpaceDE w:val="0"/>
        <w:autoSpaceDN w:val="0"/>
        <w:adjustRightInd w:val="0"/>
        <w:jc w:val="both"/>
        <w:rPr>
          <w:rFonts w:ascii="Arial" w:hAnsi="Arial" w:cs="Arial"/>
          <w:sz w:val="20"/>
        </w:rPr>
      </w:pPr>
    </w:p>
    <w:p w14:paraId="3CAEEA91" w14:textId="77777777" w:rsidR="00CA11D6" w:rsidRPr="00806B7F" w:rsidRDefault="00CA11D6" w:rsidP="00CA11D6">
      <w:pPr>
        <w:rPr>
          <w:rFonts w:ascii="Arial" w:hAnsi="Arial" w:cs="Arial"/>
          <w:sz w:val="20"/>
        </w:rPr>
      </w:pPr>
      <w:r w:rsidRPr="00806B7F">
        <w:rPr>
          <w:rFonts w:ascii="Arial" w:hAnsi="Arial" w:cs="Arial"/>
          <w:sz w:val="20"/>
        </w:rPr>
        <w:t xml:space="preserve">As such the Treasurer considers it prudent to reduce the minimum target reserves level to £3.75m, 5.5% of the 2023/24 net revenue budget, reflecting the level of uncertainty. (Note, it may be possible to reduce this minimum level further if the current grey book 2 year pay offer is accepted.) This is slightly higher than the 5% threshold identified by the Home Office above which the Authority is required to justify why it holds the level of reserves, reflecting the increasing uncertainty about future funding, pension costs and pay awards. </w:t>
      </w:r>
    </w:p>
    <w:p w14:paraId="1D698CA0" w14:textId="77777777" w:rsidR="00CA11D6" w:rsidRPr="00DB5DCF" w:rsidRDefault="00CA11D6" w:rsidP="00DB5DCF">
      <w:pPr>
        <w:rPr>
          <w:rFonts w:ascii="Arial" w:hAnsi="Arial" w:cs="Arial"/>
          <w:sz w:val="20"/>
        </w:rPr>
      </w:pPr>
    </w:p>
    <w:p w14:paraId="7544A8B1"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Should reserves fall below this minimum level the following financial year's budget will contain options for increasing reserves back up to this level. (Note, this may take several years to achieve.)</w:t>
      </w:r>
    </w:p>
    <w:p w14:paraId="660894F2" w14:textId="77777777" w:rsidR="00CA11D6" w:rsidRPr="00DB5DCF" w:rsidRDefault="00CA11D6" w:rsidP="00DB5DCF">
      <w:pPr>
        <w:rPr>
          <w:rFonts w:ascii="Arial" w:hAnsi="Arial" w:cs="Arial"/>
          <w:sz w:val="20"/>
        </w:rPr>
      </w:pPr>
    </w:p>
    <w:p w14:paraId="7246F17C"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Whilst this exercise sets a minimum level of reserves it does not consider what, if any, maximum level of reserves is appropriate. </w:t>
      </w:r>
      <w:proofErr w:type="gramStart"/>
      <w:r w:rsidRPr="00806B7F">
        <w:rPr>
          <w:rFonts w:ascii="Arial" w:hAnsi="Arial" w:cs="Arial"/>
          <w:color w:val="000000" w:themeColor="text1"/>
          <w:sz w:val="20"/>
          <w:szCs w:val="20"/>
        </w:rPr>
        <w:t>In order to</w:t>
      </w:r>
      <w:proofErr w:type="gramEnd"/>
      <w:r w:rsidRPr="00806B7F">
        <w:rPr>
          <w:rFonts w:ascii="Arial" w:hAnsi="Arial" w:cs="Arial"/>
          <w:color w:val="000000" w:themeColor="text1"/>
          <w:sz w:val="20"/>
          <w:szCs w:val="20"/>
        </w:rPr>
        <w:t xml:space="preserve"> do this the level of reserves held should be compared with the opportunity cost of holding these, which in simple terms means that if you hold reserves that are too high you are foregoing the opportunity to lower council tax or invest in further service improvements. </w:t>
      </w:r>
    </w:p>
    <w:p w14:paraId="26AB1FA1" w14:textId="77777777" w:rsidR="00CA11D6" w:rsidRPr="00DB5DCF" w:rsidRDefault="00CA11D6" w:rsidP="00DB5DCF">
      <w:pPr>
        <w:rPr>
          <w:rFonts w:ascii="Arial" w:hAnsi="Arial" w:cs="Arial"/>
          <w:sz w:val="20"/>
        </w:rPr>
      </w:pPr>
    </w:p>
    <w:p w14:paraId="0DE92774"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Whilst the settlement provides greater flexibility to increase council tax in 23/24, this is a one-off relaxation of the referendum principles and current indications are that it will not be repeated in future years. Hence the scope to increase council tax in future years to restore depleted reserves is limited, without holding a local referendum. Therefore, any maximum reserve limit must take account of future anticipated financial pressures and must look at the long-term impact of these on the budget and hence the reserve requirement. Based on professional judgement, the Treasurer feels that this should be maintained at £10.0m.</w:t>
      </w:r>
    </w:p>
    <w:p w14:paraId="449B36F3" w14:textId="77777777" w:rsidR="00CA11D6" w:rsidRPr="00DB5DCF" w:rsidRDefault="00CA11D6" w:rsidP="00DB5DCF">
      <w:pPr>
        <w:rPr>
          <w:rFonts w:ascii="Arial" w:hAnsi="Arial" w:cs="Arial"/>
          <w:sz w:val="20"/>
        </w:rPr>
      </w:pPr>
    </w:p>
    <w:p w14:paraId="1197EFC2" w14:textId="77777777" w:rsidR="00CA11D6" w:rsidRPr="00DB5DCF" w:rsidRDefault="00CA11D6" w:rsidP="00CA11D6">
      <w:pPr>
        <w:pStyle w:val="BodyText3"/>
        <w:jc w:val="both"/>
        <w:rPr>
          <w:rFonts w:ascii="Arial" w:hAnsi="Arial" w:cs="Arial"/>
          <w:sz w:val="20"/>
          <w:szCs w:val="20"/>
        </w:rPr>
      </w:pPr>
      <w:r w:rsidRPr="00806B7F">
        <w:rPr>
          <w:rFonts w:ascii="Arial" w:hAnsi="Arial" w:cs="Arial"/>
          <w:color w:val="000000" w:themeColor="text1"/>
          <w:sz w:val="20"/>
          <w:szCs w:val="20"/>
        </w:rPr>
        <w:t xml:space="preserve">Should this be exceeded the following financial year’s budget will contain options for applying the excess </w:t>
      </w:r>
      <w:r w:rsidRPr="00DB5DCF">
        <w:rPr>
          <w:rFonts w:ascii="Arial" w:hAnsi="Arial" w:cs="Arial"/>
          <w:sz w:val="20"/>
          <w:szCs w:val="20"/>
        </w:rPr>
        <w:t>balance in the medium term, i.e. over 3-5 years.</w:t>
      </w:r>
    </w:p>
    <w:p w14:paraId="0CD59309" w14:textId="77777777" w:rsidR="00CA11D6" w:rsidRPr="00DB5DCF" w:rsidRDefault="00CA11D6" w:rsidP="00DB5DCF">
      <w:pPr>
        <w:rPr>
          <w:rFonts w:ascii="Arial" w:hAnsi="Arial" w:cs="Arial"/>
          <w:sz w:val="20"/>
        </w:rPr>
      </w:pPr>
    </w:p>
    <w:p w14:paraId="78768487" w14:textId="77777777" w:rsidR="00CA11D6" w:rsidRPr="00806B7F" w:rsidRDefault="00CA11D6" w:rsidP="00CA11D6">
      <w:pPr>
        <w:jc w:val="both"/>
        <w:rPr>
          <w:rFonts w:ascii="Arial" w:hAnsi="Arial" w:cs="Arial"/>
          <w:color w:val="000000" w:themeColor="text1"/>
          <w:sz w:val="20"/>
          <w:u w:val="single"/>
        </w:rPr>
      </w:pPr>
      <w:r w:rsidRPr="00806B7F">
        <w:rPr>
          <w:rFonts w:ascii="Arial" w:hAnsi="Arial" w:cs="Arial"/>
          <w:color w:val="000000" w:themeColor="text1"/>
          <w:sz w:val="20"/>
          <w:u w:val="single"/>
        </w:rPr>
        <w:t>Level of General Reserves</w:t>
      </w:r>
    </w:p>
    <w:p w14:paraId="75C71B16" w14:textId="77777777" w:rsidR="00CA11D6" w:rsidRPr="00806B7F" w:rsidRDefault="00CA11D6" w:rsidP="00CA11D6">
      <w:pPr>
        <w:jc w:val="both"/>
        <w:rPr>
          <w:rFonts w:ascii="Arial" w:hAnsi="Arial" w:cs="Arial"/>
          <w:sz w:val="20"/>
        </w:rPr>
      </w:pPr>
      <w:r w:rsidRPr="00806B7F">
        <w:rPr>
          <w:rFonts w:ascii="Arial" w:hAnsi="Arial" w:cs="Arial"/>
          <w:sz w:val="20"/>
        </w:rPr>
        <w:t xml:space="preserve">The overall level of the general fund balance, i.e., uncommitted reserves, anticipated at the 31 March 2023 is £4.0m, providing scope to utilise approx. £0.25m of reserves. </w:t>
      </w:r>
    </w:p>
    <w:p w14:paraId="7267187F" w14:textId="77777777" w:rsidR="00CA11D6" w:rsidRPr="00DB5DCF" w:rsidRDefault="00CA11D6" w:rsidP="00DB5DCF">
      <w:pPr>
        <w:rPr>
          <w:rFonts w:ascii="Arial" w:hAnsi="Arial" w:cs="Arial"/>
          <w:sz w:val="20"/>
        </w:rPr>
      </w:pPr>
    </w:p>
    <w:p w14:paraId="7823A390"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The draft budget as presented elsewhere on the agenda identifies a funding gap of £0.3m in 23/24, which could be me from a combination of a drawdown against this reserve and additional in-year savings. The Treasurer therefore considers this reserve is at an appropriate level. </w:t>
      </w:r>
    </w:p>
    <w:p w14:paraId="0A46CD04" w14:textId="77777777" w:rsidR="00CA11D6" w:rsidRPr="00DB5DCF" w:rsidRDefault="00CA11D6" w:rsidP="00DB5DCF">
      <w:pPr>
        <w:rPr>
          <w:rFonts w:ascii="Arial" w:hAnsi="Arial" w:cs="Arial"/>
          <w:sz w:val="20"/>
        </w:rPr>
      </w:pPr>
    </w:p>
    <w:p w14:paraId="5933D61D"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Looking at the medium term the need to drawdown reserves will be affected by:-</w:t>
      </w:r>
    </w:p>
    <w:p w14:paraId="34A9F133" w14:textId="77777777" w:rsidR="00CA11D6" w:rsidRPr="00806B7F" w:rsidRDefault="00CA11D6" w:rsidP="007C5B19">
      <w:pPr>
        <w:pStyle w:val="BodyText3"/>
        <w:numPr>
          <w:ilvl w:val="0"/>
          <w:numId w:val="17"/>
        </w:numPr>
        <w:spacing w:after="0"/>
        <w:jc w:val="both"/>
        <w:rPr>
          <w:rFonts w:ascii="Arial" w:hAnsi="Arial" w:cs="Arial"/>
          <w:color w:val="000000" w:themeColor="text1"/>
          <w:sz w:val="20"/>
          <w:szCs w:val="20"/>
        </w:rPr>
      </w:pPr>
      <w:r w:rsidRPr="00806B7F">
        <w:rPr>
          <w:rFonts w:ascii="Arial" w:hAnsi="Arial" w:cs="Arial"/>
          <w:color w:val="000000" w:themeColor="text1"/>
          <w:sz w:val="20"/>
          <w:szCs w:val="20"/>
        </w:rPr>
        <w:t xml:space="preserve">Council tax – The revenue budget assumes that council tax is increased by the maximum permissible each year, enabling the Service to deliver a balanced budget each year, after allowing for relatively low level of reserve drawdown/additional savings. If this is not the case, then we may need to utilise reserves in future years to balance the budget. </w:t>
      </w:r>
    </w:p>
    <w:p w14:paraId="7697031F" w14:textId="77777777" w:rsidR="00CA11D6" w:rsidRPr="00806B7F" w:rsidRDefault="00CA11D6" w:rsidP="007C5B19">
      <w:pPr>
        <w:pStyle w:val="BodyText3"/>
        <w:numPr>
          <w:ilvl w:val="0"/>
          <w:numId w:val="17"/>
        </w:numPr>
        <w:spacing w:after="0"/>
        <w:jc w:val="both"/>
        <w:rPr>
          <w:rFonts w:ascii="Arial" w:hAnsi="Arial" w:cs="Arial"/>
          <w:color w:val="000000" w:themeColor="text1"/>
          <w:sz w:val="20"/>
          <w:szCs w:val="20"/>
        </w:rPr>
      </w:pPr>
      <w:r w:rsidRPr="00806B7F">
        <w:rPr>
          <w:rFonts w:ascii="Arial" w:hAnsi="Arial" w:cs="Arial"/>
          <w:color w:val="000000" w:themeColor="text1"/>
          <w:sz w:val="20"/>
          <w:szCs w:val="20"/>
        </w:rPr>
        <w:t>Pension costs – the revenue budget assumes that the only pension costs that fall on the Service are employer contributions, and that all other costs are met by the Government via the Pension Holding Account. If this is not the case, then reserves would be required to meet these one-off costs which will be very significant. Furthermore it assumes that the employer contribution rate will increase by 3% following the next tri-annual revaluation exercise, but at the present time no details are available hence contribution rates could increase by a greater amount.</w:t>
      </w:r>
    </w:p>
    <w:p w14:paraId="1A5FB50C" w14:textId="77777777" w:rsidR="00CA11D6" w:rsidRPr="00806B7F" w:rsidRDefault="00CA11D6" w:rsidP="007C5B19">
      <w:pPr>
        <w:pStyle w:val="BodyText3"/>
        <w:numPr>
          <w:ilvl w:val="0"/>
          <w:numId w:val="17"/>
        </w:numPr>
        <w:spacing w:after="0"/>
        <w:jc w:val="both"/>
        <w:rPr>
          <w:rFonts w:ascii="Arial" w:hAnsi="Arial" w:cs="Arial"/>
          <w:color w:val="000000" w:themeColor="text1"/>
          <w:sz w:val="20"/>
          <w:szCs w:val="20"/>
        </w:rPr>
      </w:pPr>
      <w:r w:rsidRPr="00806B7F">
        <w:rPr>
          <w:rFonts w:ascii="Arial" w:hAnsi="Arial" w:cs="Arial"/>
          <w:color w:val="000000" w:themeColor="text1"/>
          <w:sz w:val="20"/>
          <w:szCs w:val="20"/>
        </w:rPr>
        <w:t>Future funding - The revenue budget assumes future funding increases by 5% in 24/25 followed by 2% increases thereafter. If that is not the case and it is frozen as part of the next mufti-year settlement, this would reduce funding levels by £0.6m each year, a cumulative reduction of £1.9m over the medium-term financial strategy, and this would impact on the need to drawdown reserves</w:t>
      </w:r>
    </w:p>
    <w:p w14:paraId="64B15FB4" w14:textId="77777777" w:rsidR="00CA11D6" w:rsidRPr="00806B7F" w:rsidRDefault="00CA11D6" w:rsidP="007C5B19">
      <w:pPr>
        <w:pStyle w:val="BodyText3"/>
        <w:numPr>
          <w:ilvl w:val="0"/>
          <w:numId w:val="17"/>
        </w:numPr>
        <w:spacing w:after="0"/>
        <w:jc w:val="both"/>
        <w:rPr>
          <w:rFonts w:ascii="Arial" w:hAnsi="Arial" w:cs="Arial"/>
          <w:color w:val="000000" w:themeColor="text1"/>
          <w:sz w:val="20"/>
          <w:szCs w:val="20"/>
        </w:rPr>
      </w:pPr>
      <w:r w:rsidRPr="00806B7F">
        <w:rPr>
          <w:rFonts w:ascii="Arial" w:hAnsi="Arial" w:cs="Arial"/>
          <w:color w:val="000000" w:themeColor="text1"/>
          <w:sz w:val="20"/>
          <w:szCs w:val="20"/>
        </w:rPr>
        <w:t>Future inflation - The revenue budget assumes pay awards running at 5% in 23/24 before returning to the Government’s 2% target. If this is not the case each 1% more than this increases the recurring budget requirement by £0.4m, i.e. £2.9m over the next 5 years, which may impact on the usage of reserves.</w:t>
      </w:r>
    </w:p>
    <w:p w14:paraId="03B16E23"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At the present time, the MTFS identified funding gaps in the next 4 years. Assuming 50% of these are met by additional in-year savings with the balances being drawdown form this reserve, we will potentially see this reserve falling to £3.2m by March 27. This is below our current minimum requirement. However the forecasts are subject to </w:t>
      </w:r>
      <w:proofErr w:type="gramStart"/>
      <w:r w:rsidRPr="00806B7F">
        <w:rPr>
          <w:rFonts w:ascii="Arial" w:hAnsi="Arial" w:cs="Arial"/>
          <w:color w:val="000000" w:themeColor="text1"/>
          <w:sz w:val="20"/>
          <w:szCs w:val="20"/>
        </w:rPr>
        <w:t>a number of</w:t>
      </w:r>
      <w:proofErr w:type="gramEnd"/>
      <w:r w:rsidRPr="00806B7F">
        <w:rPr>
          <w:rFonts w:ascii="Arial" w:hAnsi="Arial" w:cs="Arial"/>
          <w:color w:val="000000" w:themeColor="text1"/>
          <w:sz w:val="20"/>
          <w:szCs w:val="20"/>
        </w:rPr>
        <w:t xml:space="preserve"> variable factors , as set out above, and these will continue to be reviewed to refine forecasts and ensure that reserves remain above our minimum threshold throughout the duration of the MTFS. </w:t>
      </w:r>
    </w:p>
    <w:p w14:paraId="48DADDDA" w14:textId="77777777" w:rsidR="00CA11D6" w:rsidRPr="00DB5DCF" w:rsidRDefault="00CA11D6" w:rsidP="00DB5DCF">
      <w:pPr>
        <w:rPr>
          <w:rFonts w:ascii="Arial" w:hAnsi="Arial" w:cs="Arial"/>
          <w:sz w:val="20"/>
        </w:rPr>
      </w:pPr>
    </w:p>
    <w:p w14:paraId="0F7DC353" w14:textId="77777777" w:rsidR="00CA11D6" w:rsidRPr="00806B7F" w:rsidRDefault="00CA11D6" w:rsidP="00CA11D6">
      <w:pPr>
        <w:jc w:val="both"/>
        <w:rPr>
          <w:rFonts w:ascii="Arial" w:hAnsi="Arial" w:cs="Arial"/>
          <w:b/>
          <w:color w:val="000000" w:themeColor="text1"/>
          <w:sz w:val="20"/>
        </w:rPr>
      </w:pPr>
      <w:r w:rsidRPr="00806B7F">
        <w:rPr>
          <w:rFonts w:ascii="Arial" w:hAnsi="Arial" w:cs="Arial"/>
          <w:b/>
          <w:color w:val="000000" w:themeColor="text1"/>
          <w:sz w:val="20"/>
        </w:rPr>
        <w:t>Earmarked Reserves</w:t>
      </w:r>
    </w:p>
    <w:p w14:paraId="66BAF36F" w14:textId="77777777" w:rsidR="00CA11D6" w:rsidRPr="00DB5DCF" w:rsidRDefault="00CA11D6" w:rsidP="00DB5DCF">
      <w:pPr>
        <w:rPr>
          <w:rFonts w:ascii="Arial" w:hAnsi="Arial" w:cs="Arial"/>
          <w:sz w:val="20"/>
        </w:rPr>
      </w:pPr>
    </w:p>
    <w:p w14:paraId="2D19D094"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These are reserves created for specific purposes to meet known or anticipated future liabilities and as such are not available to meet other budget pressures. They can only be used for that specific purpose, for which they were established, and as such it is not appropriate to set any specific limits on their level, but as part of the annual accounts process their adequacy will be reviewed and reported on. </w:t>
      </w:r>
    </w:p>
    <w:p w14:paraId="52637CC8" w14:textId="77777777" w:rsidR="00CA11D6" w:rsidRPr="00DB5DCF" w:rsidRDefault="00CA11D6" w:rsidP="00DB5DCF">
      <w:pPr>
        <w:rPr>
          <w:rFonts w:ascii="Arial" w:hAnsi="Arial" w:cs="Arial"/>
          <w:sz w:val="20"/>
        </w:rPr>
      </w:pPr>
    </w:p>
    <w:p w14:paraId="4DB6D547"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The following table sets out the purpose of this reserve, how it is utilised, </w:t>
      </w:r>
      <w:proofErr w:type="gramStart"/>
      <w:r w:rsidRPr="00806B7F">
        <w:rPr>
          <w:rFonts w:ascii="Arial" w:hAnsi="Arial" w:cs="Arial"/>
          <w:color w:val="000000" w:themeColor="text1"/>
          <w:sz w:val="20"/>
        </w:rPr>
        <w:t>controlled</w:t>
      </w:r>
      <w:proofErr w:type="gramEnd"/>
      <w:r w:rsidRPr="00806B7F">
        <w:rPr>
          <w:rFonts w:ascii="Arial" w:hAnsi="Arial" w:cs="Arial"/>
          <w:color w:val="000000" w:themeColor="text1"/>
          <w:sz w:val="20"/>
        </w:rPr>
        <w:t xml:space="preserve"> and reviewed.</w:t>
      </w:r>
    </w:p>
    <w:p w14:paraId="7A20EFB6" w14:textId="77777777" w:rsidR="00CA11D6" w:rsidRPr="00DB5DCF" w:rsidRDefault="00CA11D6" w:rsidP="00DB5DCF">
      <w:pPr>
        <w:rPr>
          <w:rFonts w:ascii="Arial" w:hAnsi="Arial" w:cs="Arial"/>
          <w:sz w:val="20"/>
        </w:rPr>
      </w:pPr>
    </w:p>
    <w:p w14:paraId="5C992109"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3 Summary of Earmarked Reserve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CA11D6" w:rsidRPr="00806B7F" w14:paraId="27C9E305" w14:textId="77777777" w:rsidTr="00A369A1">
        <w:tc>
          <w:tcPr>
            <w:tcW w:w="1418" w:type="dxa"/>
          </w:tcPr>
          <w:p w14:paraId="79954349"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Name</w:t>
            </w:r>
          </w:p>
        </w:tc>
        <w:tc>
          <w:tcPr>
            <w:tcW w:w="7654" w:type="dxa"/>
          </w:tcPr>
          <w:p w14:paraId="6E4352BC"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Earmarked</w:t>
            </w:r>
          </w:p>
        </w:tc>
      </w:tr>
      <w:tr w:rsidR="00CA11D6" w:rsidRPr="00806B7F" w14:paraId="25F80146" w14:textId="77777777" w:rsidTr="00A369A1">
        <w:tc>
          <w:tcPr>
            <w:tcW w:w="1418" w:type="dxa"/>
          </w:tcPr>
          <w:p w14:paraId="0716FFE0"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Purpose</w:t>
            </w:r>
          </w:p>
        </w:tc>
        <w:tc>
          <w:tcPr>
            <w:tcW w:w="7654" w:type="dxa"/>
          </w:tcPr>
          <w:p w14:paraId="1862EBAD"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This covers monies set aside for specific purposes.</w:t>
            </w:r>
          </w:p>
        </w:tc>
      </w:tr>
      <w:tr w:rsidR="00CA11D6" w:rsidRPr="00806B7F" w14:paraId="7EA7357D" w14:textId="77777777" w:rsidTr="00A369A1">
        <w:tc>
          <w:tcPr>
            <w:tcW w:w="1418" w:type="dxa"/>
          </w:tcPr>
          <w:p w14:paraId="3655A176"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Utilisation</w:t>
            </w:r>
          </w:p>
        </w:tc>
        <w:tc>
          <w:tcPr>
            <w:tcW w:w="7654" w:type="dxa"/>
          </w:tcPr>
          <w:p w14:paraId="0E200D3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Once set up these reserves can only be used for the specific purpose for which they were established.</w:t>
            </w:r>
          </w:p>
        </w:tc>
      </w:tr>
      <w:tr w:rsidR="00CA11D6" w:rsidRPr="00806B7F" w14:paraId="2ABBCB50" w14:textId="77777777" w:rsidTr="00A369A1">
        <w:tc>
          <w:tcPr>
            <w:tcW w:w="1418" w:type="dxa"/>
          </w:tcPr>
          <w:p w14:paraId="6FBC060D"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Controls</w:t>
            </w:r>
          </w:p>
        </w:tc>
        <w:tc>
          <w:tcPr>
            <w:tcW w:w="7654" w:type="dxa"/>
          </w:tcPr>
          <w:p w14:paraId="1B41147D"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 xml:space="preserve">The utilisation of these </w:t>
            </w:r>
            <w:proofErr w:type="gramStart"/>
            <w:r w:rsidRPr="00806B7F">
              <w:rPr>
                <w:rFonts w:ascii="Arial" w:hAnsi="Arial" w:cs="Arial"/>
                <w:color w:val="000000" w:themeColor="text1"/>
                <w:sz w:val="20"/>
              </w:rPr>
              <w:t>are</w:t>
            </w:r>
            <w:proofErr w:type="gramEnd"/>
            <w:r w:rsidRPr="00806B7F">
              <w:rPr>
                <w:rFonts w:ascii="Arial" w:hAnsi="Arial" w:cs="Arial"/>
                <w:color w:val="000000" w:themeColor="text1"/>
                <w:sz w:val="20"/>
              </w:rPr>
              <w:t xml:space="preserve"> discussed at quarterly DFM meetings between the budget holder, relevant Executive Board member, and the Director of Corporate Services.</w:t>
            </w:r>
          </w:p>
        </w:tc>
      </w:tr>
      <w:tr w:rsidR="00CA11D6" w:rsidRPr="00806B7F" w14:paraId="17E03424" w14:textId="77777777" w:rsidTr="00A369A1">
        <w:tc>
          <w:tcPr>
            <w:tcW w:w="1418" w:type="dxa"/>
          </w:tcPr>
          <w:p w14:paraId="017395FB"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Review</w:t>
            </w:r>
          </w:p>
        </w:tc>
        <w:tc>
          <w:tcPr>
            <w:tcW w:w="7654" w:type="dxa"/>
          </w:tcPr>
          <w:p w14:paraId="4A4D7076"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 level of earmarked reserves is reviewed each year as part of the revenue outturn/annual accounts process to ensure these are reasonable and remain relevant.</w:t>
            </w:r>
          </w:p>
        </w:tc>
      </w:tr>
    </w:tbl>
    <w:p w14:paraId="0F3CFCC8" w14:textId="77777777" w:rsidR="00CA11D6" w:rsidRPr="00806B7F" w:rsidRDefault="00CA11D6" w:rsidP="00CA11D6">
      <w:pPr>
        <w:ind w:left="1080"/>
        <w:jc w:val="both"/>
        <w:rPr>
          <w:rFonts w:ascii="Arial" w:hAnsi="Arial" w:cs="Arial"/>
          <w:color w:val="000000" w:themeColor="text1"/>
          <w:sz w:val="20"/>
          <w:highlight w:val="yellow"/>
        </w:rPr>
      </w:pPr>
    </w:p>
    <w:p w14:paraId="31BA44DF"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The Director of Corporate Services has delegated authority to create new earmarked reserves valued at up to £100,000; any request which exceeds this must be reported to the Resources Committee for approval.</w:t>
      </w:r>
    </w:p>
    <w:p w14:paraId="51F0EC0A" w14:textId="77777777" w:rsidR="00CA11D6" w:rsidRPr="00806B7F" w:rsidRDefault="00CA11D6" w:rsidP="00CA11D6">
      <w:pPr>
        <w:jc w:val="both"/>
        <w:rPr>
          <w:rFonts w:ascii="Arial" w:hAnsi="Arial" w:cs="Arial"/>
          <w:color w:val="000000" w:themeColor="text1"/>
          <w:sz w:val="20"/>
        </w:rPr>
      </w:pPr>
    </w:p>
    <w:p w14:paraId="229C0AFC"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Specific earmarked reserves will be closed when there is no longer a requirement to hold them, at which point they will either hold a nil balance or when any outstanding balance will be transferred into the general reserve.</w:t>
      </w:r>
    </w:p>
    <w:p w14:paraId="575E26BC" w14:textId="77777777" w:rsidR="00CA11D6" w:rsidRPr="00806B7F" w:rsidRDefault="00CA11D6" w:rsidP="00CA11D6">
      <w:pPr>
        <w:rPr>
          <w:rFonts w:ascii="Arial" w:hAnsi="Arial" w:cs="Arial"/>
          <w:color w:val="000000" w:themeColor="text1"/>
          <w:sz w:val="20"/>
          <w:u w:val="single"/>
        </w:rPr>
      </w:pPr>
    </w:p>
    <w:p w14:paraId="5200D52F" w14:textId="77777777" w:rsidR="00CA11D6" w:rsidRPr="00806B7F" w:rsidRDefault="00CA11D6" w:rsidP="00CA11D6">
      <w:pPr>
        <w:jc w:val="both"/>
        <w:rPr>
          <w:rFonts w:ascii="Arial" w:hAnsi="Arial" w:cs="Arial"/>
          <w:color w:val="000000" w:themeColor="text1"/>
          <w:sz w:val="20"/>
          <w:u w:val="single"/>
        </w:rPr>
      </w:pPr>
      <w:r w:rsidRPr="00806B7F">
        <w:rPr>
          <w:rFonts w:ascii="Arial" w:hAnsi="Arial" w:cs="Arial"/>
          <w:color w:val="000000" w:themeColor="text1"/>
          <w:sz w:val="20"/>
          <w:u w:val="single"/>
        </w:rPr>
        <w:t>Level of Earmarked Reserves</w:t>
      </w:r>
    </w:p>
    <w:p w14:paraId="04FF5294"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The following table provides a breakdown of the £2.6m of earmarked reserves forecast to be held at 31st March 2023, and a forecast of the anticipated position as at 31 March 2028: -</w:t>
      </w:r>
    </w:p>
    <w:p w14:paraId="520FBDD3" w14:textId="77777777" w:rsidR="00CA11D6" w:rsidRPr="00806B7F" w:rsidRDefault="00CA11D6" w:rsidP="00CA11D6">
      <w:pPr>
        <w:jc w:val="both"/>
        <w:rPr>
          <w:rFonts w:ascii="Arial" w:hAnsi="Arial" w:cs="Arial"/>
          <w:color w:val="000000" w:themeColor="text1"/>
          <w:sz w:val="20"/>
        </w:rPr>
      </w:pPr>
    </w:p>
    <w:p w14:paraId="40F21B1F"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4 Earmarked Reserve Balances</w:t>
      </w: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1276"/>
        <w:gridCol w:w="1275"/>
        <w:gridCol w:w="5103"/>
      </w:tblGrid>
      <w:tr w:rsidR="00CA11D6" w:rsidRPr="00806B7F" w14:paraId="05D0277B" w14:textId="77777777" w:rsidTr="00A369A1">
        <w:tc>
          <w:tcPr>
            <w:tcW w:w="1526" w:type="dxa"/>
          </w:tcPr>
          <w:p w14:paraId="23075B71" w14:textId="77777777" w:rsidR="00CA11D6" w:rsidRPr="00806B7F" w:rsidRDefault="00CA11D6" w:rsidP="00A369A1">
            <w:pPr>
              <w:rPr>
                <w:rFonts w:ascii="Arial" w:hAnsi="Arial" w:cs="Arial"/>
                <w:sz w:val="20"/>
              </w:rPr>
            </w:pPr>
          </w:p>
        </w:tc>
        <w:tc>
          <w:tcPr>
            <w:tcW w:w="1276" w:type="dxa"/>
          </w:tcPr>
          <w:p w14:paraId="6C4BB618" w14:textId="77777777" w:rsidR="00CA11D6" w:rsidRPr="00806B7F" w:rsidRDefault="00CA11D6" w:rsidP="00A369A1">
            <w:pPr>
              <w:jc w:val="center"/>
              <w:rPr>
                <w:rFonts w:ascii="Arial" w:hAnsi="Arial" w:cs="Arial"/>
                <w:sz w:val="20"/>
              </w:rPr>
            </w:pPr>
            <w:r w:rsidRPr="00806B7F">
              <w:rPr>
                <w:rFonts w:ascii="Arial" w:hAnsi="Arial" w:cs="Arial"/>
                <w:sz w:val="20"/>
              </w:rPr>
              <w:t>Forecast at 31 March 2023</w:t>
            </w:r>
          </w:p>
        </w:tc>
        <w:tc>
          <w:tcPr>
            <w:tcW w:w="1275" w:type="dxa"/>
          </w:tcPr>
          <w:p w14:paraId="2F95B1D4" w14:textId="77777777" w:rsidR="00CA11D6" w:rsidRPr="00806B7F" w:rsidRDefault="00CA11D6" w:rsidP="00A369A1">
            <w:pPr>
              <w:jc w:val="center"/>
              <w:rPr>
                <w:rFonts w:ascii="Arial" w:hAnsi="Arial" w:cs="Arial"/>
                <w:sz w:val="20"/>
              </w:rPr>
            </w:pPr>
            <w:r w:rsidRPr="00806B7F">
              <w:rPr>
                <w:rFonts w:ascii="Arial" w:hAnsi="Arial" w:cs="Arial"/>
                <w:sz w:val="20"/>
              </w:rPr>
              <w:t>Forecast at 31 March 2028</w:t>
            </w:r>
          </w:p>
        </w:tc>
        <w:tc>
          <w:tcPr>
            <w:tcW w:w="5103" w:type="dxa"/>
          </w:tcPr>
          <w:p w14:paraId="1CD3D647" w14:textId="77777777" w:rsidR="00CA11D6" w:rsidRPr="00806B7F" w:rsidRDefault="00CA11D6" w:rsidP="00A369A1">
            <w:pPr>
              <w:jc w:val="both"/>
              <w:rPr>
                <w:rFonts w:ascii="Arial" w:hAnsi="Arial" w:cs="Arial"/>
                <w:sz w:val="20"/>
              </w:rPr>
            </w:pPr>
          </w:p>
        </w:tc>
      </w:tr>
      <w:tr w:rsidR="00CA11D6" w:rsidRPr="00806B7F" w14:paraId="4195D426" w14:textId="77777777" w:rsidTr="00A369A1">
        <w:tc>
          <w:tcPr>
            <w:tcW w:w="1526" w:type="dxa"/>
          </w:tcPr>
          <w:p w14:paraId="1D874A51" w14:textId="77777777" w:rsidR="00CA11D6" w:rsidRPr="00806B7F" w:rsidRDefault="00CA11D6" w:rsidP="00A369A1">
            <w:pPr>
              <w:rPr>
                <w:rFonts w:ascii="Arial" w:hAnsi="Arial" w:cs="Arial"/>
                <w:sz w:val="20"/>
              </w:rPr>
            </w:pPr>
          </w:p>
        </w:tc>
        <w:tc>
          <w:tcPr>
            <w:tcW w:w="1276" w:type="dxa"/>
          </w:tcPr>
          <w:p w14:paraId="6A3AB47A"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275" w:type="dxa"/>
          </w:tcPr>
          <w:p w14:paraId="692AAF38"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5103" w:type="dxa"/>
          </w:tcPr>
          <w:p w14:paraId="2590DDB3" w14:textId="77777777" w:rsidR="00CA11D6" w:rsidRPr="00806B7F" w:rsidRDefault="00CA11D6" w:rsidP="00A369A1">
            <w:pPr>
              <w:jc w:val="both"/>
              <w:rPr>
                <w:rFonts w:ascii="Arial" w:hAnsi="Arial" w:cs="Arial"/>
                <w:sz w:val="20"/>
              </w:rPr>
            </w:pPr>
          </w:p>
        </w:tc>
      </w:tr>
      <w:tr w:rsidR="00CA11D6" w:rsidRPr="00806B7F" w14:paraId="6D93C4A1" w14:textId="77777777" w:rsidTr="00A369A1">
        <w:tc>
          <w:tcPr>
            <w:tcW w:w="1526" w:type="dxa"/>
          </w:tcPr>
          <w:p w14:paraId="2BF89185" w14:textId="77777777" w:rsidR="00CA11D6" w:rsidRPr="00806B7F" w:rsidRDefault="00CA11D6" w:rsidP="00A369A1">
            <w:pPr>
              <w:rPr>
                <w:rFonts w:ascii="Arial" w:hAnsi="Arial" w:cs="Arial"/>
                <w:color w:val="000000" w:themeColor="text1"/>
                <w:sz w:val="20"/>
              </w:rPr>
            </w:pPr>
            <w:r w:rsidRPr="00806B7F">
              <w:rPr>
                <w:rFonts w:ascii="Arial" w:hAnsi="Arial" w:cs="Arial"/>
                <w:color w:val="000000" w:themeColor="text1"/>
                <w:sz w:val="20"/>
              </w:rPr>
              <w:t xml:space="preserve">Specific Grant C/Fwd. </w:t>
            </w:r>
          </w:p>
        </w:tc>
        <w:tc>
          <w:tcPr>
            <w:tcW w:w="1276" w:type="dxa"/>
          </w:tcPr>
          <w:p w14:paraId="79F35B60" w14:textId="77777777" w:rsidR="00CA11D6" w:rsidRPr="00806B7F" w:rsidRDefault="00CA11D6" w:rsidP="00A369A1">
            <w:pPr>
              <w:jc w:val="center"/>
              <w:rPr>
                <w:rFonts w:ascii="Arial" w:hAnsi="Arial" w:cs="Arial"/>
                <w:color w:val="000000" w:themeColor="text1"/>
                <w:sz w:val="20"/>
              </w:rPr>
            </w:pPr>
            <w:r w:rsidRPr="00806B7F">
              <w:rPr>
                <w:rFonts w:ascii="Arial" w:hAnsi="Arial" w:cs="Arial"/>
                <w:color w:val="000000" w:themeColor="text1"/>
                <w:sz w:val="20"/>
              </w:rPr>
              <w:t>0.2</w:t>
            </w:r>
          </w:p>
        </w:tc>
        <w:tc>
          <w:tcPr>
            <w:tcW w:w="1275" w:type="dxa"/>
          </w:tcPr>
          <w:p w14:paraId="08057DB2" w14:textId="77777777" w:rsidR="00CA11D6" w:rsidRPr="00806B7F" w:rsidRDefault="00CA11D6" w:rsidP="00A369A1">
            <w:pPr>
              <w:jc w:val="center"/>
              <w:rPr>
                <w:rFonts w:ascii="Arial" w:hAnsi="Arial" w:cs="Arial"/>
                <w:color w:val="000000" w:themeColor="text1"/>
                <w:sz w:val="20"/>
              </w:rPr>
            </w:pPr>
            <w:r w:rsidRPr="00806B7F">
              <w:rPr>
                <w:rFonts w:ascii="Arial" w:hAnsi="Arial" w:cs="Arial"/>
                <w:color w:val="000000" w:themeColor="text1"/>
                <w:sz w:val="20"/>
              </w:rPr>
              <w:t>-</w:t>
            </w:r>
          </w:p>
        </w:tc>
        <w:tc>
          <w:tcPr>
            <w:tcW w:w="5103" w:type="dxa"/>
          </w:tcPr>
          <w:p w14:paraId="55B3C70A"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 xml:space="preserve">This reserve carries forward unspent specific grants </w:t>
            </w:r>
          </w:p>
          <w:p w14:paraId="6CE7BF5E" w14:textId="77777777" w:rsidR="00CA11D6" w:rsidRPr="00806B7F" w:rsidRDefault="00CA11D6" w:rsidP="007C5B19">
            <w:pPr>
              <w:pStyle w:val="ListParagraph"/>
              <w:numPr>
                <w:ilvl w:val="0"/>
                <w:numId w:val="18"/>
              </w:numPr>
              <w:jc w:val="both"/>
              <w:rPr>
                <w:rFonts w:ascii="Arial" w:hAnsi="Arial" w:cs="Arial"/>
                <w:color w:val="000000" w:themeColor="text1"/>
                <w:sz w:val="20"/>
                <w:szCs w:val="20"/>
              </w:rPr>
            </w:pPr>
            <w:r w:rsidRPr="00806B7F">
              <w:rPr>
                <w:rFonts w:ascii="Arial" w:hAnsi="Arial" w:cs="Arial"/>
                <w:color w:val="000000" w:themeColor="text1"/>
                <w:sz w:val="20"/>
                <w:szCs w:val="20"/>
              </w:rPr>
              <w:t>Protection Uplift Grant</w:t>
            </w:r>
          </w:p>
          <w:p w14:paraId="11A57934" w14:textId="77777777" w:rsidR="00CA11D6" w:rsidRPr="00806B7F" w:rsidRDefault="00CA11D6" w:rsidP="00CA11D6">
            <w:pPr>
              <w:pStyle w:val="ListParagraph"/>
              <w:numPr>
                <w:ilvl w:val="0"/>
                <w:numId w:val="12"/>
              </w:numPr>
              <w:jc w:val="both"/>
              <w:rPr>
                <w:rFonts w:ascii="Arial" w:hAnsi="Arial" w:cs="Arial"/>
                <w:color w:val="000000" w:themeColor="text1"/>
                <w:sz w:val="20"/>
                <w:szCs w:val="20"/>
              </w:rPr>
            </w:pPr>
            <w:r w:rsidRPr="00806B7F">
              <w:rPr>
                <w:rFonts w:ascii="Arial" w:hAnsi="Arial" w:cs="Arial"/>
                <w:color w:val="000000" w:themeColor="text1"/>
                <w:sz w:val="20"/>
                <w:szCs w:val="20"/>
              </w:rPr>
              <w:t>Building Risk Review Grant</w:t>
            </w:r>
          </w:p>
          <w:p w14:paraId="142783B4" w14:textId="77777777" w:rsidR="00CA11D6" w:rsidRPr="00806B7F" w:rsidRDefault="00CA11D6" w:rsidP="00CA11D6">
            <w:pPr>
              <w:pStyle w:val="ListParagraph"/>
              <w:numPr>
                <w:ilvl w:val="0"/>
                <w:numId w:val="12"/>
              </w:numPr>
              <w:jc w:val="both"/>
              <w:rPr>
                <w:rFonts w:ascii="Arial" w:hAnsi="Arial" w:cs="Arial"/>
                <w:color w:val="000000" w:themeColor="text1"/>
                <w:sz w:val="20"/>
                <w:szCs w:val="20"/>
              </w:rPr>
            </w:pPr>
            <w:r w:rsidRPr="00806B7F">
              <w:rPr>
                <w:rFonts w:ascii="Arial" w:hAnsi="Arial" w:cs="Arial"/>
                <w:color w:val="000000" w:themeColor="text1"/>
                <w:sz w:val="20"/>
                <w:szCs w:val="20"/>
              </w:rPr>
              <w:t>Grenfell Infrastructure Grant</w:t>
            </w:r>
          </w:p>
          <w:p w14:paraId="4AF452A0" w14:textId="77777777" w:rsidR="00CA11D6" w:rsidRPr="00806B7F" w:rsidRDefault="00CA11D6" w:rsidP="00CA11D6">
            <w:pPr>
              <w:pStyle w:val="ListParagraph"/>
              <w:numPr>
                <w:ilvl w:val="0"/>
                <w:numId w:val="12"/>
              </w:numPr>
              <w:jc w:val="both"/>
              <w:rPr>
                <w:rFonts w:ascii="Arial" w:hAnsi="Arial" w:cs="Arial"/>
                <w:color w:val="000000" w:themeColor="text1"/>
                <w:sz w:val="20"/>
                <w:szCs w:val="20"/>
              </w:rPr>
            </w:pPr>
            <w:r w:rsidRPr="00806B7F">
              <w:rPr>
                <w:rFonts w:ascii="Arial" w:hAnsi="Arial" w:cs="Arial"/>
                <w:color w:val="000000" w:themeColor="text1"/>
                <w:sz w:val="20"/>
                <w:szCs w:val="20"/>
              </w:rPr>
              <w:t>ESMCP Grant</w:t>
            </w:r>
          </w:p>
          <w:p w14:paraId="1A12B3D9" w14:textId="77777777" w:rsidR="00CA11D6" w:rsidRPr="00806B7F" w:rsidRDefault="00CA11D6" w:rsidP="00CA11D6">
            <w:pPr>
              <w:pStyle w:val="ListParagraph"/>
              <w:numPr>
                <w:ilvl w:val="0"/>
                <w:numId w:val="12"/>
              </w:numPr>
              <w:jc w:val="both"/>
              <w:rPr>
                <w:rFonts w:ascii="Arial" w:hAnsi="Arial" w:cs="Arial"/>
                <w:color w:val="000000" w:themeColor="text1"/>
                <w:sz w:val="20"/>
                <w:szCs w:val="20"/>
              </w:rPr>
            </w:pPr>
            <w:r w:rsidRPr="00806B7F">
              <w:rPr>
                <w:rFonts w:ascii="Arial" w:hAnsi="Arial" w:cs="Arial"/>
                <w:color w:val="000000" w:themeColor="text1"/>
                <w:sz w:val="20"/>
                <w:szCs w:val="20"/>
              </w:rPr>
              <w:t>Efficiency Grant</w:t>
            </w:r>
          </w:p>
          <w:p w14:paraId="5A8A38A3"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We anticipated utilising these in the new financial year.</w:t>
            </w:r>
          </w:p>
          <w:p w14:paraId="03ABB6E3"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There are no contractual or legal obligations against this reserve</w:t>
            </w:r>
          </w:p>
        </w:tc>
      </w:tr>
      <w:tr w:rsidR="00CA11D6" w:rsidRPr="00806B7F" w14:paraId="352A0E75" w14:textId="77777777" w:rsidTr="00A369A1">
        <w:tc>
          <w:tcPr>
            <w:tcW w:w="1526" w:type="dxa"/>
          </w:tcPr>
          <w:p w14:paraId="58EB4E19" w14:textId="77777777" w:rsidR="00CA11D6" w:rsidRPr="00806B7F" w:rsidRDefault="00CA11D6" w:rsidP="00A369A1">
            <w:pPr>
              <w:rPr>
                <w:rFonts w:ascii="Arial" w:hAnsi="Arial" w:cs="Arial"/>
                <w:sz w:val="20"/>
              </w:rPr>
            </w:pPr>
            <w:r w:rsidRPr="00806B7F">
              <w:rPr>
                <w:rFonts w:ascii="Arial" w:hAnsi="Arial" w:cs="Arial"/>
                <w:color w:val="000000" w:themeColor="text1"/>
                <w:sz w:val="20"/>
              </w:rPr>
              <w:t>DFM Reserve</w:t>
            </w:r>
          </w:p>
        </w:tc>
        <w:tc>
          <w:tcPr>
            <w:tcW w:w="1276" w:type="dxa"/>
          </w:tcPr>
          <w:p w14:paraId="561FE76D" w14:textId="77777777" w:rsidR="00CA11D6" w:rsidRPr="00806B7F" w:rsidRDefault="00CA11D6" w:rsidP="00A369A1">
            <w:pPr>
              <w:jc w:val="center"/>
              <w:rPr>
                <w:rFonts w:ascii="Arial" w:hAnsi="Arial" w:cs="Arial"/>
                <w:sz w:val="20"/>
              </w:rPr>
            </w:pPr>
            <w:r w:rsidRPr="00806B7F">
              <w:rPr>
                <w:rFonts w:ascii="Arial" w:hAnsi="Arial" w:cs="Arial"/>
                <w:color w:val="000000" w:themeColor="text1"/>
                <w:sz w:val="20"/>
              </w:rPr>
              <w:t>0.3</w:t>
            </w:r>
          </w:p>
        </w:tc>
        <w:tc>
          <w:tcPr>
            <w:tcW w:w="1275" w:type="dxa"/>
          </w:tcPr>
          <w:p w14:paraId="20FE3257" w14:textId="77777777" w:rsidR="00CA11D6" w:rsidRPr="00806B7F" w:rsidRDefault="00CA11D6" w:rsidP="00A369A1">
            <w:pPr>
              <w:jc w:val="center"/>
              <w:rPr>
                <w:rFonts w:ascii="Arial" w:hAnsi="Arial" w:cs="Arial"/>
                <w:sz w:val="20"/>
              </w:rPr>
            </w:pPr>
            <w:r w:rsidRPr="00806B7F">
              <w:rPr>
                <w:rFonts w:ascii="Arial" w:hAnsi="Arial" w:cs="Arial"/>
                <w:color w:val="000000" w:themeColor="text1"/>
                <w:sz w:val="20"/>
              </w:rPr>
              <w:t>0.3</w:t>
            </w:r>
          </w:p>
        </w:tc>
        <w:tc>
          <w:tcPr>
            <w:tcW w:w="5103" w:type="dxa"/>
          </w:tcPr>
          <w:p w14:paraId="52DE031B"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Devolved Financial Management Reserve enables budget holders to carry forward any surplus or deficit from one financial year to the next, within prescribed limits.</w:t>
            </w:r>
          </w:p>
          <w:p w14:paraId="2A29F1EF"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 xml:space="preserve">This reserve provides greater flexibility to individual budget holder to carry forward underspends within their own budget area to meet future costs and optimise the use of resources. </w:t>
            </w:r>
          </w:p>
          <w:p w14:paraId="26333079"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Examples of areas where these balances have been used previously would-be one-off replacements of equipment, or enhancement to station facilities etc.</w:t>
            </w:r>
          </w:p>
          <w:p w14:paraId="14D752D9"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The levels of individual DFM reserves are reviewed each year as part of the revenue outturn/annual accounts process, to ensure that they are reasonable and that budget holders are not building up excessive reserves. As a result of this exercise we have stripped out £0.1m and transferred this into the capital funding reserve (referred to later in the report)</w:t>
            </w:r>
          </w:p>
          <w:p w14:paraId="23920DD9" w14:textId="77777777" w:rsidR="00CA11D6" w:rsidRPr="00806B7F" w:rsidRDefault="00CA11D6" w:rsidP="00A369A1">
            <w:pPr>
              <w:jc w:val="both"/>
              <w:rPr>
                <w:rFonts w:ascii="Arial" w:hAnsi="Arial" w:cs="Arial"/>
                <w:sz w:val="20"/>
              </w:rPr>
            </w:pPr>
            <w:r w:rsidRPr="00806B7F">
              <w:rPr>
                <w:rFonts w:ascii="Arial" w:hAnsi="Arial" w:cs="Arial"/>
                <w:color w:val="000000" w:themeColor="text1"/>
                <w:sz w:val="20"/>
              </w:rPr>
              <w:t>At present there are no contractual or legal obligations against this reserve, as any such commitments would be included in the base revenue budget.</w:t>
            </w:r>
          </w:p>
        </w:tc>
      </w:tr>
      <w:tr w:rsidR="00CA11D6" w:rsidRPr="00806B7F" w14:paraId="498EC50B" w14:textId="77777777" w:rsidTr="00A369A1">
        <w:tc>
          <w:tcPr>
            <w:tcW w:w="1526" w:type="dxa"/>
          </w:tcPr>
          <w:p w14:paraId="29796311" w14:textId="77777777" w:rsidR="00CA11D6" w:rsidRPr="00806B7F" w:rsidRDefault="00CA11D6" w:rsidP="00A369A1">
            <w:pPr>
              <w:rPr>
                <w:rFonts w:ascii="Arial" w:hAnsi="Arial" w:cs="Arial"/>
                <w:sz w:val="20"/>
              </w:rPr>
            </w:pPr>
            <w:r w:rsidRPr="00806B7F">
              <w:rPr>
                <w:rFonts w:ascii="Arial" w:hAnsi="Arial" w:cs="Arial"/>
                <w:sz w:val="20"/>
              </w:rPr>
              <w:t>Insurance Aggregate Stop Loss (ASL)</w:t>
            </w:r>
          </w:p>
        </w:tc>
        <w:tc>
          <w:tcPr>
            <w:tcW w:w="1276" w:type="dxa"/>
          </w:tcPr>
          <w:p w14:paraId="30DA3E5F" w14:textId="77777777" w:rsidR="00CA11D6" w:rsidRPr="00806B7F" w:rsidRDefault="00CA11D6" w:rsidP="00A369A1">
            <w:pPr>
              <w:jc w:val="center"/>
              <w:rPr>
                <w:rFonts w:ascii="Arial" w:hAnsi="Arial" w:cs="Arial"/>
                <w:sz w:val="20"/>
              </w:rPr>
            </w:pPr>
            <w:r w:rsidRPr="00806B7F">
              <w:rPr>
                <w:rFonts w:ascii="Arial" w:hAnsi="Arial" w:cs="Arial"/>
                <w:sz w:val="20"/>
              </w:rPr>
              <w:t>1.1</w:t>
            </w:r>
          </w:p>
        </w:tc>
        <w:tc>
          <w:tcPr>
            <w:tcW w:w="1275" w:type="dxa"/>
          </w:tcPr>
          <w:p w14:paraId="3F978905" w14:textId="77777777" w:rsidR="00CA11D6" w:rsidRPr="00806B7F" w:rsidRDefault="00CA11D6" w:rsidP="00A369A1">
            <w:pPr>
              <w:jc w:val="center"/>
              <w:rPr>
                <w:rFonts w:ascii="Arial" w:hAnsi="Arial" w:cs="Arial"/>
                <w:sz w:val="20"/>
              </w:rPr>
            </w:pPr>
            <w:r w:rsidRPr="00806B7F">
              <w:rPr>
                <w:rFonts w:ascii="Arial" w:hAnsi="Arial" w:cs="Arial"/>
                <w:sz w:val="20"/>
              </w:rPr>
              <w:t>1.1</w:t>
            </w:r>
          </w:p>
        </w:tc>
        <w:tc>
          <w:tcPr>
            <w:tcW w:w="5103" w:type="dxa"/>
          </w:tcPr>
          <w:p w14:paraId="33705BBC" w14:textId="77777777" w:rsidR="00CA11D6" w:rsidRPr="00806B7F" w:rsidRDefault="00CA11D6" w:rsidP="00A369A1">
            <w:pPr>
              <w:jc w:val="both"/>
              <w:rPr>
                <w:rFonts w:ascii="Arial" w:hAnsi="Arial" w:cs="Arial"/>
                <w:sz w:val="20"/>
              </w:rPr>
            </w:pPr>
            <w:r w:rsidRPr="00806B7F">
              <w:rPr>
                <w:rFonts w:ascii="Arial" w:hAnsi="Arial" w:cs="Arial"/>
                <w:sz w:val="20"/>
              </w:rPr>
              <w:t>The Authority has aggregate stop losses (ASLs) on both its combined liability insurance policy (£0.4m) and its motor policy (£0.3m). This means that in any one year the Authority’s maximum liability for insurance claims is capped at the ASL. As such the Authority can either meet these costs direct from its revenue budget or can set up an earmarked reserve to meet these. Within Lancashire we have chosen to meet the potential costs through a combination of the two. Hence the amount included in the revenue budget reflects charges in a typical year, with the reserve being set up to cover any excess over and above this. As such the reserve, combined with amounts within the revenue budget, provides sufficient cover to meet 2 years’ worth of the maximum possible claims, i.e. the ASL. (It is worth noting that the revenue budget allocation has also been reduced in recent years reflecting the claims history. Without holding this reserve to cushion any major claims that may arise this would not have been possible.)</w:t>
            </w:r>
          </w:p>
          <w:p w14:paraId="787C09BE" w14:textId="77777777" w:rsidR="00CA11D6" w:rsidRPr="00806B7F" w:rsidRDefault="00CA11D6" w:rsidP="00A369A1">
            <w:pPr>
              <w:jc w:val="both"/>
              <w:rPr>
                <w:rFonts w:ascii="Arial" w:hAnsi="Arial" w:cs="Arial"/>
                <w:sz w:val="20"/>
              </w:rPr>
            </w:pPr>
            <w:r w:rsidRPr="00806B7F">
              <w:rPr>
                <w:rFonts w:ascii="Arial" w:hAnsi="Arial" w:cs="Arial"/>
                <w:sz w:val="20"/>
              </w:rPr>
              <w:t>None of this reserve is legally committed at the present time, although as soon as a claim arose this position would change.</w:t>
            </w:r>
          </w:p>
        </w:tc>
      </w:tr>
      <w:tr w:rsidR="00CA11D6" w:rsidRPr="00806B7F" w14:paraId="08A0605A" w14:textId="77777777" w:rsidTr="00A369A1">
        <w:tc>
          <w:tcPr>
            <w:tcW w:w="1526" w:type="dxa"/>
          </w:tcPr>
          <w:p w14:paraId="052A1D21" w14:textId="77777777" w:rsidR="00CA11D6" w:rsidRPr="00806B7F" w:rsidRDefault="00CA11D6" w:rsidP="00A369A1">
            <w:pPr>
              <w:rPr>
                <w:rFonts w:ascii="Arial" w:hAnsi="Arial" w:cs="Arial"/>
                <w:sz w:val="20"/>
              </w:rPr>
            </w:pPr>
            <w:r w:rsidRPr="00806B7F">
              <w:rPr>
                <w:rFonts w:ascii="Arial" w:hAnsi="Arial" w:cs="Arial"/>
                <w:sz w:val="20"/>
              </w:rPr>
              <w:t>Prince’s Trust</w:t>
            </w:r>
          </w:p>
        </w:tc>
        <w:tc>
          <w:tcPr>
            <w:tcW w:w="1276" w:type="dxa"/>
          </w:tcPr>
          <w:p w14:paraId="3BAC1E35" w14:textId="77777777" w:rsidR="00CA11D6" w:rsidRPr="00806B7F" w:rsidRDefault="00CA11D6" w:rsidP="00A369A1">
            <w:pPr>
              <w:jc w:val="center"/>
              <w:rPr>
                <w:rFonts w:ascii="Arial" w:hAnsi="Arial" w:cs="Arial"/>
                <w:sz w:val="20"/>
              </w:rPr>
            </w:pPr>
            <w:r w:rsidRPr="00806B7F">
              <w:rPr>
                <w:rFonts w:ascii="Arial" w:hAnsi="Arial" w:cs="Arial"/>
                <w:sz w:val="20"/>
              </w:rPr>
              <w:t>0.4</w:t>
            </w:r>
          </w:p>
        </w:tc>
        <w:tc>
          <w:tcPr>
            <w:tcW w:w="1275" w:type="dxa"/>
          </w:tcPr>
          <w:p w14:paraId="550F98F7" w14:textId="77777777" w:rsidR="00CA11D6" w:rsidRPr="00806B7F" w:rsidRDefault="00CA11D6" w:rsidP="00A369A1">
            <w:pPr>
              <w:jc w:val="center"/>
              <w:rPr>
                <w:rFonts w:ascii="Arial" w:hAnsi="Arial" w:cs="Arial"/>
                <w:sz w:val="20"/>
              </w:rPr>
            </w:pPr>
            <w:r w:rsidRPr="00806B7F">
              <w:rPr>
                <w:rFonts w:ascii="Arial" w:hAnsi="Arial" w:cs="Arial"/>
                <w:sz w:val="20"/>
              </w:rPr>
              <w:t>0.4</w:t>
            </w:r>
          </w:p>
        </w:tc>
        <w:tc>
          <w:tcPr>
            <w:tcW w:w="5103" w:type="dxa"/>
          </w:tcPr>
          <w:p w14:paraId="526C2108" w14:textId="77777777" w:rsidR="00CA11D6" w:rsidRPr="00806B7F" w:rsidRDefault="00CA11D6" w:rsidP="00A369A1">
            <w:pPr>
              <w:jc w:val="both"/>
              <w:rPr>
                <w:rFonts w:ascii="Arial" w:hAnsi="Arial" w:cs="Arial"/>
                <w:sz w:val="20"/>
              </w:rPr>
            </w:pPr>
            <w:r w:rsidRPr="00806B7F">
              <w:rPr>
                <w:rFonts w:ascii="Arial" w:hAnsi="Arial" w:cs="Arial"/>
                <w:sz w:val="20"/>
              </w:rPr>
              <w:t xml:space="preserve">This reserve has been established to balance short term funding timing differences and to mitigate the risk of loss of funding and enable short term continuation of team activities, whilst alternative funding is found. </w:t>
            </w:r>
          </w:p>
          <w:p w14:paraId="193C1FED" w14:textId="77777777" w:rsidR="00CA11D6" w:rsidRPr="00806B7F" w:rsidRDefault="00CA11D6" w:rsidP="00A369A1">
            <w:pPr>
              <w:jc w:val="both"/>
              <w:rPr>
                <w:rFonts w:ascii="Arial" w:hAnsi="Arial" w:cs="Arial"/>
                <w:sz w:val="20"/>
              </w:rPr>
            </w:pPr>
            <w:r w:rsidRPr="00806B7F">
              <w:rPr>
                <w:rFonts w:ascii="Arial" w:hAnsi="Arial" w:cs="Arial"/>
                <w:sz w:val="20"/>
              </w:rPr>
              <w:t>Without this reserve any significant loss of funding would have an immediate impact on our ability to deliver the PT programme, and hence improve the lives of younger people.</w:t>
            </w:r>
          </w:p>
          <w:p w14:paraId="32A18FC7" w14:textId="77777777" w:rsidR="00CA11D6" w:rsidRPr="00806B7F" w:rsidRDefault="00CA11D6" w:rsidP="00A369A1">
            <w:pPr>
              <w:jc w:val="both"/>
              <w:rPr>
                <w:rFonts w:ascii="Arial" w:hAnsi="Arial" w:cs="Arial"/>
                <w:sz w:val="20"/>
              </w:rPr>
            </w:pPr>
            <w:r w:rsidRPr="00806B7F">
              <w:rPr>
                <w:rFonts w:ascii="Arial" w:hAnsi="Arial" w:cs="Arial"/>
                <w:sz w:val="20"/>
              </w:rPr>
              <w:t>This reserve has been capped at £0.5m.</w:t>
            </w:r>
          </w:p>
          <w:p w14:paraId="7B15A679" w14:textId="77777777" w:rsidR="00CA11D6" w:rsidRPr="00806B7F" w:rsidRDefault="00CA11D6" w:rsidP="00A369A1">
            <w:pPr>
              <w:jc w:val="both"/>
              <w:rPr>
                <w:rFonts w:ascii="Arial" w:hAnsi="Arial" w:cs="Arial"/>
                <w:sz w:val="20"/>
              </w:rPr>
            </w:pPr>
            <w:r w:rsidRPr="00806B7F">
              <w:rPr>
                <w:rFonts w:ascii="Arial" w:hAnsi="Arial" w:cs="Arial"/>
                <w:sz w:val="20"/>
              </w:rPr>
              <w:t>There are no legal or contractual commitments against this, however forecasts show this budget reducing reflecting the uncertainty over future funding</w:t>
            </w:r>
          </w:p>
        </w:tc>
      </w:tr>
      <w:tr w:rsidR="00CA11D6" w:rsidRPr="00806B7F" w14:paraId="1A437EDF" w14:textId="77777777" w:rsidTr="00A369A1">
        <w:tc>
          <w:tcPr>
            <w:tcW w:w="1526" w:type="dxa"/>
          </w:tcPr>
          <w:p w14:paraId="0B9D21DC" w14:textId="77777777" w:rsidR="00CA11D6" w:rsidRPr="00806B7F" w:rsidRDefault="00CA11D6" w:rsidP="00A369A1">
            <w:pPr>
              <w:rPr>
                <w:rFonts w:ascii="Arial" w:hAnsi="Arial" w:cs="Arial"/>
                <w:sz w:val="20"/>
              </w:rPr>
            </w:pPr>
            <w:r w:rsidRPr="00806B7F">
              <w:rPr>
                <w:rFonts w:ascii="Arial" w:hAnsi="Arial" w:cs="Arial"/>
                <w:sz w:val="20"/>
              </w:rPr>
              <w:t>Apprentices</w:t>
            </w:r>
          </w:p>
        </w:tc>
        <w:tc>
          <w:tcPr>
            <w:tcW w:w="1276" w:type="dxa"/>
          </w:tcPr>
          <w:p w14:paraId="26289B23" w14:textId="77777777" w:rsidR="00CA11D6" w:rsidRPr="00806B7F" w:rsidRDefault="00CA11D6" w:rsidP="00A369A1">
            <w:pPr>
              <w:jc w:val="center"/>
              <w:rPr>
                <w:rFonts w:ascii="Arial" w:hAnsi="Arial" w:cs="Arial"/>
                <w:sz w:val="20"/>
              </w:rPr>
            </w:pPr>
            <w:r w:rsidRPr="00806B7F">
              <w:rPr>
                <w:rFonts w:ascii="Arial" w:hAnsi="Arial" w:cs="Arial"/>
                <w:sz w:val="20"/>
              </w:rPr>
              <w:t>0.1</w:t>
            </w:r>
          </w:p>
        </w:tc>
        <w:tc>
          <w:tcPr>
            <w:tcW w:w="1275" w:type="dxa"/>
          </w:tcPr>
          <w:p w14:paraId="7ED4599D" w14:textId="77777777" w:rsidR="00CA11D6" w:rsidRPr="00806B7F" w:rsidRDefault="00CA11D6" w:rsidP="00A369A1">
            <w:pPr>
              <w:jc w:val="center"/>
              <w:rPr>
                <w:rFonts w:ascii="Arial" w:hAnsi="Arial" w:cs="Arial"/>
                <w:sz w:val="20"/>
              </w:rPr>
            </w:pPr>
            <w:r w:rsidRPr="00806B7F">
              <w:rPr>
                <w:rFonts w:ascii="Arial" w:hAnsi="Arial" w:cs="Arial"/>
                <w:sz w:val="20"/>
              </w:rPr>
              <w:t>-</w:t>
            </w:r>
          </w:p>
        </w:tc>
        <w:tc>
          <w:tcPr>
            <w:tcW w:w="5103" w:type="dxa"/>
          </w:tcPr>
          <w:p w14:paraId="337EDC50" w14:textId="77777777" w:rsidR="00CA11D6" w:rsidRPr="00806B7F" w:rsidRDefault="00CA11D6" w:rsidP="00A369A1">
            <w:pPr>
              <w:jc w:val="both"/>
              <w:rPr>
                <w:rFonts w:ascii="Arial" w:hAnsi="Arial" w:cs="Arial"/>
                <w:sz w:val="20"/>
              </w:rPr>
            </w:pPr>
            <w:r w:rsidRPr="00806B7F">
              <w:rPr>
                <w:rFonts w:ascii="Arial" w:hAnsi="Arial" w:cs="Arial"/>
                <w:sz w:val="20"/>
              </w:rPr>
              <w:t>This reserve was created from previous in-year underspends relating to the appointment of apprentices, which was delayed awaiting national developments.</w:t>
            </w:r>
          </w:p>
          <w:p w14:paraId="24D6C1B4" w14:textId="77777777" w:rsidR="00CA11D6" w:rsidRPr="00806B7F" w:rsidRDefault="00CA11D6" w:rsidP="00A369A1">
            <w:pPr>
              <w:jc w:val="both"/>
              <w:rPr>
                <w:rFonts w:ascii="Arial" w:hAnsi="Arial" w:cs="Arial"/>
                <w:sz w:val="20"/>
              </w:rPr>
            </w:pPr>
            <w:r w:rsidRPr="00806B7F">
              <w:rPr>
                <w:rFonts w:ascii="Arial" w:hAnsi="Arial" w:cs="Arial"/>
                <w:sz w:val="20"/>
              </w:rPr>
              <w:t xml:space="preserve">As such the reserve was set up to offset some of the pay/training costs that will be incurred in future years, with the balance being met direct from the revenue budget. </w:t>
            </w:r>
          </w:p>
          <w:p w14:paraId="5DD1EBA8" w14:textId="77777777" w:rsidR="00CA11D6" w:rsidRPr="00806B7F" w:rsidRDefault="00CA11D6" w:rsidP="00A369A1">
            <w:pPr>
              <w:jc w:val="both"/>
              <w:rPr>
                <w:rFonts w:ascii="Arial" w:hAnsi="Arial" w:cs="Arial"/>
                <w:sz w:val="20"/>
              </w:rPr>
            </w:pPr>
            <w:r w:rsidRPr="00806B7F">
              <w:rPr>
                <w:rFonts w:ascii="Arial" w:hAnsi="Arial" w:cs="Arial"/>
                <w:sz w:val="20"/>
              </w:rPr>
              <w:t xml:space="preserve">This clearly contributes to addressing apprenticeship targets, set by the Government, as well as addressing capacity issues within departments. </w:t>
            </w:r>
          </w:p>
          <w:p w14:paraId="594A80FE" w14:textId="77777777" w:rsidR="00CA11D6" w:rsidRPr="00806B7F" w:rsidRDefault="00CA11D6" w:rsidP="00A369A1">
            <w:pPr>
              <w:jc w:val="both"/>
              <w:rPr>
                <w:rFonts w:ascii="Arial" w:hAnsi="Arial" w:cs="Arial"/>
                <w:sz w:val="20"/>
              </w:rPr>
            </w:pPr>
            <w:r w:rsidRPr="00806B7F">
              <w:rPr>
                <w:rFonts w:ascii="Arial" w:hAnsi="Arial" w:cs="Arial"/>
                <w:sz w:val="20"/>
              </w:rPr>
              <w:t>There are no contractual commitments against this.</w:t>
            </w:r>
          </w:p>
        </w:tc>
      </w:tr>
      <w:tr w:rsidR="00CA11D6" w:rsidRPr="00806B7F" w14:paraId="725014D2" w14:textId="77777777" w:rsidTr="00A369A1">
        <w:tc>
          <w:tcPr>
            <w:tcW w:w="1526" w:type="dxa"/>
          </w:tcPr>
          <w:p w14:paraId="2A66E863" w14:textId="77777777" w:rsidR="00CA11D6" w:rsidRPr="00806B7F" w:rsidRDefault="00CA11D6" w:rsidP="00A369A1">
            <w:pPr>
              <w:rPr>
                <w:rFonts w:ascii="Arial" w:hAnsi="Arial" w:cs="Arial"/>
                <w:sz w:val="20"/>
              </w:rPr>
            </w:pPr>
            <w:r w:rsidRPr="00806B7F">
              <w:rPr>
                <w:rFonts w:ascii="Arial" w:hAnsi="Arial" w:cs="Arial"/>
                <w:sz w:val="20"/>
              </w:rPr>
              <w:t>Innovation Fund</w:t>
            </w:r>
          </w:p>
        </w:tc>
        <w:tc>
          <w:tcPr>
            <w:tcW w:w="1276" w:type="dxa"/>
          </w:tcPr>
          <w:p w14:paraId="48EDDA5B" w14:textId="77777777" w:rsidR="00CA11D6" w:rsidRPr="00806B7F" w:rsidRDefault="00CA11D6" w:rsidP="00A369A1">
            <w:pPr>
              <w:jc w:val="center"/>
              <w:rPr>
                <w:rFonts w:ascii="Arial" w:hAnsi="Arial" w:cs="Arial"/>
                <w:b/>
                <w:sz w:val="20"/>
              </w:rPr>
            </w:pPr>
            <w:r w:rsidRPr="00806B7F">
              <w:rPr>
                <w:rFonts w:ascii="Arial" w:hAnsi="Arial" w:cs="Arial"/>
                <w:sz w:val="20"/>
              </w:rPr>
              <w:t>0.5</w:t>
            </w:r>
          </w:p>
        </w:tc>
        <w:tc>
          <w:tcPr>
            <w:tcW w:w="1275" w:type="dxa"/>
          </w:tcPr>
          <w:p w14:paraId="67DEBE55" w14:textId="77777777" w:rsidR="00CA11D6" w:rsidRPr="00806B7F" w:rsidRDefault="00CA11D6" w:rsidP="00A369A1">
            <w:pPr>
              <w:jc w:val="center"/>
              <w:rPr>
                <w:rFonts w:ascii="Arial" w:hAnsi="Arial" w:cs="Arial"/>
                <w:b/>
                <w:sz w:val="20"/>
              </w:rPr>
            </w:pPr>
            <w:r w:rsidRPr="00806B7F">
              <w:rPr>
                <w:rFonts w:ascii="Arial" w:hAnsi="Arial" w:cs="Arial"/>
                <w:sz w:val="20"/>
              </w:rPr>
              <w:t>0.1</w:t>
            </w:r>
          </w:p>
        </w:tc>
        <w:tc>
          <w:tcPr>
            <w:tcW w:w="5103" w:type="dxa"/>
          </w:tcPr>
          <w:p w14:paraId="6738A495" w14:textId="77777777" w:rsidR="00CA11D6" w:rsidRPr="00806B7F" w:rsidRDefault="00CA11D6" w:rsidP="00A369A1">
            <w:pPr>
              <w:jc w:val="both"/>
              <w:rPr>
                <w:rFonts w:ascii="Arial" w:hAnsi="Arial" w:cs="Arial"/>
                <w:sz w:val="20"/>
              </w:rPr>
            </w:pPr>
            <w:r w:rsidRPr="00806B7F">
              <w:rPr>
                <w:rFonts w:ascii="Arial" w:hAnsi="Arial" w:cs="Arial"/>
                <w:sz w:val="20"/>
              </w:rPr>
              <w:t>The Authority created an Innovations Fund to meet costs arising from new initiatives/developments which improve service delivery or fire fighter safety, but which are not included in the capital programme.</w:t>
            </w:r>
          </w:p>
          <w:p w14:paraId="030EE2F1" w14:textId="77777777" w:rsidR="00CA11D6" w:rsidRPr="00806B7F" w:rsidRDefault="00CA11D6" w:rsidP="00A369A1">
            <w:pPr>
              <w:jc w:val="both"/>
              <w:rPr>
                <w:rFonts w:ascii="Arial" w:hAnsi="Arial" w:cs="Arial"/>
                <w:sz w:val="20"/>
              </w:rPr>
            </w:pPr>
            <w:r w:rsidRPr="00806B7F">
              <w:rPr>
                <w:rFonts w:ascii="Arial" w:hAnsi="Arial" w:cs="Arial"/>
                <w:sz w:val="20"/>
              </w:rPr>
              <w:t xml:space="preserve">Any requests to utilise the fund require the approval of the Executive Board. </w:t>
            </w:r>
          </w:p>
          <w:p w14:paraId="6D24DFDC" w14:textId="77777777" w:rsidR="00CA11D6" w:rsidRPr="00806B7F" w:rsidRDefault="00CA11D6" w:rsidP="00A369A1">
            <w:pPr>
              <w:jc w:val="both"/>
              <w:rPr>
                <w:rFonts w:ascii="Arial" w:hAnsi="Arial" w:cs="Arial"/>
                <w:sz w:val="20"/>
              </w:rPr>
            </w:pPr>
            <w:r w:rsidRPr="00806B7F">
              <w:rPr>
                <w:rFonts w:ascii="Arial" w:hAnsi="Arial" w:cs="Arial"/>
                <w:sz w:val="20"/>
              </w:rPr>
              <w:t>The capital program shows £0.4m of this being utilised in 24/25 to fund the provision of a second Vehicle Mounted Data Systems (VMDS) unit in each fire appliances, thus enhancing the capabilities of crews whilst mobile</w:t>
            </w:r>
          </w:p>
          <w:p w14:paraId="3AACF07D" w14:textId="77777777" w:rsidR="00CA11D6" w:rsidRPr="00806B7F" w:rsidRDefault="00CA11D6" w:rsidP="00A369A1">
            <w:pPr>
              <w:jc w:val="both"/>
              <w:rPr>
                <w:rFonts w:ascii="Arial" w:hAnsi="Arial" w:cs="Arial"/>
                <w:sz w:val="20"/>
              </w:rPr>
            </w:pPr>
            <w:r w:rsidRPr="00806B7F">
              <w:rPr>
                <w:rFonts w:ascii="Arial" w:hAnsi="Arial" w:cs="Arial"/>
                <w:sz w:val="20"/>
              </w:rPr>
              <w:t>If the opportunity arises this will be topped up from future savings.</w:t>
            </w:r>
          </w:p>
          <w:p w14:paraId="1792B5AB" w14:textId="77777777" w:rsidR="00CA11D6" w:rsidRPr="00806B7F" w:rsidRDefault="00CA11D6" w:rsidP="00A369A1">
            <w:pPr>
              <w:jc w:val="both"/>
              <w:rPr>
                <w:rFonts w:ascii="Arial" w:hAnsi="Arial" w:cs="Arial"/>
                <w:sz w:val="20"/>
              </w:rPr>
            </w:pPr>
            <w:r w:rsidRPr="00806B7F">
              <w:rPr>
                <w:rFonts w:ascii="Arial" w:hAnsi="Arial" w:cs="Arial"/>
                <w:sz w:val="20"/>
              </w:rPr>
              <w:t>None of this reserve is contractually or legally committed at the present time.</w:t>
            </w:r>
          </w:p>
        </w:tc>
      </w:tr>
      <w:tr w:rsidR="00CA11D6" w:rsidRPr="00806B7F" w14:paraId="361C7B92" w14:textId="77777777" w:rsidTr="00A369A1">
        <w:tc>
          <w:tcPr>
            <w:tcW w:w="1526" w:type="dxa"/>
          </w:tcPr>
          <w:p w14:paraId="053BA2DF" w14:textId="77777777" w:rsidR="00CA11D6" w:rsidRPr="00806B7F" w:rsidRDefault="00CA11D6" w:rsidP="00A369A1">
            <w:pPr>
              <w:rPr>
                <w:rFonts w:ascii="Arial" w:hAnsi="Arial" w:cs="Arial"/>
                <w:sz w:val="20"/>
              </w:rPr>
            </w:pPr>
          </w:p>
        </w:tc>
        <w:tc>
          <w:tcPr>
            <w:tcW w:w="1276" w:type="dxa"/>
          </w:tcPr>
          <w:p w14:paraId="5BE3EBC0" w14:textId="77777777" w:rsidR="00CA11D6" w:rsidRPr="00806B7F" w:rsidRDefault="00CA11D6" w:rsidP="00A369A1">
            <w:pPr>
              <w:jc w:val="center"/>
              <w:rPr>
                <w:rFonts w:ascii="Arial" w:hAnsi="Arial" w:cs="Arial"/>
                <w:sz w:val="20"/>
              </w:rPr>
            </w:pPr>
            <w:r w:rsidRPr="00806B7F">
              <w:rPr>
                <w:rFonts w:ascii="Arial" w:hAnsi="Arial" w:cs="Arial"/>
                <w:sz w:val="20"/>
              </w:rPr>
              <w:t>2.6</w:t>
            </w:r>
          </w:p>
        </w:tc>
        <w:tc>
          <w:tcPr>
            <w:tcW w:w="1275" w:type="dxa"/>
          </w:tcPr>
          <w:p w14:paraId="51D7FB11" w14:textId="77777777" w:rsidR="00CA11D6" w:rsidRPr="00806B7F" w:rsidRDefault="00CA11D6" w:rsidP="00A369A1">
            <w:pPr>
              <w:jc w:val="center"/>
              <w:rPr>
                <w:rFonts w:ascii="Arial" w:hAnsi="Arial" w:cs="Arial"/>
                <w:sz w:val="20"/>
              </w:rPr>
            </w:pPr>
            <w:r w:rsidRPr="00806B7F">
              <w:rPr>
                <w:rFonts w:ascii="Arial" w:hAnsi="Arial" w:cs="Arial"/>
                <w:sz w:val="20"/>
              </w:rPr>
              <w:t>1.9</w:t>
            </w:r>
          </w:p>
        </w:tc>
        <w:tc>
          <w:tcPr>
            <w:tcW w:w="5103" w:type="dxa"/>
          </w:tcPr>
          <w:p w14:paraId="65C79E9B" w14:textId="77777777" w:rsidR="00CA11D6" w:rsidRPr="00806B7F" w:rsidRDefault="00CA11D6" w:rsidP="00A369A1">
            <w:pPr>
              <w:jc w:val="both"/>
              <w:rPr>
                <w:rFonts w:ascii="Arial" w:hAnsi="Arial" w:cs="Arial"/>
                <w:sz w:val="20"/>
              </w:rPr>
            </w:pPr>
          </w:p>
        </w:tc>
      </w:tr>
    </w:tbl>
    <w:p w14:paraId="7DBD7304" w14:textId="77777777" w:rsidR="00CA11D6" w:rsidRPr="00806B7F" w:rsidRDefault="00CA11D6" w:rsidP="00CA11D6">
      <w:pPr>
        <w:jc w:val="both"/>
        <w:rPr>
          <w:rFonts w:ascii="Arial" w:hAnsi="Arial" w:cs="Arial"/>
          <w:color w:val="000000" w:themeColor="text1"/>
          <w:sz w:val="20"/>
        </w:rPr>
      </w:pPr>
    </w:p>
    <w:p w14:paraId="67F25EA1" w14:textId="77777777" w:rsidR="00CA11D6" w:rsidRPr="00806B7F" w:rsidRDefault="00CA11D6" w:rsidP="00CA11D6">
      <w:pPr>
        <w:jc w:val="both"/>
        <w:rPr>
          <w:rFonts w:ascii="Arial" w:hAnsi="Arial" w:cs="Arial"/>
          <w:sz w:val="20"/>
        </w:rPr>
      </w:pPr>
      <w:r w:rsidRPr="00806B7F">
        <w:rPr>
          <w:rFonts w:ascii="Arial" w:hAnsi="Arial" w:cs="Arial"/>
          <w:color w:val="000000" w:themeColor="text1"/>
          <w:sz w:val="20"/>
        </w:rPr>
        <w:t>Based on this the</w:t>
      </w:r>
      <w:r w:rsidRPr="00806B7F">
        <w:rPr>
          <w:rFonts w:ascii="Arial" w:hAnsi="Arial" w:cs="Arial"/>
          <w:sz w:val="20"/>
        </w:rPr>
        <w:t xml:space="preserve"> Treasurer believes these are adequate to meet future requirements in the medium term.</w:t>
      </w:r>
    </w:p>
    <w:p w14:paraId="58254232" w14:textId="266DC1BB" w:rsidR="004827FA" w:rsidRDefault="004827FA">
      <w:pPr>
        <w:rPr>
          <w:rFonts w:ascii="Arial" w:hAnsi="Arial" w:cs="Arial"/>
          <w:color w:val="000000" w:themeColor="text1"/>
          <w:sz w:val="20"/>
        </w:rPr>
      </w:pPr>
      <w:r>
        <w:rPr>
          <w:rFonts w:ascii="Arial" w:hAnsi="Arial" w:cs="Arial"/>
          <w:color w:val="000000" w:themeColor="text1"/>
          <w:sz w:val="20"/>
        </w:rPr>
        <w:br w:type="page"/>
      </w:r>
    </w:p>
    <w:p w14:paraId="28694DBC" w14:textId="77777777" w:rsidR="00CA11D6" w:rsidRPr="00806B7F" w:rsidRDefault="00CA11D6" w:rsidP="00CA11D6">
      <w:pPr>
        <w:jc w:val="both"/>
        <w:rPr>
          <w:rFonts w:ascii="Arial" w:hAnsi="Arial" w:cs="Arial"/>
          <w:b/>
          <w:color w:val="000000" w:themeColor="text1"/>
          <w:sz w:val="20"/>
        </w:rPr>
      </w:pPr>
      <w:r w:rsidRPr="00806B7F">
        <w:rPr>
          <w:rFonts w:ascii="Arial" w:hAnsi="Arial" w:cs="Arial"/>
          <w:b/>
          <w:color w:val="000000" w:themeColor="text1"/>
          <w:sz w:val="20"/>
        </w:rPr>
        <w:t>PFI Reserve</w:t>
      </w:r>
    </w:p>
    <w:p w14:paraId="6AD7E968" w14:textId="77777777" w:rsidR="00CA11D6" w:rsidRPr="00806B7F" w:rsidRDefault="00CA11D6" w:rsidP="00CA11D6">
      <w:pPr>
        <w:pStyle w:val="BodyText3"/>
        <w:jc w:val="both"/>
        <w:rPr>
          <w:rFonts w:ascii="Arial" w:hAnsi="Arial" w:cs="Arial"/>
          <w:color w:val="000000" w:themeColor="text1"/>
          <w:sz w:val="20"/>
          <w:szCs w:val="20"/>
        </w:rPr>
      </w:pPr>
    </w:p>
    <w:p w14:paraId="782218E3"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This reserve was created specifically to smooth out the annual net cost to the Authority of the existing PFI </w:t>
      </w:r>
      <w:proofErr w:type="gramStart"/>
      <w:r w:rsidRPr="00806B7F">
        <w:rPr>
          <w:rFonts w:ascii="Arial" w:hAnsi="Arial" w:cs="Arial"/>
          <w:color w:val="000000" w:themeColor="text1"/>
          <w:sz w:val="20"/>
        </w:rPr>
        <w:t>schemes, and</w:t>
      </w:r>
      <w:proofErr w:type="gramEnd"/>
      <w:r w:rsidRPr="00806B7F">
        <w:rPr>
          <w:rFonts w:ascii="Arial" w:hAnsi="Arial" w:cs="Arial"/>
          <w:color w:val="000000" w:themeColor="text1"/>
          <w:sz w:val="20"/>
        </w:rPr>
        <w:t xml:space="preserve"> will be required to meet future contract payments. </w:t>
      </w:r>
    </w:p>
    <w:p w14:paraId="4F21C210" w14:textId="77777777" w:rsidR="00CA11D6" w:rsidRPr="00806B7F" w:rsidRDefault="00CA11D6" w:rsidP="00CA11D6">
      <w:pPr>
        <w:jc w:val="both"/>
        <w:rPr>
          <w:rFonts w:ascii="Arial" w:hAnsi="Arial" w:cs="Arial"/>
          <w:color w:val="000000" w:themeColor="text1"/>
          <w:sz w:val="20"/>
        </w:rPr>
      </w:pPr>
    </w:p>
    <w:p w14:paraId="5D1EB48E"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The following table sets out the purpose of this reserve, how it is utilised, </w:t>
      </w:r>
      <w:proofErr w:type="gramStart"/>
      <w:r w:rsidRPr="00806B7F">
        <w:rPr>
          <w:rFonts w:ascii="Arial" w:hAnsi="Arial" w:cs="Arial"/>
          <w:color w:val="000000" w:themeColor="text1"/>
          <w:sz w:val="20"/>
        </w:rPr>
        <w:t>controlled</w:t>
      </w:r>
      <w:proofErr w:type="gramEnd"/>
      <w:r w:rsidRPr="00806B7F">
        <w:rPr>
          <w:rFonts w:ascii="Arial" w:hAnsi="Arial" w:cs="Arial"/>
          <w:color w:val="000000" w:themeColor="text1"/>
          <w:sz w:val="20"/>
        </w:rPr>
        <w:t xml:space="preserve"> and reviewed.</w:t>
      </w:r>
    </w:p>
    <w:p w14:paraId="7E019621" w14:textId="77777777" w:rsidR="00CA11D6" w:rsidRPr="00806B7F" w:rsidRDefault="00CA11D6" w:rsidP="00CA11D6">
      <w:pPr>
        <w:jc w:val="both"/>
        <w:rPr>
          <w:rFonts w:ascii="Arial" w:hAnsi="Arial" w:cs="Arial"/>
          <w:color w:val="000000" w:themeColor="text1"/>
          <w:sz w:val="20"/>
        </w:rPr>
      </w:pPr>
    </w:p>
    <w:p w14:paraId="1DE97B6F"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5 Summary of Earmarked Reserve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CA11D6" w:rsidRPr="00806B7F" w14:paraId="6CC31CDC" w14:textId="77777777" w:rsidTr="00A369A1">
        <w:tc>
          <w:tcPr>
            <w:tcW w:w="1418" w:type="dxa"/>
          </w:tcPr>
          <w:p w14:paraId="21310627"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Name</w:t>
            </w:r>
          </w:p>
        </w:tc>
        <w:tc>
          <w:tcPr>
            <w:tcW w:w="7654" w:type="dxa"/>
          </w:tcPr>
          <w:p w14:paraId="70C5BBD0"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Earmarked</w:t>
            </w:r>
          </w:p>
        </w:tc>
      </w:tr>
      <w:tr w:rsidR="00CA11D6" w:rsidRPr="00806B7F" w14:paraId="6D13F0DD" w14:textId="77777777" w:rsidTr="00A369A1">
        <w:tc>
          <w:tcPr>
            <w:tcW w:w="1418" w:type="dxa"/>
          </w:tcPr>
          <w:p w14:paraId="14371F55"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Purpose</w:t>
            </w:r>
          </w:p>
        </w:tc>
        <w:tc>
          <w:tcPr>
            <w:tcW w:w="7654" w:type="dxa"/>
          </w:tcPr>
          <w:p w14:paraId="21B9B9A7"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 xml:space="preserve">This covers monies set aside to smooth out costs associated with the Authorities PFI </w:t>
            </w:r>
            <w:proofErr w:type="gramStart"/>
            <w:r w:rsidRPr="00806B7F">
              <w:rPr>
                <w:rFonts w:ascii="Arial" w:hAnsi="Arial" w:cs="Arial"/>
                <w:color w:val="000000" w:themeColor="text1"/>
                <w:sz w:val="20"/>
              </w:rPr>
              <w:t>schemes,  and</w:t>
            </w:r>
            <w:proofErr w:type="gramEnd"/>
            <w:r w:rsidRPr="00806B7F">
              <w:rPr>
                <w:rFonts w:ascii="Arial" w:hAnsi="Arial" w:cs="Arial"/>
                <w:color w:val="000000" w:themeColor="text1"/>
                <w:sz w:val="20"/>
              </w:rPr>
              <w:t xml:space="preserve"> is required to meet future contract payments.</w:t>
            </w:r>
          </w:p>
        </w:tc>
      </w:tr>
      <w:tr w:rsidR="00CA11D6" w:rsidRPr="00806B7F" w14:paraId="2DC2E3DC" w14:textId="77777777" w:rsidTr="00A369A1">
        <w:tc>
          <w:tcPr>
            <w:tcW w:w="1418" w:type="dxa"/>
          </w:tcPr>
          <w:p w14:paraId="310C4D2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Utilisation</w:t>
            </w:r>
          </w:p>
        </w:tc>
        <w:tc>
          <w:tcPr>
            <w:tcW w:w="7654" w:type="dxa"/>
          </w:tcPr>
          <w:p w14:paraId="3FF8257C"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This reserve can only be used for the specific purpose for which it was established, i.e. meet future PFI costs.</w:t>
            </w:r>
          </w:p>
        </w:tc>
      </w:tr>
      <w:tr w:rsidR="00CA11D6" w:rsidRPr="00806B7F" w14:paraId="54CA8DC8" w14:textId="77777777" w:rsidTr="00A369A1">
        <w:tc>
          <w:tcPr>
            <w:tcW w:w="1418" w:type="dxa"/>
          </w:tcPr>
          <w:p w14:paraId="28AC3249"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Controls</w:t>
            </w:r>
          </w:p>
        </w:tc>
        <w:tc>
          <w:tcPr>
            <w:tcW w:w="7654" w:type="dxa"/>
          </w:tcPr>
          <w:p w14:paraId="7111D94F" w14:textId="77777777" w:rsidR="00CA11D6" w:rsidRPr="00806B7F" w:rsidRDefault="00CA11D6" w:rsidP="00A369A1">
            <w:pPr>
              <w:jc w:val="both"/>
              <w:rPr>
                <w:rFonts w:ascii="Arial" w:hAnsi="Arial" w:cs="Arial"/>
                <w:color w:val="000000" w:themeColor="text1"/>
                <w:sz w:val="20"/>
              </w:rPr>
            </w:pPr>
            <w:r w:rsidRPr="00806B7F">
              <w:rPr>
                <w:rFonts w:ascii="Arial" w:hAnsi="Arial" w:cs="Arial"/>
                <w:color w:val="000000" w:themeColor="text1"/>
                <w:sz w:val="20"/>
              </w:rPr>
              <w:t xml:space="preserve">The utilisation of this is set out in the budget agreed at the start of the year, any variance in requirements from this are agreed by the Treasurer as part of the budget setting/revenue outturn/annual accounts processes. </w:t>
            </w:r>
          </w:p>
        </w:tc>
      </w:tr>
      <w:tr w:rsidR="00CA11D6" w:rsidRPr="00806B7F" w14:paraId="1844877E" w14:textId="77777777" w:rsidTr="00A369A1">
        <w:tc>
          <w:tcPr>
            <w:tcW w:w="1418" w:type="dxa"/>
          </w:tcPr>
          <w:p w14:paraId="79AE02A7"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Review</w:t>
            </w:r>
          </w:p>
        </w:tc>
        <w:tc>
          <w:tcPr>
            <w:tcW w:w="7654" w:type="dxa"/>
          </w:tcPr>
          <w:p w14:paraId="23A8A812"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 level of the reserve is reviewed each year as part of the revenue outturn/annual accounts process to ensure these are reasonable and remain relevant.</w:t>
            </w:r>
          </w:p>
        </w:tc>
      </w:tr>
    </w:tbl>
    <w:p w14:paraId="180EB528" w14:textId="77777777" w:rsidR="00CA11D6" w:rsidRPr="00806B7F" w:rsidRDefault="00CA11D6" w:rsidP="00CA11D6">
      <w:pPr>
        <w:ind w:left="1080"/>
        <w:jc w:val="both"/>
        <w:rPr>
          <w:rFonts w:ascii="Arial" w:hAnsi="Arial" w:cs="Arial"/>
          <w:color w:val="000000" w:themeColor="text1"/>
          <w:sz w:val="20"/>
          <w:highlight w:val="yellow"/>
        </w:rPr>
      </w:pPr>
    </w:p>
    <w:p w14:paraId="074884D8" w14:textId="77777777" w:rsidR="00CA11D6" w:rsidRPr="00806B7F" w:rsidRDefault="00CA11D6" w:rsidP="00CA11D6">
      <w:pPr>
        <w:jc w:val="both"/>
        <w:rPr>
          <w:rFonts w:ascii="Arial" w:hAnsi="Arial" w:cs="Arial"/>
          <w:color w:val="000000" w:themeColor="text1"/>
          <w:sz w:val="20"/>
          <w:u w:val="single"/>
        </w:rPr>
      </w:pPr>
      <w:r w:rsidRPr="00806B7F">
        <w:rPr>
          <w:rFonts w:ascii="Arial" w:hAnsi="Arial" w:cs="Arial"/>
          <w:color w:val="000000" w:themeColor="text1"/>
          <w:sz w:val="20"/>
          <w:u w:val="single"/>
        </w:rPr>
        <w:t>Level of PFI Reserve</w:t>
      </w:r>
    </w:p>
    <w:p w14:paraId="041D069F" w14:textId="77777777" w:rsidR="00CA11D6" w:rsidRPr="00806B7F" w:rsidRDefault="00CA11D6" w:rsidP="00CA11D6">
      <w:pPr>
        <w:jc w:val="both"/>
        <w:rPr>
          <w:rFonts w:ascii="Arial" w:hAnsi="Arial" w:cs="Arial"/>
          <w:color w:val="000000" w:themeColor="text1"/>
          <w:sz w:val="20"/>
          <w:u w:val="single"/>
        </w:rPr>
      </w:pPr>
    </w:p>
    <w:p w14:paraId="6893C56B"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At 31 March 2023, the Authority anticipates holding £4.9m of PFI reserve. </w:t>
      </w:r>
      <w:r w:rsidRPr="00806B7F">
        <w:rPr>
          <w:rFonts w:ascii="Arial" w:hAnsi="Arial" w:cs="Arial"/>
          <w:sz w:val="20"/>
        </w:rPr>
        <w:t>The reduction of this reserve in subsequent years reflecting its drawdown to offset future charges, with the reserve r</w:t>
      </w:r>
      <w:r w:rsidRPr="00806B7F">
        <w:rPr>
          <w:rFonts w:ascii="Arial" w:hAnsi="Arial" w:cs="Arial"/>
          <w:color w:val="000000" w:themeColor="text1"/>
          <w:sz w:val="20"/>
        </w:rPr>
        <w:t>educing to £3.7m by March 2028.</w:t>
      </w:r>
    </w:p>
    <w:p w14:paraId="08099AE7" w14:textId="77777777" w:rsidR="00CA11D6" w:rsidRPr="00806B7F" w:rsidRDefault="00CA11D6" w:rsidP="00DB5DCF">
      <w:pPr>
        <w:rPr>
          <w:rFonts w:ascii="Arial" w:hAnsi="Arial" w:cs="Arial"/>
          <w:sz w:val="20"/>
        </w:rPr>
      </w:pPr>
    </w:p>
    <w:p w14:paraId="73883B26"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Assuming RPI returns to 3% in future years the whole of this reserve is contractually committed over the next 20 years. </w:t>
      </w:r>
    </w:p>
    <w:p w14:paraId="4C521997" w14:textId="77777777" w:rsidR="00CA11D6" w:rsidRPr="00806B7F" w:rsidRDefault="00CA11D6" w:rsidP="00CA11D6">
      <w:pPr>
        <w:jc w:val="both"/>
        <w:rPr>
          <w:rFonts w:ascii="Arial" w:hAnsi="Arial" w:cs="Arial"/>
          <w:color w:val="000000" w:themeColor="text1"/>
          <w:sz w:val="20"/>
        </w:rPr>
      </w:pPr>
    </w:p>
    <w:p w14:paraId="04AC8835" w14:textId="77777777" w:rsidR="00CA11D6" w:rsidRPr="00806B7F" w:rsidRDefault="00CA11D6" w:rsidP="00CA11D6">
      <w:pPr>
        <w:jc w:val="both"/>
        <w:rPr>
          <w:rFonts w:ascii="Arial" w:hAnsi="Arial" w:cs="Arial"/>
          <w:sz w:val="20"/>
        </w:rPr>
      </w:pPr>
      <w:r w:rsidRPr="00806B7F">
        <w:rPr>
          <w:rFonts w:ascii="Arial" w:hAnsi="Arial" w:cs="Arial"/>
          <w:color w:val="000000" w:themeColor="text1"/>
          <w:sz w:val="20"/>
        </w:rPr>
        <w:t xml:space="preserve">Based on this the </w:t>
      </w:r>
      <w:r w:rsidRPr="00806B7F">
        <w:rPr>
          <w:rFonts w:ascii="Arial" w:hAnsi="Arial" w:cs="Arial"/>
          <w:sz w:val="20"/>
        </w:rPr>
        <w:t>Treasurer believes this is adequate to meet future requirements.</w:t>
      </w:r>
    </w:p>
    <w:p w14:paraId="69F1FE44" w14:textId="77777777" w:rsidR="00CA11D6" w:rsidRPr="00806B7F" w:rsidRDefault="00CA11D6" w:rsidP="00CA11D6">
      <w:pPr>
        <w:jc w:val="both"/>
        <w:rPr>
          <w:rFonts w:ascii="Arial" w:hAnsi="Arial" w:cs="Arial"/>
          <w:b/>
          <w:color w:val="000000" w:themeColor="text1"/>
          <w:sz w:val="20"/>
        </w:rPr>
      </w:pPr>
    </w:p>
    <w:p w14:paraId="03B46C92" w14:textId="77777777" w:rsidR="00CA11D6" w:rsidRPr="00806B7F" w:rsidRDefault="00CA11D6" w:rsidP="00CA11D6">
      <w:pPr>
        <w:jc w:val="both"/>
        <w:rPr>
          <w:rFonts w:ascii="Arial" w:hAnsi="Arial" w:cs="Arial"/>
          <w:b/>
          <w:color w:val="000000" w:themeColor="text1"/>
          <w:sz w:val="20"/>
        </w:rPr>
      </w:pPr>
      <w:r w:rsidRPr="00806B7F">
        <w:rPr>
          <w:rFonts w:ascii="Arial" w:hAnsi="Arial" w:cs="Arial"/>
          <w:b/>
          <w:color w:val="000000" w:themeColor="text1"/>
          <w:sz w:val="20"/>
        </w:rPr>
        <w:t>Capital Reserves and Receipts</w:t>
      </w:r>
    </w:p>
    <w:p w14:paraId="3BB5C5CD" w14:textId="77777777" w:rsidR="00CA11D6" w:rsidRPr="00DB5DCF" w:rsidRDefault="00CA11D6" w:rsidP="00DB5DCF">
      <w:pPr>
        <w:rPr>
          <w:rFonts w:ascii="Arial" w:hAnsi="Arial" w:cs="Arial"/>
          <w:sz w:val="20"/>
        </w:rPr>
      </w:pPr>
    </w:p>
    <w:p w14:paraId="47721C1E"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Capital Reserves have been created from under spends on the revenue budget to provide additional funding to support the capital programme in future years; as such they cannot be used to offset any deficit on the revenue budget, without having a significant impact on the capital programme that the Authority can support.</w:t>
      </w:r>
    </w:p>
    <w:p w14:paraId="7FAD9225" w14:textId="77777777" w:rsidR="00CA11D6" w:rsidRPr="00806B7F" w:rsidRDefault="00CA11D6" w:rsidP="00CA11D6">
      <w:pPr>
        <w:jc w:val="both"/>
        <w:rPr>
          <w:rFonts w:ascii="Arial" w:hAnsi="Arial" w:cs="Arial"/>
          <w:color w:val="000000" w:themeColor="text1"/>
          <w:sz w:val="20"/>
        </w:rPr>
      </w:pPr>
    </w:p>
    <w:p w14:paraId="40CCA12F" w14:textId="77777777" w:rsidR="00CA11D6" w:rsidRPr="00806B7F" w:rsidRDefault="00CA11D6" w:rsidP="00CA11D6">
      <w:pPr>
        <w:jc w:val="both"/>
        <w:rPr>
          <w:rFonts w:ascii="Arial" w:hAnsi="Arial" w:cs="Arial"/>
          <w:color w:val="000000" w:themeColor="text1"/>
          <w:sz w:val="20"/>
        </w:rPr>
      </w:pPr>
      <w:r w:rsidRPr="00806B7F">
        <w:rPr>
          <w:rFonts w:ascii="Arial" w:hAnsi="Arial" w:cs="Arial"/>
          <w:color w:val="000000" w:themeColor="text1"/>
          <w:sz w:val="20"/>
        </w:rPr>
        <w:t xml:space="preserve">Capital Receipts are generated from the sale of surplus assets, which have not yet been utilised to fund the capital programme. Under revised regulations receipts generated between April 2016 and March 2020 can be used to meet qualifying revenue costs, i.e. set up and implementation costs of projects/schemes which are forecast to generate on-going savings. The on-going costs of such projects/schemes do not qualify. Whilst the Authority currently holds £1.7m of capital receipts only £0.2m of this arose in the relevant period. Given the small amount eligible we do not currently have any plans to use this in line with new regulations and hence for the purpose of planning all capital receipts will be used to meet future capital costs, not qualifying revenue expenditure. </w:t>
      </w:r>
    </w:p>
    <w:p w14:paraId="055058C7" w14:textId="77777777" w:rsidR="00CA11D6" w:rsidRPr="00806B7F" w:rsidRDefault="00CA11D6" w:rsidP="00CA11D6">
      <w:pPr>
        <w:jc w:val="both"/>
        <w:rPr>
          <w:rFonts w:ascii="Arial" w:hAnsi="Arial" w:cs="Arial"/>
          <w:color w:val="000000" w:themeColor="text1"/>
          <w:sz w:val="20"/>
          <w:highlight w:val="yellow"/>
        </w:rPr>
      </w:pPr>
    </w:p>
    <w:p w14:paraId="766A6F74" w14:textId="77777777" w:rsidR="00CA11D6" w:rsidRPr="00806B7F" w:rsidRDefault="00CA11D6" w:rsidP="00CA11D6">
      <w:pPr>
        <w:rPr>
          <w:rFonts w:ascii="Arial" w:hAnsi="Arial" w:cs="Arial"/>
          <w:color w:val="000000" w:themeColor="text1"/>
          <w:sz w:val="20"/>
        </w:rPr>
      </w:pPr>
      <w:r w:rsidRPr="00806B7F">
        <w:rPr>
          <w:rFonts w:ascii="Arial" w:hAnsi="Arial" w:cs="Arial"/>
          <w:color w:val="000000" w:themeColor="text1"/>
          <w:sz w:val="20"/>
        </w:rPr>
        <w:t xml:space="preserve">The following table sets out the purpose of this reserve, how it is utilised, </w:t>
      </w:r>
      <w:proofErr w:type="gramStart"/>
      <w:r w:rsidRPr="00806B7F">
        <w:rPr>
          <w:rFonts w:ascii="Arial" w:hAnsi="Arial" w:cs="Arial"/>
          <w:color w:val="000000" w:themeColor="text1"/>
          <w:sz w:val="20"/>
        </w:rPr>
        <w:t>controlled</w:t>
      </w:r>
      <w:proofErr w:type="gramEnd"/>
      <w:r w:rsidRPr="00806B7F">
        <w:rPr>
          <w:rFonts w:ascii="Arial" w:hAnsi="Arial" w:cs="Arial"/>
          <w:color w:val="000000" w:themeColor="text1"/>
          <w:sz w:val="20"/>
        </w:rPr>
        <w:t xml:space="preserve"> and reviewed.</w:t>
      </w:r>
    </w:p>
    <w:p w14:paraId="6C42B8F0" w14:textId="77777777" w:rsidR="00CA11D6" w:rsidRPr="00806B7F" w:rsidRDefault="00CA11D6" w:rsidP="00CA11D6">
      <w:pPr>
        <w:jc w:val="both"/>
        <w:rPr>
          <w:rFonts w:ascii="Arial" w:hAnsi="Arial" w:cs="Arial"/>
          <w:color w:val="000000" w:themeColor="text1"/>
          <w:sz w:val="20"/>
          <w:highlight w:val="yellow"/>
        </w:rPr>
      </w:pPr>
    </w:p>
    <w:p w14:paraId="56BDBC82"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6 Summary of Capital Reserves and Receipts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796"/>
      </w:tblGrid>
      <w:tr w:rsidR="00CA11D6" w:rsidRPr="00806B7F" w14:paraId="207BDF59" w14:textId="77777777" w:rsidTr="00A369A1">
        <w:tc>
          <w:tcPr>
            <w:tcW w:w="1276" w:type="dxa"/>
          </w:tcPr>
          <w:p w14:paraId="47F5A1AA"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Name</w:t>
            </w:r>
          </w:p>
        </w:tc>
        <w:tc>
          <w:tcPr>
            <w:tcW w:w="7796" w:type="dxa"/>
          </w:tcPr>
          <w:p w14:paraId="3547D9D0"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Capital reserves and receipts</w:t>
            </w:r>
          </w:p>
        </w:tc>
      </w:tr>
      <w:tr w:rsidR="00CA11D6" w:rsidRPr="00806B7F" w14:paraId="6BCAA4FE" w14:textId="77777777" w:rsidTr="00A369A1">
        <w:tc>
          <w:tcPr>
            <w:tcW w:w="1276" w:type="dxa"/>
          </w:tcPr>
          <w:p w14:paraId="4B342A8E"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Purpose</w:t>
            </w:r>
          </w:p>
        </w:tc>
        <w:tc>
          <w:tcPr>
            <w:tcW w:w="7796" w:type="dxa"/>
          </w:tcPr>
          <w:p w14:paraId="2B515F88"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This covers monies set aside to fund the future capital programme.</w:t>
            </w:r>
          </w:p>
        </w:tc>
      </w:tr>
      <w:tr w:rsidR="00CA11D6" w:rsidRPr="00806B7F" w14:paraId="403E765F" w14:textId="77777777" w:rsidTr="00A369A1">
        <w:tc>
          <w:tcPr>
            <w:tcW w:w="1276" w:type="dxa"/>
          </w:tcPr>
          <w:p w14:paraId="5828942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Utilisation</w:t>
            </w:r>
          </w:p>
        </w:tc>
        <w:tc>
          <w:tcPr>
            <w:tcW w:w="7796" w:type="dxa"/>
          </w:tcPr>
          <w:p w14:paraId="27C80A43"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 xml:space="preserve">Once set up these reserves can only be used to fund capital expenditure </w:t>
            </w:r>
          </w:p>
        </w:tc>
      </w:tr>
      <w:tr w:rsidR="00CA11D6" w:rsidRPr="00806B7F" w14:paraId="783DAFB6" w14:textId="77777777" w:rsidTr="00A369A1">
        <w:tc>
          <w:tcPr>
            <w:tcW w:w="1276" w:type="dxa"/>
          </w:tcPr>
          <w:p w14:paraId="374FDFAC"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Controls</w:t>
            </w:r>
          </w:p>
        </w:tc>
        <w:tc>
          <w:tcPr>
            <w:tcW w:w="7796" w:type="dxa"/>
          </w:tcPr>
          <w:p w14:paraId="0E449610"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 proposed utilisation of these is reported to the Authority as part of the capital programme setting and monitoring arrangements.</w:t>
            </w:r>
          </w:p>
        </w:tc>
      </w:tr>
      <w:tr w:rsidR="00CA11D6" w:rsidRPr="00806B7F" w14:paraId="2ABF2239" w14:textId="77777777" w:rsidTr="00A369A1">
        <w:tc>
          <w:tcPr>
            <w:tcW w:w="1276" w:type="dxa"/>
          </w:tcPr>
          <w:p w14:paraId="718AD96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Review</w:t>
            </w:r>
          </w:p>
        </w:tc>
        <w:tc>
          <w:tcPr>
            <w:tcW w:w="7796" w:type="dxa"/>
          </w:tcPr>
          <w:p w14:paraId="76C2D05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These are reviewed on an annual basis as part of the year end outturn, reported to Resources Committee and as part of the capital budget setting report to the Authority.</w:t>
            </w:r>
          </w:p>
        </w:tc>
      </w:tr>
    </w:tbl>
    <w:p w14:paraId="0190BA5B" w14:textId="77777777" w:rsidR="00CA11D6" w:rsidRPr="00806B7F" w:rsidRDefault="00CA11D6" w:rsidP="00CA11D6">
      <w:pPr>
        <w:pStyle w:val="BodyText3"/>
        <w:jc w:val="both"/>
        <w:rPr>
          <w:rFonts w:ascii="Arial" w:hAnsi="Arial" w:cs="Arial"/>
          <w:b/>
          <w:color w:val="000000" w:themeColor="text1"/>
          <w:sz w:val="20"/>
          <w:szCs w:val="20"/>
          <w:highlight w:val="yellow"/>
        </w:rPr>
      </w:pPr>
    </w:p>
    <w:p w14:paraId="2849D9C6"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At 31 March 2023, the Authority anticipates holding £20.3m of capital reserves and receipts. Based on the capital programme presented elsewhere on this agenda we anticipate fully utilising these by 31 March 2027. Of the total reserve £5.0m is contractually committed.</w:t>
      </w:r>
    </w:p>
    <w:p w14:paraId="34345AEC" w14:textId="77777777" w:rsidR="00CA11D6" w:rsidRPr="00DB5DCF" w:rsidRDefault="00CA11D6" w:rsidP="00DB5DCF">
      <w:pPr>
        <w:rPr>
          <w:rFonts w:ascii="Arial" w:hAnsi="Arial" w:cs="Arial"/>
          <w:sz w:val="20"/>
        </w:rPr>
      </w:pPr>
    </w:p>
    <w:p w14:paraId="5790D47B" w14:textId="77777777" w:rsidR="00CA11D6" w:rsidRPr="00806B7F" w:rsidRDefault="00CA11D6" w:rsidP="00CA11D6">
      <w:pPr>
        <w:jc w:val="both"/>
        <w:rPr>
          <w:rFonts w:ascii="Arial" w:hAnsi="Arial" w:cs="Arial"/>
          <w:sz w:val="20"/>
        </w:rPr>
      </w:pPr>
      <w:r w:rsidRPr="00806B7F">
        <w:rPr>
          <w:rFonts w:ascii="Arial" w:hAnsi="Arial" w:cs="Arial"/>
          <w:color w:val="000000" w:themeColor="text1"/>
          <w:sz w:val="20"/>
        </w:rPr>
        <w:t xml:space="preserve">Based on this the </w:t>
      </w:r>
      <w:r w:rsidRPr="00806B7F">
        <w:rPr>
          <w:rFonts w:ascii="Arial" w:hAnsi="Arial" w:cs="Arial"/>
          <w:sz w:val="20"/>
        </w:rPr>
        <w:t xml:space="preserve">Treasurer believes these are adequate to meet future requirements in the short to medium </w:t>
      </w:r>
      <w:proofErr w:type="gramStart"/>
      <w:r w:rsidRPr="00806B7F">
        <w:rPr>
          <w:rFonts w:ascii="Arial" w:hAnsi="Arial" w:cs="Arial"/>
          <w:sz w:val="20"/>
        </w:rPr>
        <w:t>term, but</w:t>
      </w:r>
      <w:proofErr w:type="gramEnd"/>
      <w:r w:rsidRPr="00806B7F">
        <w:rPr>
          <w:rFonts w:ascii="Arial" w:hAnsi="Arial" w:cs="Arial"/>
          <w:sz w:val="20"/>
        </w:rPr>
        <w:t xml:space="preserve"> recognises that they will be exhausted March 2025.</w:t>
      </w:r>
    </w:p>
    <w:p w14:paraId="6A34527A" w14:textId="77777777" w:rsidR="00CA11D6" w:rsidRPr="00DB5DCF" w:rsidRDefault="00CA11D6" w:rsidP="00DB5DCF">
      <w:pPr>
        <w:rPr>
          <w:rFonts w:ascii="Arial" w:hAnsi="Arial" w:cs="Arial"/>
          <w:sz w:val="20"/>
        </w:rPr>
      </w:pPr>
    </w:p>
    <w:p w14:paraId="744D081B" w14:textId="77777777" w:rsidR="00CA11D6" w:rsidRPr="00806B7F" w:rsidRDefault="00CA11D6" w:rsidP="00CA11D6">
      <w:pPr>
        <w:rPr>
          <w:rFonts w:ascii="Arial" w:hAnsi="Arial" w:cs="Arial"/>
          <w:b/>
          <w:color w:val="000000" w:themeColor="text1"/>
          <w:sz w:val="20"/>
        </w:rPr>
      </w:pPr>
      <w:r w:rsidRPr="00806B7F">
        <w:rPr>
          <w:rFonts w:ascii="Arial" w:hAnsi="Arial" w:cs="Arial"/>
          <w:b/>
          <w:color w:val="000000" w:themeColor="text1"/>
          <w:sz w:val="20"/>
        </w:rPr>
        <w:t>Summary Reserve Position</w:t>
      </w:r>
    </w:p>
    <w:p w14:paraId="3FF5B41C" w14:textId="77777777" w:rsidR="00DB5DCF" w:rsidRPr="00DB5DCF" w:rsidRDefault="00DB5DCF" w:rsidP="00DB5DCF">
      <w:pPr>
        <w:rPr>
          <w:rFonts w:ascii="Arial" w:hAnsi="Arial" w:cs="Arial"/>
          <w:sz w:val="20"/>
        </w:rPr>
      </w:pPr>
    </w:p>
    <w:p w14:paraId="1CC3875C" w14:textId="7936A21A"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The following table sets out the anticipated position in terms of reserves and balances, a more detailed year on year analysis by reserve is attached as appendix 1: -</w:t>
      </w:r>
    </w:p>
    <w:p w14:paraId="142C9BE8" w14:textId="77777777" w:rsidR="00CA11D6" w:rsidRPr="00DB5DCF" w:rsidRDefault="00CA11D6" w:rsidP="00CA11D6">
      <w:pPr>
        <w:rPr>
          <w:rFonts w:ascii="Arial" w:hAnsi="Arial" w:cs="Arial"/>
          <w:sz w:val="20"/>
        </w:rPr>
      </w:pPr>
    </w:p>
    <w:p w14:paraId="0E65D1B3"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7 Summary Use of Reserves March 22 to March 28</w:t>
      </w: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78"/>
        <w:gridCol w:w="1478"/>
        <w:gridCol w:w="1478"/>
        <w:gridCol w:w="1478"/>
        <w:gridCol w:w="1478"/>
      </w:tblGrid>
      <w:tr w:rsidR="00CA11D6" w:rsidRPr="00806B7F" w14:paraId="15BDA340" w14:textId="77777777" w:rsidTr="00A369A1">
        <w:tc>
          <w:tcPr>
            <w:tcW w:w="1843" w:type="dxa"/>
            <w:shd w:val="clear" w:color="auto" w:fill="auto"/>
          </w:tcPr>
          <w:p w14:paraId="732A7F44" w14:textId="77777777" w:rsidR="00CA11D6" w:rsidRPr="00806B7F" w:rsidRDefault="00CA11D6" w:rsidP="00A369A1">
            <w:pPr>
              <w:rPr>
                <w:rFonts w:ascii="Arial" w:hAnsi="Arial" w:cs="Arial"/>
                <w:sz w:val="20"/>
              </w:rPr>
            </w:pPr>
            <w:bookmarkStart w:id="2" w:name="_Hlk95316706"/>
          </w:p>
        </w:tc>
        <w:tc>
          <w:tcPr>
            <w:tcW w:w="1478" w:type="dxa"/>
            <w:shd w:val="clear" w:color="auto" w:fill="auto"/>
          </w:tcPr>
          <w:p w14:paraId="4061393B" w14:textId="77777777" w:rsidR="00CA11D6" w:rsidRPr="00806B7F" w:rsidRDefault="00CA11D6" w:rsidP="00A369A1">
            <w:pPr>
              <w:jc w:val="center"/>
              <w:rPr>
                <w:rFonts w:ascii="Arial" w:hAnsi="Arial" w:cs="Arial"/>
                <w:sz w:val="20"/>
              </w:rPr>
            </w:pPr>
            <w:r w:rsidRPr="00806B7F">
              <w:rPr>
                <w:rFonts w:ascii="Arial" w:hAnsi="Arial" w:cs="Arial"/>
                <w:sz w:val="20"/>
              </w:rPr>
              <w:t>General Reserve</w:t>
            </w:r>
          </w:p>
        </w:tc>
        <w:tc>
          <w:tcPr>
            <w:tcW w:w="1478" w:type="dxa"/>
            <w:shd w:val="clear" w:color="auto" w:fill="auto"/>
          </w:tcPr>
          <w:p w14:paraId="6CDD6B11" w14:textId="77777777" w:rsidR="00CA11D6" w:rsidRPr="00806B7F" w:rsidRDefault="00CA11D6" w:rsidP="00A369A1">
            <w:pPr>
              <w:jc w:val="center"/>
              <w:rPr>
                <w:rFonts w:ascii="Arial" w:hAnsi="Arial" w:cs="Arial"/>
                <w:sz w:val="20"/>
              </w:rPr>
            </w:pPr>
            <w:r w:rsidRPr="00806B7F">
              <w:rPr>
                <w:rFonts w:ascii="Arial" w:hAnsi="Arial" w:cs="Arial"/>
                <w:sz w:val="20"/>
              </w:rPr>
              <w:t>Earmarked Reserve</w:t>
            </w:r>
          </w:p>
        </w:tc>
        <w:tc>
          <w:tcPr>
            <w:tcW w:w="1478" w:type="dxa"/>
            <w:shd w:val="clear" w:color="auto" w:fill="auto"/>
          </w:tcPr>
          <w:p w14:paraId="056154D4" w14:textId="77777777" w:rsidR="00CA11D6" w:rsidRPr="00806B7F" w:rsidRDefault="00CA11D6" w:rsidP="00A369A1">
            <w:pPr>
              <w:jc w:val="center"/>
              <w:rPr>
                <w:rFonts w:ascii="Arial" w:hAnsi="Arial" w:cs="Arial"/>
                <w:sz w:val="20"/>
              </w:rPr>
            </w:pPr>
            <w:r w:rsidRPr="00806B7F">
              <w:rPr>
                <w:rFonts w:ascii="Arial" w:hAnsi="Arial" w:cs="Arial"/>
                <w:sz w:val="20"/>
              </w:rPr>
              <w:t>PFI Reserve</w:t>
            </w:r>
          </w:p>
        </w:tc>
        <w:tc>
          <w:tcPr>
            <w:tcW w:w="1478" w:type="dxa"/>
            <w:shd w:val="clear" w:color="auto" w:fill="auto"/>
          </w:tcPr>
          <w:p w14:paraId="020000FE" w14:textId="77777777" w:rsidR="00CA11D6" w:rsidRPr="00806B7F" w:rsidRDefault="00CA11D6" w:rsidP="00A369A1">
            <w:pPr>
              <w:jc w:val="center"/>
              <w:rPr>
                <w:rFonts w:ascii="Arial" w:hAnsi="Arial" w:cs="Arial"/>
                <w:sz w:val="20"/>
              </w:rPr>
            </w:pPr>
            <w:r w:rsidRPr="00806B7F">
              <w:rPr>
                <w:rFonts w:ascii="Arial" w:hAnsi="Arial" w:cs="Arial"/>
                <w:sz w:val="20"/>
              </w:rPr>
              <w:t>Capital Reserves &amp; Receipts</w:t>
            </w:r>
          </w:p>
        </w:tc>
        <w:tc>
          <w:tcPr>
            <w:tcW w:w="1478" w:type="dxa"/>
          </w:tcPr>
          <w:p w14:paraId="5532B7AF" w14:textId="77777777" w:rsidR="00CA11D6" w:rsidRPr="00806B7F" w:rsidRDefault="00CA11D6" w:rsidP="00A369A1">
            <w:pPr>
              <w:jc w:val="center"/>
              <w:rPr>
                <w:rFonts w:ascii="Arial" w:hAnsi="Arial" w:cs="Arial"/>
                <w:sz w:val="20"/>
              </w:rPr>
            </w:pPr>
            <w:r w:rsidRPr="00806B7F">
              <w:rPr>
                <w:rFonts w:ascii="Arial" w:hAnsi="Arial" w:cs="Arial"/>
                <w:sz w:val="20"/>
              </w:rPr>
              <w:t>Total Reserves &amp; Balances</w:t>
            </w:r>
          </w:p>
        </w:tc>
      </w:tr>
      <w:tr w:rsidR="00CA11D6" w:rsidRPr="00806B7F" w14:paraId="70A41A6B" w14:textId="77777777" w:rsidTr="00A369A1">
        <w:tc>
          <w:tcPr>
            <w:tcW w:w="1843" w:type="dxa"/>
            <w:shd w:val="clear" w:color="auto" w:fill="auto"/>
          </w:tcPr>
          <w:p w14:paraId="272C7D3B" w14:textId="77777777" w:rsidR="00CA11D6" w:rsidRPr="00806B7F" w:rsidRDefault="00CA11D6" w:rsidP="00A369A1">
            <w:pPr>
              <w:rPr>
                <w:rFonts w:ascii="Arial" w:hAnsi="Arial" w:cs="Arial"/>
                <w:sz w:val="20"/>
              </w:rPr>
            </w:pPr>
          </w:p>
        </w:tc>
        <w:tc>
          <w:tcPr>
            <w:tcW w:w="1478" w:type="dxa"/>
            <w:shd w:val="clear" w:color="auto" w:fill="auto"/>
          </w:tcPr>
          <w:p w14:paraId="70CD1600"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478" w:type="dxa"/>
            <w:shd w:val="clear" w:color="auto" w:fill="auto"/>
          </w:tcPr>
          <w:p w14:paraId="06D1E87A"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478" w:type="dxa"/>
            <w:shd w:val="clear" w:color="auto" w:fill="auto"/>
          </w:tcPr>
          <w:p w14:paraId="3DD04824"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478" w:type="dxa"/>
            <w:shd w:val="clear" w:color="auto" w:fill="auto"/>
          </w:tcPr>
          <w:p w14:paraId="7A6C7347" w14:textId="77777777" w:rsidR="00CA11D6" w:rsidRPr="00806B7F" w:rsidRDefault="00CA11D6" w:rsidP="00A369A1">
            <w:pPr>
              <w:jc w:val="center"/>
              <w:rPr>
                <w:rFonts w:ascii="Arial" w:hAnsi="Arial" w:cs="Arial"/>
                <w:sz w:val="20"/>
              </w:rPr>
            </w:pPr>
            <w:r w:rsidRPr="00806B7F">
              <w:rPr>
                <w:rFonts w:ascii="Arial" w:hAnsi="Arial" w:cs="Arial"/>
                <w:sz w:val="20"/>
              </w:rPr>
              <w:t>£m</w:t>
            </w:r>
          </w:p>
        </w:tc>
        <w:tc>
          <w:tcPr>
            <w:tcW w:w="1478" w:type="dxa"/>
          </w:tcPr>
          <w:p w14:paraId="2D8F61B5" w14:textId="77777777" w:rsidR="00CA11D6" w:rsidRPr="00806B7F" w:rsidRDefault="00CA11D6" w:rsidP="00A369A1">
            <w:pPr>
              <w:jc w:val="center"/>
              <w:rPr>
                <w:rFonts w:ascii="Arial" w:hAnsi="Arial" w:cs="Arial"/>
                <w:sz w:val="20"/>
              </w:rPr>
            </w:pPr>
            <w:r w:rsidRPr="00806B7F">
              <w:rPr>
                <w:rFonts w:ascii="Arial" w:hAnsi="Arial" w:cs="Arial"/>
                <w:sz w:val="20"/>
              </w:rPr>
              <w:t>£m</w:t>
            </w:r>
          </w:p>
        </w:tc>
      </w:tr>
      <w:tr w:rsidR="00CA11D6" w:rsidRPr="00806B7F" w14:paraId="3A081A9A" w14:textId="77777777" w:rsidTr="00A369A1">
        <w:tc>
          <w:tcPr>
            <w:tcW w:w="1843" w:type="dxa"/>
            <w:shd w:val="clear" w:color="auto" w:fill="auto"/>
          </w:tcPr>
          <w:p w14:paraId="62966784" w14:textId="77777777" w:rsidR="00CA11D6" w:rsidRPr="00806B7F" w:rsidRDefault="00CA11D6" w:rsidP="00A369A1">
            <w:pPr>
              <w:rPr>
                <w:rFonts w:ascii="Arial" w:hAnsi="Arial" w:cs="Arial"/>
                <w:sz w:val="20"/>
              </w:rPr>
            </w:pPr>
            <w:r w:rsidRPr="00806B7F">
              <w:rPr>
                <w:rFonts w:ascii="Arial" w:hAnsi="Arial" w:cs="Arial"/>
                <w:sz w:val="20"/>
              </w:rPr>
              <w:t>Balance 31/3/22</w:t>
            </w:r>
          </w:p>
        </w:tc>
        <w:tc>
          <w:tcPr>
            <w:tcW w:w="1478" w:type="dxa"/>
            <w:shd w:val="clear" w:color="auto" w:fill="auto"/>
          </w:tcPr>
          <w:p w14:paraId="3F0E1B7A" w14:textId="77777777" w:rsidR="00CA11D6" w:rsidRPr="00806B7F" w:rsidRDefault="00CA11D6" w:rsidP="00A369A1">
            <w:pPr>
              <w:jc w:val="center"/>
              <w:rPr>
                <w:rFonts w:ascii="Arial" w:hAnsi="Arial" w:cs="Arial"/>
                <w:sz w:val="20"/>
              </w:rPr>
            </w:pPr>
            <w:r w:rsidRPr="00806B7F">
              <w:rPr>
                <w:rFonts w:ascii="Arial" w:hAnsi="Arial" w:cs="Arial"/>
                <w:sz w:val="20"/>
              </w:rPr>
              <w:t>(6.0)</w:t>
            </w:r>
          </w:p>
        </w:tc>
        <w:tc>
          <w:tcPr>
            <w:tcW w:w="1478" w:type="dxa"/>
            <w:shd w:val="clear" w:color="auto" w:fill="auto"/>
          </w:tcPr>
          <w:p w14:paraId="1B410013" w14:textId="77777777" w:rsidR="00CA11D6" w:rsidRPr="00806B7F" w:rsidRDefault="00CA11D6" w:rsidP="00A369A1">
            <w:pPr>
              <w:jc w:val="center"/>
              <w:rPr>
                <w:rFonts w:ascii="Arial" w:hAnsi="Arial" w:cs="Arial"/>
                <w:sz w:val="20"/>
              </w:rPr>
            </w:pPr>
            <w:r w:rsidRPr="00806B7F">
              <w:rPr>
                <w:rFonts w:ascii="Arial" w:hAnsi="Arial" w:cs="Arial"/>
                <w:sz w:val="20"/>
              </w:rPr>
              <w:t>(4.7)</w:t>
            </w:r>
          </w:p>
        </w:tc>
        <w:tc>
          <w:tcPr>
            <w:tcW w:w="1478" w:type="dxa"/>
            <w:shd w:val="clear" w:color="auto" w:fill="auto"/>
          </w:tcPr>
          <w:p w14:paraId="27AC89D5" w14:textId="77777777" w:rsidR="00CA11D6" w:rsidRPr="00806B7F" w:rsidRDefault="00CA11D6" w:rsidP="00A369A1">
            <w:pPr>
              <w:jc w:val="center"/>
              <w:rPr>
                <w:rFonts w:ascii="Arial" w:hAnsi="Arial" w:cs="Arial"/>
                <w:sz w:val="20"/>
              </w:rPr>
            </w:pPr>
            <w:r w:rsidRPr="00806B7F">
              <w:rPr>
                <w:rFonts w:ascii="Arial" w:hAnsi="Arial" w:cs="Arial"/>
                <w:sz w:val="20"/>
              </w:rPr>
              <w:t>(5.1)</w:t>
            </w:r>
          </w:p>
        </w:tc>
        <w:tc>
          <w:tcPr>
            <w:tcW w:w="1478" w:type="dxa"/>
            <w:shd w:val="clear" w:color="auto" w:fill="auto"/>
          </w:tcPr>
          <w:p w14:paraId="21307B4F" w14:textId="77777777" w:rsidR="00CA11D6" w:rsidRPr="00806B7F" w:rsidRDefault="00CA11D6" w:rsidP="00A369A1">
            <w:pPr>
              <w:jc w:val="center"/>
              <w:rPr>
                <w:rFonts w:ascii="Arial" w:hAnsi="Arial" w:cs="Arial"/>
                <w:sz w:val="20"/>
              </w:rPr>
            </w:pPr>
            <w:r w:rsidRPr="00806B7F">
              <w:rPr>
                <w:rFonts w:ascii="Arial" w:hAnsi="Arial" w:cs="Arial"/>
                <w:sz w:val="20"/>
              </w:rPr>
              <w:t>(19.4)</w:t>
            </w:r>
          </w:p>
        </w:tc>
        <w:tc>
          <w:tcPr>
            <w:tcW w:w="1478" w:type="dxa"/>
          </w:tcPr>
          <w:p w14:paraId="5BF751C0" w14:textId="77777777" w:rsidR="00CA11D6" w:rsidRPr="00806B7F" w:rsidRDefault="00CA11D6" w:rsidP="00A369A1">
            <w:pPr>
              <w:jc w:val="center"/>
              <w:rPr>
                <w:rFonts w:ascii="Arial" w:hAnsi="Arial" w:cs="Arial"/>
                <w:sz w:val="20"/>
              </w:rPr>
            </w:pPr>
            <w:r w:rsidRPr="00806B7F">
              <w:rPr>
                <w:rFonts w:ascii="Arial" w:hAnsi="Arial" w:cs="Arial"/>
                <w:sz w:val="20"/>
              </w:rPr>
              <w:t>(35.1)</w:t>
            </w:r>
          </w:p>
        </w:tc>
      </w:tr>
      <w:tr w:rsidR="00CA11D6" w:rsidRPr="00806B7F" w14:paraId="676F1F69" w14:textId="77777777" w:rsidTr="00A369A1">
        <w:tc>
          <w:tcPr>
            <w:tcW w:w="1843" w:type="dxa"/>
            <w:shd w:val="clear" w:color="auto" w:fill="auto"/>
          </w:tcPr>
          <w:p w14:paraId="63F15657"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3C8A43FD" w14:textId="77777777" w:rsidR="00CA11D6" w:rsidRPr="00806B7F" w:rsidRDefault="00CA11D6" w:rsidP="00A369A1">
            <w:pPr>
              <w:jc w:val="center"/>
              <w:rPr>
                <w:rFonts w:ascii="Arial" w:hAnsi="Arial" w:cs="Arial"/>
                <w:sz w:val="20"/>
              </w:rPr>
            </w:pPr>
            <w:r w:rsidRPr="00806B7F">
              <w:rPr>
                <w:rFonts w:ascii="Arial" w:hAnsi="Arial" w:cs="Arial"/>
                <w:sz w:val="20"/>
              </w:rPr>
              <w:t>2.0</w:t>
            </w:r>
          </w:p>
        </w:tc>
        <w:tc>
          <w:tcPr>
            <w:tcW w:w="1478" w:type="dxa"/>
            <w:shd w:val="clear" w:color="auto" w:fill="auto"/>
          </w:tcPr>
          <w:p w14:paraId="1F5F0878" w14:textId="77777777" w:rsidR="00CA11D6" w:rsidRPr="00806B7F" w:rsidRDefault="00CA11D6" w:rsidP="00A369A1">
            <w:pPr>
              <w:jc w:val="center"/>
              <w:rPr>
                <w:rFonts w:ascii="Arial" w:hAnsi="Arial" w:cs="Arial"/>
                <w:sz w:val="20"/>
              </w:rPr>
            </w:pPr>
            <w:r w:rsidRPr="00806B7F">
              <w:rPr>
                <w:rFonts w:ascii="Arial" w:hAnsi="Arial" w:cs="Arial"/>
                <w:sz w:val="20"/>
              </w:rPr>
              <w:t>2.1</w:t>
            </w:r>
          </w:p>
        </w:tc>
        <w:tc>
          <w:tcPr>
            <w:tcW w:w="1478" w:type="dxa"/>
            <w:shd w:val="clear" w:color="auto" w:fill="auto"/>
          </w:tcPr>
          <w:p w14:paraId="1BD4A8FB"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4863604D" w14:textId="77777777" w:rsidR="00CA11D6" w:rsidRPr="00806B7F" w:rsidRDefault="00CA11D6" w:rsidP="00A369A1">
            <w:pPr>
              <w:jc w:val="center"/>
              <w:rPr>
                <w:rFonts w:ascii="Arial" w:hAnsi="Arial" w:cs="Arial"/>
                <w:sz w:val="20"/>
              </w:rPr>
            </w:pPr>
            <w:r w:rsidRPr="00806B7F">
              <w:rPr>
                <w:rFonts w:ascii="Arial" w:hAnsi="Arial" w:cs="Arial"/>
                <w:sz w:val="20"/>
              </w:rPr>
              <w:t>(0.9)</w:t>
            </w:r>
          </w:p>
        </w:tc>
        <w:tc>
          <w:tcPr>
            <w:tcW w:w="1478" w:type="dxa"/>
          </w:tcPr>
          <w:p w14:paraId="27724FE1" w14:textId="77777777" w:rsidR="00CA11D6" w:rsidRPr="00806B7F" w:rsidRDefault="00CA11D6" w:rsidP="00A369A1">
            <w:pPr>
              <w:jc w:val="center"/>
              <w:rPr>
                <w:rFonts w:ascii="Arial" w:hAnsi="Arial" w:cs="Arial"/>
                <w:sz w:val="20"/>
              </w:rPr>
            </w:pPr>
            <w:r w:rsidRPr="00806B7F">
              <w:rPr>
                <w:rFonts w:ascii="Arial" w:hAnsi="Arial" w:cs="Arial"/>
                <w:sz w:val="20"/>
              </w:rPr>
              <w:t>3.3</w:t>
            </w:r>
          </w:p>
        </w:tc>
      </w:tr>
      <w:tr w:rsidR="00CA11D6" w:rsidRPr="00806B7F" w14:paraId="3BDB6FB0" w14:textId="77777777" w:rsidTr="00A369A1">
        <w:tc>
          <w:tcPr>
            <w:tcW w:w="1843" w:type="dxa"/>
            <w:shd w:val="clear" w:color="auto" w:fill="auto"/>
          </w:tcPr>
          <w:p w14:paraId="2D14F396" w14:textId="77777777" w:rsidR="00CA11D6" w:rsidRPr="00806B7F" w:rsidRDefault="00CA11D6" w:rsidP="00A369A1">
            <w:pPr>
              <w:rPr>
                <w:rFonts w:ascii="Arial" w:hAnsi="Arial" w:cs="Arial"/>
                <w:sz w:val="20"/>
              </w:rPr>
            </w:pPr>
            <w:r w:rsidRPr="00806B7F">
              <w:rPr>
                <w:rFonts w:ascii="Arial" w:hAnsi="Arial" w:cs="Arial"/>
                <w:sz w:val="20"/>
              </w:rPr>
              <w:t>Balance 31/3/23</w:t>
            </w:r>
          </w:p>
        </w:tc>
        <w:tc>
          <w:tcPr>
            <w:tcW w:w="1478" w:type="dxa"/>
            <w:shd w:val="clear" w:color="auto" w:fill="auto"/>
          </w:tcPr>
          <w:p w14:paraId="17D17F50" w14:textId="77777777" w:rsidR="00CA11D6" w:rsidRPr="00806B7F" w:rsidRDefault="00CA11D6" w:rsidP="00A369A1">
            <w:pPr>
              <w:jc w:val="center"/>
              <w:rPr>
                <w:rFonts w:ascii="Arial" w:hAnsi="Arial" w:cs="Arial"/>
                <w:sz w:val="20"/>
              </w:rPr>
            </w:pPr>
            <w:r w:rsidRPr="00806B7F">
              <w:rPr>
                <w:rFonts w:ascii="Arial" w:hAnsi="Arial" w:cs="Arial"/>
                <w:sz w:val="20"/>
              </w:rPr>
              <w:t>(4.0)</w:t>
            </w:r>
          </w:p>
        </w:tc>
        <w:tc>
          <w:tcPr>
            <w:tcW w:w="1478" w:type="dxa"/>
            <w:shd w:val="clear" w:color="auto" w:fill="auto"/>
          </w:tcPr>
          <w:p w14:paraId="5B0DCDEB" w14:textId="77777777" w:rsidR="00CA11D6" w:rsidRPr="00806B7F" w:rsidRDefault="00CA11D6" w:rsidP="00A369A1">
            <w:pPr>
              <w:jc w:val="center"/>
              <w:rPr>
                <w:rFonts w:ascii="Arial" w:hAnsi="Arial" w:cs="Arial"/>
                <w:sz w:val="20"/>
              </w:rPr>
            </w:pPr>
            <w:r w:rsidRPr="00806B7F">
              <w:rPr>
                <w:rFonts w:ascii="Arial" w:hAnsi="Arial" w:cs="Arial"/>
                <w:sz w:val="20"/>
              </w:rPr>
              <w:t>(2.6)</w:t>
            </w:r>
          </w:p>
        </w:tc>
        <w:tc>
          <w:tcPr>
            <w:tcW w:w="1478" w:type="dxa"/>
            <w:shd w:val="clear" w:color="auto" w:fill="auto"/>
          </w:tcPr>
          <w:p w14:paraId="3BA19081" w14:textId="77777777" w:rsidR="00CA11D6" w:rsidRPr="00806B7F" w:rsidRDefault="00CA11D6" w:rsidP="00A369A1">
            <w:pPr>
              <w:jc w:val="center"/>
              <w:rPr>
                <w:rFonts w:ascii="Arial" w:hAnsi="Arial" w:cs="Arial"/>
                <w:sz w:val="20"/>
              </w:rPr>
            </w:pPr>
            <w:r w:rsidRPr="00806B7F">
              <w:rPr>
                <w:rFonts w:ascii="Arial" w:hAnsi="Arial" w:cs="Arial"/>
                <w:sz w:val="20"/>
              </w:rPr>
              <w:t>(4.9)</w:t>
            </w:r>
          </w:p>
        </w:tc>
        <w:tc>
          <w:tcPr>
            <w:tcW w:w="1478" w:type="dxa"/>
            <w:shd w:val="clear" w:color="auto" w:fill="auto"/>
          </w:tcPr>
          <w:p w14:paraId="4031806D" w14:textId="77777777" w:rsidR="00CA11D6" w:rsidRPr="00806B7F" w:rsidRDefault="00CA11D6" w:rsidP="00A369A1">
            <w:pPr>
              <w:jc w:val="center"/>
              <w:rPr>
                <w:rFonts w:ascii="Arial" w:hAnsi="Arial" w:cs="Arial"/>
                <w:sz w:val="20"/>
              </w:rPr>
            </w:pPr>
            <w:r w:rsidRPr="00806B7F">
              <w:rPr>
                <w:rFonts w:ascii="Arial" w:hAnsi="Arial" w:cs="Arial"/>
                <w:sz w:val="20"/>
              </w:rPr>
              <w:t>(20.3)</w:t>
            </w:r>
          </w:p>
        </w:tc>
        <w:tc>
          <w:tcPr>
            <w:tcW w:w="1478" w:type="dxa"/>
          </w:tcPr>
          <w:p w14:paraId="4618AE17" w14:textId="77777777" w:rsidR="00CA11D6" w:rsidRPr="00806B7F" w:rsidRDefault="00CA11D6" w:rsidP="00A369A1">
            <w:pPr>
              <w:jc w:val="center"/>
              <w:rPr>
                <w:rFonts w:ascii="Arial" w:hAnsi="Arial" w:cs="Arial"/>
                <w:sz w:val="20"/>
              </w:rPr>
            </w:pPr>
            <w:r w:rsidRPr="00806B7F">
              <w:rPr>
                <w:rFonts w:ascii="Arial" w:hAnsi="Arial" w:cs="Arial"/>
                <w:sz w:val="20"/>
              </w:rPr>
              <w:t>(31.8)</w:t>
            </w:r>
          </w:p>
        </w:tc>
      </w:tr>
      <w:tr w:rsidR="00CA11D6" w:rsidRPr="00806B7F" w14:paraId="18D0D3E5" w14:textId="77777777" w:rsidTr="00A369A1">
        <w:tc>
          <w:tcPr>
            <w:tcW w:w="1843" w:type="dxa"/>
            <w:shd w:val="clear" w:color="auto" w:fill="auto"/>
          </w:tcPr>
          <w:p w14:paraId="6C5889C7"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1BAA8524"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77C274A4" w14:textId="77777777" w:rsidR="00CA11D6" w:rsidRPr="00806B7F" w:rsidRDefault="00CA11D6" w:rsidP="00A369A1">
            <w:pPr>
              <w:jc w:val="center"/>
              <w:rPr>
                <w:rFonts w:ascii="Arial" w:hAnsi="Arial" w:cs="Arial"/>
                <w:sz w:val="20"/>
              </w:rPr>
            </w:pPr>
            <w:r w:rsidRPr="00806B7F">
              <w:rPr>
                <w:rFonts w:ascii="Arial" w:hAnsi="Arial" w:cs="Arial"/>
                <w:sz w:val="20"/>
              </w:rPr>
              <w:t>0.1</w:t>
            </w:r>
          </w:p>
        </w:tc>
        <w:tc>
          <w:tcPr>
            <w:tcW w:w="1478" w:type="dxa"/>
            <w:shd w:val="clear" w:color="auto" w:fill="auto"/>
          </w:tcPr>
          <w:p w14:paraId="7A01AB1D"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2D0E7B56" w14:textId="77777777" w:rsidR="00CA11D6" w:rsidRPr="00806B7F" w:rsidRDefault="00CA11D6" w:rsidP="00A369A1">
            <w:pPr>
              <w:jc w:val="center"/>
              <w:rPr>
                <w:rFonts w:ascii="Arial" w:hAnsi="Arial" w:cs="Arial"/>
                <w:sz w:val="20"/>
              </w:rPr>
            </w:pPr>
            <w:r w:rsidRPr="00806B7F">
              <w:rPr>
                <w:rFonts w:ascii="Arial" w:hAnsi="Arial" w:cs="Arial"/>
                <w:sz w:val="20"/>
              </w:rPr>
              <w:t>5.8</w:t>
            </w:r>
          </w:p>
        </w:tc>
        <w:tc>
          <w:tcPr>
            <w:tcW w:w="1478" w:type="dxa"/>
          </w:tcPr>
          <w:p w14:paraId="1F9E5934" w14:textId="77777777" w:rsidR="00CA11D6" w:rsidRPr="00806B7F" w:rsidRDefault="00CA11D6" w:rsidP="00A369A1">
            <w:pPr>
              <w:jc w:val="center"/>
              <w:rPr>
                <w:rFonts w:ascii="Arial" w:hAnsi="Arial" w:cs="Arial"/>
                <w:sz w:val="20"/>
              </w:rPr>
            </w:pPr>
            <w:r w:rsidRPr="00806B7F">
              <w:rPr>
                <w:rFonts w:ascii="Arial" w:hAnsi="Arial" w:cs="Arial"/>
                <w:sz w:val="20"/>
              </w:rPr>
              <w:t>6.2</w:t>
            </w:r>
          </w:p>
        </w:tc>
      </w:tr>
      <w:tr w:rsidR="00CA11D6" w:rsidRPr="00806B7F" w14:paraId="1EB94C15" w14:textId="77777777" w:rsidTr="00A369A1">
        <w:tc>
          <w:tcPr>
            <w:tcW w:w="1843" w:type="dxa"/>
            <w:shd w:val="clear" w:color="auto" w:fill="auto"/>
          </w:tcPr>
          <w:p w14:paraId="1E5DADEB" w14:textId="77777777" w:rsidR="00CA11D6" w:rsidRPr="00806B7F" w:rsidRDefault="00CA11D6" w:rsidP="00A369A1">
            <w:pPr>
              <w:rPr>
                <w:rFonts w:ascii="Arial" w:hAnsi="Arial" w:cs="Arial"/>
                <w:sz w:val="20"/>
              </w:rPr>
            </w:pPr>
            <w:r w:rsidRPr="00806B7F">
              <w:rPr>
                <w:rFonts w:ascii="Arial" w:hAnsi="Arial" w:cs="Arial"/>
                <w:sz w:val="20"/>
              </w:rPr>
              <w:t>Balance 31/3/24</w:t>
            </w:r>
          </w:p>
        </w:tc>
        <w:tc>
          <w:tcPr>
            <w:tcW w:w="1478" w:type="dxa"/>
            <w:shd w:val="clear" w:color="auto" w:fill="auto"/>
          </w:tcPr>
          <w:p w14:paraId="0AE5CCEB" w14:textId="77777777" w:rsidR="00CA11D6" w:rsidRPr="00806B7F" w:rsidRDefault="00CA11D6" w:rsidP="00A369A1">
            <w:pPr>
              <w:jc w:val="center"/>
              <w:rPr>
                <w:rFonts w:ascii="Arial" w:hAnsi="Arial" w:cs="Arial"/>
                <w:sz w:val="20"/>
              </w:rPr>
            </w:pPr>
            <w:r w:rsidRPr="00806B7F">
              <w:rPr>
                <w:rFonts w:ascii="Arial" w:hAnsi="Arial" w:cs="Arial"/>
                <w:sz w:val="20"/>
              </w:rPr>
              <w:t>(3.9)</w:t>
            </w:r>
          </w:p>
        </w:tc>
        <w:tc>
          <w:tcPr>
            <w:tcW w:w="1478" w:type="dxa"/>
            <w:shd w:val="clear" w:color="auto" w:fill="auto"/>
          </w:tcPr>
          <w:p w14:paraId="2CF2FDDB" w14:textId="77777777" w:rsidR="00CA11D6" w:rsidRPr="00806B7F" w:rsidRDefault="00CA11D6" w:rsidP="00A369A1">
            <w:pPr>
              <w:jc w:val="center"/>
              <w:rPr>
                <w:rFonts w:ascii="Arial" w:hAnsi="Arial" w:cs="Arial"/>
                <w:sz w:val="20"/>
              </w:rPr>
            </w:pPr>
            <w:r w:rsidRPr="00806B7F">
              <w:rPr>
                <w:rFonts w:ascii="Arial" w:hAnsi="Arial" w:cs="Arial"/>
                <w:sz w:val="20"/>
              </w:rPr>
              <w:t>(2.0)</w:t>
            </w:r>
          </w:p>
        </w:tc>
        <w:tc>
          <w:tcPr>
            <w:tcW w:w="1478" w:type="dxa"/>
            <w:shd w:val="clear" w:color="auto" w:fill="auto"/>
          </w:tcPr>
          <w:p w14:paraId="01019407" w14:textId="77777777" w:rsidR="00CA11D6" w:rsidRPr="00806B7F" w:rsidRDefault="00CA11D6" w:rsidP="00A369A1">
            <w:pPr>
              <w:jc w:val="center"/>
              <w:rPr>
                <w:rFonts w:ascii="Arial" w:hAnsi="Arial" w:cs="Arial"/>
                <w:sz w:val="20"/>
              </w:rPr>
            </w:pPr>
            <w:r w:rsidRPr="00806B7F">
              <w:rPr>
                <w:rFonts w:ascii="Arial" w:hAnsi="Arial" w:cs="Arial"/>
                <w:sz w:val="20"/>
              </w:rPr>
              <w:t>(4.7)</w:t>
            </w:r>
          </w:p>
        </w:tc>
        <w:tc>
          <w:tcPr>
            <w:tcW w:w="1478" w:type="dxa"/>
            <w:shd w:val="clear" w:color="auto" w:fill="auto"/>
          </w:tcPr>
          <w:p w14:paraId="34987F60" w14:textId="77777777" w:rsidR="00CA11D6" w:rsidRPr="00806B7F" w:rsidRDefault="00CA11D6" w:rsidP="00A369A1">
            <w:pPr>
              <w:jc w:val="center"/>
              <w:rPr>
                <w:rFonts w:ascii="Arial" w:hAnsi="Arial" w:cs="Arial"/>
                <w:sz w:val="20"/>
              </w:rPr>
            </w:pPr>
            <w:r w:rsidRPr="00806B7F">
              <w:rPr>
                <w:rFonts w:ascii="Arial" w:hAnsi="Arial" w:cs="Arial"/>
                <w:sz w:val="20"/>
              </w:rPr>
              <w:t>(14.5)</w:t>
            </w:r>
          </w:p>
        </w:tc>
        <w:tc>
          <w:tcPr>
            <w:tcW w:w="1478" w:type="dxa"/>
          </w:tcPr>
          <w:p w14:paraId="595B4D82" w14:textId="77777777" w:rsidR="00CA11D6" w:rsidRPr="00806B7F" w:rsidRDefault="00CA11D6" w:rsidP="00A369A1">
            <w:pPr>
              <w:jc w:val="center"/>
              <w:rPr>
                <w:rFonts w:ascii="Arial" w:hAnsi="Arial" w:cs="Arial"/>
                <w:sz w:val="20"/>
              </w:rPr>
            </w:pPr>
            <w:r w:rsidRPr="00806B7F">
              <w:rPr>
                <w:rFonts w:ascii="Arial" w:hAnsi="Arial" w:cs="Arial"/>
                <w:sz w:val="20"/>
              </w:rPr>
              <w:t>(25.1)</w:t>
            </w:r>
          </w:p>
        </w:tc>
      </w:tr>
      <w:tr w:rsidR="00CA11D6" w:rsidRPr="00806B7F" w14:paraId="766C374E" w14:textId="77777777" w:rsidTr="00A369A1">
        <w:tc>
          <w:tcPr>
            <w:tcW w:w="1843" w:type="dxa"/>
            <w:shd w:val="clear" w:color="auto" w:fill="auto"/>
          </w:tcPr>
          <w:p w14:paraId="45A88750"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6D5BDF0D"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7888F180"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shd w:val="clear" w:color="auto" w:fill="auto"/>
          </w:tcPr>
          <w:p w14:paraId="38A5BE67"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4986357B" w14:textId="77777777" w:rsidR="00CA11D6" w:rsidRPr="00806B7F" w:rsidRDefault="00CA11D6" w:rsidP="00A369A1">
            <w:pPr>
              <w:jc w:val="center"/>
              <w:rPr>
                <w:rFonts w:ascii="Arial" w:hAnsi="Arial" w:cs="Arial"/>
                <w:sz w:val="20"/>
              </w:rPr>
            </w:pPr>
            <w:r w:rsidRPr="00806B7F">
              <w:rPr>
                <w:rFonts w:ascii="Arial" w:hAnsi="Arial" w:cs="Arial"/>
                <w:sz w:val="20"/>
              </w:rPr>
              <w:t>6.3</w:t>
            </w:r>
          </w:p>
        </w:tc>
        <w:tc>
          <w:tcPr>
            <w:tcW w:w="1478" w:type="dxa"/>
          </w:tcPr>
          <w:p w14:paraId="3CBE9523" w14:textId="77777777" w:rsidR="00CA11D6" w:rsidRPr="00806B7F" w:rsidRDefault="00CA11D6" w:rsidP="00A369A1">
            <w:pPr>
              <w:jc w:val="center"/>
              <w:rPr>
                <w:rFonts w:ascii="Arial" w:hAnsi="Arial" w:cs="Arial"/>
                <w:sz w:val="20"/>
              </w:rPr>
            </w:pPr>
            <w:r w:rsidRPr="00806B7F">
              <w:rPr>
                <w:rFonts w:ascii="Arial" w:hAnsi="Arial" w:cs="Arial"/>
                <w:sz w:val="20"/>
              </w:rPr>
              <w:t>6.7</w:t>
            </w:r>
          </w:p>
        </w:tc>
      </w:tr>
      <w:tr w:rsidR="00CA11D6" w:rsidRPr="00806B7F" w14:paraId="6E2E70CB" w14:textId="77777777" w:rsidTr="00A369A1">
        <w:tc>
          <w:tcPr>
            <w:tcW w:w="1843" w:type="dxa"/>
            <w:shd w:val="clear" w:color="auto" w:fill="auto"/>
          </w:tcPr>
          <w:p w14:paraId="30929224" w14:textId="77777777" w:rsidR="00CA11D6" w:rsidRPr="00806B7F" w:rsidRDefault="00CA11D6" w:rsidP="00A369A1">
            <w:pPr>
              <w:rPr>
                <w:rFonts w:ascii="Arial" w:hAnsi="Arial" w:cs="Arial"/>
                <w:sz w:val="20"/>
              </w:rPr>
            </w:pPr>
            <w:r w:rsidRPr="00806B7F">
              <w:rPr>
                <w:rFonts w:ascii="Arial" w:hAnsi="Arial" w:cs="Arial"/>
                <w:sz w:val="20"/>
              </w:rPr>
              <w:t>Balance 31/3/25</w:t>
            </w:r>
          </w:p>
        </w:tc>
        <w:tc>
          <w:tcPr>
            <w:tcW w:w="1478" w:type="dxa"/>
            <w:shd w:val="clear" w:color="auto" w:fill="auto"/>
          </w:tcPr>
          <w:p w14:paraId="01FD2AA6" w14:textId="77777777" w:rsidR="00CA11D6" w:rsidRPr="00806B7F" w:rsidRDefault="00CA11D6" w:rsidP="00A369A1">
            <w:pPr>
              <w:jc w:val="center"/>
              <w:rPr>
                <w:rFonts w:ascii="Arial" w:hAnsi="Arial" w:cs="Arial"/>
                <w:sz w:val="20"/>
              </w:rPr>
            </w:pPr>
            <w:r w:rsidRPr="00806B7F">
              <w:rPr>
                <w:rFonts w:ascii="Arial" w:hAnsi="Arial" w:cs="Arial"/>
                <w:sz w:val="20"/>
              </w:rPr>
              <w:t>(3.7)</w:t>
            </w:r>
          </w:p>
        </w:tc>
        <w:tc>
          <w:tcPr>
            <w:tcW w:w="1478" w:type="dxa"/>
            <w:shd w:val="clear" w:color="auto" w:fill="auto"/>
          </w:tcPr>
          <w:p w14:paraId="6859E54A" w14:textId="77777777" w:rsidR="00CA11D6" w:rsidRPr="00806B7F" w:rsidRDefault="00CA11D6" w:rsidP="00A369A1">
            <w:pPr>
              <w:jc w:val="center"/>
              <w:rPr>
                <w:rFonts w:ascii="Arial" w:hAnsi="Arial" w:cs="Arial"/>
                <w:sz w:val="20"/>
              </w:rPr>
            </w:pPr>
            <w:r w:rsidRPr="00806B7F">
              <w:rPr>
                <w:rFonts w:ascii="Arial" w:hAnsi="Arial" w:cs="Arial"/>
                <w:sz w:val="20"/>
              </w:rPr>
              <w:t>(1.9)</w:t>
            </w:r>
          </w:p>
        </w:tc>
        <w:tc>
          <w:tcPr>
            <w:tcW w:w="1478" w:type="dxa"/>
            <w:shd w:val="clear" w:color="auto" w:fill="auto"/>
          </w:tcPr>
          <w:p w14:paraId="5BBE308F" w14:textId="77777777" w:rsidR="00CA11D6" w:rsidRPr="00806B7F" w:rsidRDefault="00CA11D6" w:rsidP="00A369A1">
            <w:pPr>
              <w:jc w:val="center"/>
              <w:rPr>
                <w:rFonts w:ascii="Arial" w:hAnsi="Arial" w:cs="Arial"/>
                <w:sz w:val="20"/>
              </w:rPr>
            </w:pPr>
            <w:r w:rsidRPr="00806B7F">
              <w:rPr>
                <w:rFonts w:ascii="Arial" w:hAnsi="Arial" w:cs="Arial"/>
                <w:sz w:val="20"/>
              </w:rPr>
              <w:t>(4.5)</w:t>
            </w:r>
          </w:p>
        </w:tc>
        <w:tc>
          <w:tcPr>
            <w:tcW w:w="1478" w:type="dxa"/>
            <w:shd w:val="clear" w:color="auto" w:fill="auto"/>
          </w:tcPr>
          <w:p w14:paraId="2A59C547" w14:textId="77777777" w:rsidR="00CA11D6" w:rsidRPr="00806B7F" w:rsidRDefault="00CA11D6" w:rsidP="00A369A1">
            <w:pPr>
              <w:jc w:val="center"/>
              <w:rPr>
                <w:rFonts w:ascii="Arial" w:hAnsi="Arial" w:cs="Arial"/>
                <w:sz w:val="20"/>
              </w:rPr>
            </w:pPr>
            <w:r w:rsidRPr="00806B7F">
              <w:rPr>
                <w:rFonts w:ascii="Arial" w:hAnsi="Arial" w:cs="Arial"/>
                <w:sz w:val="20"/>
              </w:rPr>
              <w:t>(8.2)</w:t>
            </w:r>
          </w:p>
        </w:tc>
        <w:tc>
          <w:tcPr>
            <w:tcW w:w="1478" w:type="dxa"/>
          </w:tcPr>
          <w:p w14:paraId="50F1FAC6" w14:textId="77777777" w:rsidR="00CA11D6" w:rsidRPr="00806B7F" w:rsidRDefault="00CA11D6" w:rsidP="00A369A1">
            <w:pPr>
              <w:jc w:val="center"/>
              <w:rPr>
                <w:rFonts w:ascii="Arial" w:hAnsi="Arial" w:cs="Arial"/>
                <w:sz w:val="20"/>
              </w:rPr>
            </w:pPr>
            <w:r w:rsidRPr="00806B7F">
              <w:rPr>
                <w:rFonts w:ascii="Arial" w:hAnsi="Arial" w:cs="Arial"/>
                <w:sz w:val="20"/>
              </w:rPr>
              <w:t>(18.3)</w:t>
            </w:r>
          </w:p>
        </w:tc>
      </w:tr>
      <w:tr w:rsidR="00CA11D6" w:rsidRPr="00806B7F" w14:paraId="0EC6C7E3" w14:textId="77777777" w:rsidTr="00A369A1">
        <w:tc>
          <w:tcPr>
            <w:tcW w:w="1843" w:type="dxa"/>
            <w:shd w:val="clear" w:color="auto" w:fill="auto"/>
          </w:tcPr>
          <w:p w14:paraId="06AA070C"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43DD0F08" w14:textId="77777777" w:rsidR="00CA11D6" w:rsidRPr="00806B7F" w:rsidRDefault="00CA11D6" w:rsidP="00A369A1">
            <w:pPr>
              <w:jc w:val="center"/>
              <w:rPr>
                <w:rFonts w:ascii="Arial" w:hAnsi="Arial" w:cs="Arial"/>
                <w:sz w:val="20"/>
              </w:rPr>
            </w:pPr>
            <w:r w:rsidRPr="00806B7F">
              <w:rPr>
                <w:rFonts w:ascii="Arial" w:hAnsi="Arial" w:cs="Arial"/>
                <w:sz w:val="20"/>
              </w:rPr>
              <w:t>0.4</w:t>
            </w:r>
          </w:p>
        </w:tc>
        <w:tc>
          <w:tcPr>
            <w:tcW w:w="1478" w:type="dxa"/>
            <w:shd w:val="clear" w:color="auto" w:fill="auto"/>
          </w:tcPr>
          <w:p w14:paraId="12967E2D"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shd w:val="clear" w:color="auto" w:fill="auto"/>
          </w:tcPr>
          <w:p w14:paraId="327336C7"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09092D23" w14:textId="77777777" w:rsidR="00CA11D6" w:rsidRPr="00806B7F" w:rsidRDefault="00CA11D6" w:rsidP="00A369A1">
            <w:pPr>
              <w:jc w:val="center"/>
              <w:rPr>
                <w:rFonts w:ascii="Arial" w:hAnsi="Arial" w:cs="Arial"/>
                <w:sz w:val="20"/>
              </w:rPr>
            </w:pPr>
            <w:r w:rsidRPr="00806B7F">
              <w:rPr>
                <w:rFonts w:ascii="Arial" w:hAnsi="Arial" w:cs="Arial"/>
                <w:sz w:val="20"/>
              </w:rPr>
              <w:t>7.0</w:t>
            </w:r>
          </w:p>
        </w:tc>
        <w:tc>
          <w:tcPr>
            <w:tcW w:w="1478" w:type="dxa"/>
          </w:tcPr>
          <w:p w14:paraId="40155E13" w14:textId="77777777" w:rsidR="00CA11D6" w:rsidRPr="00806B7F" w:rsidRDefault="00CA11D6" w:rsidP="00A369A1">
            <w:pPr>
              <w:jc w:val="center"/>
              <w:rPr>
                <w:rFonts w:ascii="Arial" w:hAnsi="Arial" w:cs="Arial"/>
                <w:sz w:val="20"/>
              </w:rPr>
            </w:pPr>
            <w:r w:rsidRPr="00806B7F">
              <w:rPr>
                <w:rFonts w:ascii="Arial" w:hAnsi="Arial" w:cs="Arial"/>
                <w:sz w:val="20"/>
              </w:rPr>
              <w:t>7.6</w:t>
            </w:r>
          </w:p>
        </w:tc>
      </w:tr>
      <w:tr w:rsidR="00CA11D6" w:rsidRPr="00806B7F" w14:paraId="415B9B4B" w14:textId="77777777" w:rsidTr="00A369A1">
        <w:tc>
          <w:tcPr>
            <w:tcW w:w="1843" w:type="dxa"/>
            <w:shd w:val="clear" w:color="auto" w:fill="auto"/>
          </w:tcPr>
          <w:p w14:paraId="7AEEFFCA" w14:textId="77777777" w:rsidR="00CA11D6" w:rsidRPr="00806B7F" w:rsidRDefault="00CA11D6" w:rsidP="00A369A1">
            <w:pPr>
              <w:rPr>
                <w:rFonts w:ascii="Arial" w:hAnsi="Arial" w:cs="Arial"/>
                <w:sz w:val="20"/>
              </w:rPr>
            </w:pPr>
            <w:r w:rsidRPr="00806B7F">
              <w:rPr>
                <w:rFonts w:ascii="Arial" w:hAnsi="Arial" w:cs="Arial"/>
                <w:sz w:val="20"/>
              </w:rPr>
              <w:t>Balance 31/3/26</w:t>
            </w:r>
          </w:p>
        </w:tc>
        <w:tc>
          <w:tcPr>
            <w:tcW w:w="1478" w:type="dxa"/>
            <w:shd w:val="clear" w:color="auto" w:fill="auto"/>
          </w:tcPr>
          <w:p w14:paraId="3DD7EEA8" w14:textId="77777777" w:rsidR="00CA11D6" w:rsidRPr="00806B7F" w:rsidRDefault="00CA11D6" w:rsidP="00A369A1">
            <w:pPr>
              <w:jc w:val="center"/>
              <w:rPr>
                <w:rFonts w:ascii="Arial" w:hAnsi="Arial" w:cs="Arial"/>
                <w:sz w:val="20"/>
              </w:rPr>
            </w:pPr>
            <w:r w:rsidRPr="00806B7F">
              <w:rPr>
                <w:rFonts w:ascii="Arial" w:hAnsi="Arial" w:cs="Arial"/>
                <w:sz w:val="20"/>
              </w:rPr>
              <w:t>(3.3)</w:t>
            </w:r>
          </w:p>
        </w:tc>
        <w:tc>
          <w:tcPr>
            <w:tcW w:w="1478" w:type="dxa"/>
            <w:shd w:val="clear" w:color="auto" w:fill="auto"/>
          </w:tcPr>
          <w:p w14:paraId="1FEB69B1" w14:textId="77777777" w:rsidR="00CA11D6" w:rsidRPr="00806B7F" w:rsidRDefault="00CA11D6" w:rsidP="00A369A1">
            <w:pPr>
              <w:jc w:val="center"/>
              <w:rPr>
                <w:rFonts w:ascii="Arial" w:hAnsi="Arial" w:cs="Arial"/>
                <w:sz w:val="20"/>
              </w:rPr>
            </w:pPr>
            <w:r w:rsidRPr="00806B7F">
              <w:rPr>
                <w:rFonts w:ascii="Arial" w:hAnsi="Arial" w:cs="Arial"/>
                <w:sz w:val="20"/>
              </w:rPr>
              <w:t>(1.9)</w:t>
            </w:r>
          </w:p>
        </w:tc>
        <w:tc>
          <w:tcPr>
            <w:tcW w:w="1478" w:type="dxa"/>
            <w:shd w:val="clear" w:color="auto" w:fill="auto"/>
          </w:tcPr>
          <w:p w14:paraId="254269CB" w14:textId="77777777" w:rsidR="00CA11D6" w:rsidRPr="00806B7F" w:rsidRDefault="00CA11D6" w:rsidP="00A369A1">
            <w:pPr>
              <w:jc w:val="center"/>
              <w:rPr>
                <w:rFonts w:ascii="Arial" w:hAnsi="Arial" w:cs="Arial"/>
                <w:sz w:val="20"/>
              </w:rPr>
            </w:pPr>
            <w:r w:rsidRPr="00806B7F">
              <w:rPr>
                <w:rFonts w:ascii="Arial" w:hAnsi="Arial" w:cs="Arial"/>
                <w:sz w:val="20"/>
              </w:rPr>
              <w:t>(4.3)</w:t>
            </w:r>
          </w:p>
        </w:tc>
        <w:tc>
          <w:tcPr>
            <w:tcW w:w="1478" w:type="dxa"/>
            <w:shd w:val="clear" w:color="auto" w:fill="auto"/>
          </w:tcPr>
          <w:p w14:paraId="7FE156F3" w14:textId="77777777" w:rsidR="00CA11D6" w:rsidRPr="00806B7F" w:rsidRDefault="00CA11D6" w:rsidP="00A369A1">
            <w:pPr>
              <w:jc w:val="center"/>
              <w:rPr>
                <w:rFonts w:ascii="Arial" w:hAnsi="Arial" w:cs="Arial"/>
                <w:sz w:val="20"/>
              </w:rPr>
            </w:pPr>
            <w:r w:rsidRPr="00806B7F">
              <w:rPr>
                <w:rFonts w:ascii="Arial" w:hAnsi="Arial" w:cs="Arial"/>
                <w:sz w:val="20"/>
              </w:rPr>
              <w:t>(1.2)</w:t>
            </w:r>
          </w:p>
        </w:tc>
        <w:tc>
          <w:tcPr>
            <w:tcW w:w="1478" w:type="dxa"/>
          </w:tcPr>
          <w:p w14:paraId="02D1B00D" w14:textId="77777777" w:rsidR="00CA11D6" w:rsidRPr="00806B7F" w:rsidRDefault="00CA11D6" w:rsidP="00A369A1">
            <w:pPr>
              <w:jc w:val="center"/>
              <w:rPr>
                <w:rFonts w:ascii="Arial" w:hAnsi="Arial" w:cs="Arial"/>
                <w:sz w:val="20"/>
              </w:rPr>
            </w:pPr>
            <w:r w:rsidRPr="00806B7F">
              <w:rPr>
                <w:rFonts w:ascii="Arial" w:hAnsi="Arial" w:cs="Arial"/>
                <w:sz w:val="20"/>
              </w:rPr>
              <w:t>(10.7)</w:t>
            </w:r>
          </w:p>
        </w:tc>
      </w:tr>
      <w:tr w:rsidR="00CA11D6" w:rsidRPr="00806B7F" w14:paraId="011C4783" w14:textId="77777777" w:rsidTr="00A369A1">
        <w:tc>
          <w:tcPr>
            <w:tcW w:w="1843" w:type="dxa"/>
            <w:shd w:val="clear" w:color="auto" w:fill="auto"/>
          </w:tcPr>
          <w:p w14:paraId="72616B68"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1E62597D"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3E0FC8AF"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shd w:val="clear" w:color="auto" w:fill="auto"/>
          </w:tcPr>
          <w:p w14:paraId="7E92A4DB" w14:textId="77777777" w:rsidR="00CA11D6" w:rsidRPr="00806B7F" w:rsidRDefault="00CA11D6" w:rsidP="00A369A1">
            <w:pPr>
              <w:jc w:val="center"/>
              <w:rPr>
                <w:rFonts w:ascii="Arial" w:hAnsi="Arial" w:cs="Arial"/>
                <w:sz w:val="20"/>
              </w:rPr>
            </w:pPr>
            <w:r w:rsidRPr="00806B7F">
              <w:rPr>
                <w:rFonts w:ascii="Arial" w:hAnsi="Arial" w:cs="Arial"/>
                <w:sz w:val="20"/>
              </w:rPr>
              <w:t>0.2</w:t>
            </w:r>
          </w:p>
        </w:tc>
        <w:tc>
          <w:tcPr>
            <w:tcW w:w="1478" w:type="dxa"/>
            <w:shd w:val="clear" w:color="auto" w:fill="auto"/>
          </w:tcPr>
          <w:p w14:paraId="5ACB6A1B" w14:textId="77777777" w:rsidR="00CA11D6" w:rsidRPr="00806B7F" w:rsidRDefault="00CA11D6" w:rsidP="00A369A1">
            <w:pPr>
              <w:jc w:val="center"/>
              <w:rPr>
                <w:rFonts w:ascii="Arial" w:hAnsi="Arial" w:cs="Arial"/>
                <w:sz w:val="20"/>
              </w:rPr>
            </w:pPr>
            <w:r w:rsidRPr="00806B7F">
              <w:rPr>
                <w:rFonts w:ascii="Arial" w:hAnsi="Arial" w:cs="Arial"/>
                <w:sz w:val="20"/>
              </w:rPr>
              <w:t>1.2</w:t>
            </w:r>
          </w:p>
        </w:tc>
        <w:tc>
          <w:tcPr>
            <w:tcW w:w="1478" w:type="dxa"/>
          </w:tcPr>
          <w:p w14:paraId="48B27416" w14:textId="77777777" w:rsidR="00CA11D6" w:rsidRPr="00806B7F" w:rsidRDefault="00CA11D6" w:rsidP="00A369A1">
            <w:pPr>
              <w:jc w:val="center"/>
              <w:rPr>
                <w:rFonts w:ascii="Arial" w:hAnsi="Arial" w:cs="Arial"/>
                <w:sz w:val="20"/>
              </w:rPr>
            </w:pPr>
            <w:r w:rsidRPr="00806B7F">
              <w:rPr>
                <w:rFonts w:ascii="Arial" w:hAnsi="Arial" w:cs="Arial"/>
                <w:sz w:val="20"/>
              </w:rPr>
              <w:t>1.6</w:t>
            </w:r>
          </w:p>
        </w:tc>
      </w:tr>
      <w:tr w:rsidR="00CA11D6" w:rsidRPr="00806B7F" w14:paraId="5B08A1B5" w14:textId="77777777" w:rsidTr="00A369A1">
        <w:tc>
          <w:tcPr>
            <w:tcW w:w="1843" w:type="dxa"/>
            <w:shd w:val="clear" w:color="auto" w:fill="auto"/>
          </w:tcPr>
          <w:p w14:paraId="34F02610" w14:textId="77777777" w:rsidR="00CA11D6" w:rsidRPr="00806B7F" w:rsidRDefault="00CA11D6" w:rsidP="00A369A1">
            <w:pPr>
              <w:rPr>
                <w:rFonts w:ascii="Arial" w:hAnsi="Arial" w:cs="Arial"/>
                <w:sz w:val="20"/>
              </w:rPr>
            </w:pPr>
            <w:r w:rsidRPr="00806B7F">
              <w:rPr>
                <w:rFonts w:ascii="Arial" w:hAnsi="Arial" w:cs="Arial"/>
                <w:sz w:val="20"/>
              </w:rPr>
              <w:t>Balance 31/3/27</w:t>
            </w:r>
          </w:p>
        </w:tc>
        <w:tc>
          <w:tcPr>
            <w:tcW w:w="1478" w:type="dxa"/>
            <w:shd w:val="clear" w:color="auto" w:fill="auto"/>
          </w:tcPr>
          <w:p w14:paraId="7BF0F380" w14:textId="77777777" w:rsidR="00CA11D6" w:rsidRPr="00806B7F" w:rsidRDefault="00CA11D6" w:rsidP="00A369A1">
            <w:pPr>
              <w:jc w:val="center"/>
              <w:rPr>
                <w:rFonts w:ascii="Arial" w:hAnsi="Arial" w:cs="Arial"/>
                <w:sz w:val="20"/>
              </w:rPr>
            </w:pPr>
            <w:r w:rsidRPr="00806B7F">
              <w:rPr>
                <w:rFonts w:ascii="Arial" w:hAnsi="Arial" w:cs="Arial"/>
                <w:sz w:val="20"/>
              </w:rPr>
              <w:t>(3.1)</w:t>
            </w:r>
          </w:p>
        </w:tc>
        <w:tc>
          <w:tcPr>
            <w:tcW w:w="1478" w:type="dxa"/>
            <w:shd w:val="clear" w:color="auto" w:fill="auto"/>
          </w:tcPr>
          <w:p w14:paraId="65BA69F9" w14:textId="77777777" w:rsidR="00CA11D6" w:rsidRPr="00806B7F" w:rsidRDefault="00CA11D6" w:rsidP="00A369A1">
            <w:pPr>
              <w:jc w:val="center"/>
              <w:rPr>
                <w:rFonts w:ascii="Arial" w:hAnsi="Arial" w:cs="Arial"/>
                <w:sz w:val="20"/>
              </w:rPr>
            </w:pPr>
            <w:r w:rsidRPr="00806B7F">
              <w:rPr>
                <w:rFonts w:ascii="Arial" w:hAnsi="Arial" w:cs="Arial"/>
                <w:sz w:val="20"/>
              </w:rPr>
              <w:t>(1.9)</w:t>
            </w:r>
          </w:p>
        </w:tc>
        <w:tc>
          <w:tcPr>
            <w:tcW w:w="1478" w:type="dxa"/>
            <w:shd w:val="clear" w:color="auto" w:fill="auto"/>
          </w:tcPr>
          <w:p w14:paraId="3B80706A" w14:textId="77777777" w:rsidR="00CA11D6" w:rsidRPr="00806B7F" w:rsidRDefault="00CA11D6" w:rsidP="00A369A1">
            <w:pPr>
              <w:jc w:val="center"/>
              <w:rPr>
                <w:rFonts w:ascii="Arial" w:hAnsi="Arial" w:cs="Arial"/>
                <w:sz w:val="20"/>
              </w:rPr>
            </w:pPr>
            <w:r w:rsidRPr="00806B7F">
              <w:rPr>
                <w:rFonts w:ascii="Arial" w:hAnsi="Arial" w:cs="Arial"/>
                <w:sz w:val="20"/>
              </w:rPr>
              <w:t>(4.0)</w:t>
            </w:r>
          </w:p>
        </w:tc>
        <w:tc>
          <w:tcPr>
            <w:tcW w:w="1478" w:type="dxa"/>
            <w:shd w:val="clear" w:color="auto" w:fill="auto"/>
          </w:tcPr>
          <w:p w14:paraId="49656F1E"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tcPr>
          <w:p w14:paraId="5364BF38" w14:textId="77777777" w:rsidR="00CA11D6" w:rsidRPr="00806B7F" w:rsidRDefault="00CA11D6" w:rsidP="00A369A1">
            <w:pPr>
              <w:jc w:val="center"/>
              <w:rPr>
                <w:rFonts w:ascii="Arial" w:hAnsi="Arial" w:cs="Arial"/>
                <w:sz w:val="20"/>
              </w:rPr>
            </w:pPr>
            <w:r w:rsidRPr="00806B7F">
              <w:rPr>
                <w:rFonts w:ascii="Arial" w:hAnsi="Arial" w:cs="Arial"/>
                <w:sz w:val="20"/>
              </w:rPr>
              <w:t>(9.1)</w:t>
            </w:r>
          </w:p>
        </w:tc>
      </w:tr>
      <w:tr w:rsidR="00CA11D6" w:rsidRPr="00806B7F" w14:paraId="295BCA56" w14:textId="77777777" w:rsidTr="00A369A1">
        <w:tc>
          <w:tcPr>
            <w:tcW w:w="1843" w:type="dxa"/>
            <w:shd w:val="clear" w:color="auto" w:fill="auto"/>
          </w:tcPr>
          <w:p w14:paraId="753078D6" w14:textId="77777777" w:rsidR="00CA11D6" w:rsidRPr="00806B7F" w:rsidRDefault="00CA11D6" w:rsidP="00A369A1">
            <w:pPr>
              <w:rPr>
                <w:rFonts w:ascii="Arial" w:hAnsi="Arial" w:cs="Arial"/>
                <w:sz w:val="20"/>
              </w:rPr>
            </w:pPr>
            <w:r w:rsidRPr="00806B7F">
              <w:rPr>
                <w:rFonts w:ascii="Arial" w:hAnsi="Arial" w:cs="Arial"/>
                <w:sz w:val="20"/>
              </w:rPr>
              <w:t>Change in year</w:t>
            </w:r>
          </w:p>
        </w:tc>
        <w:tc>
          <w:tcPr>
            <w:tcW w:w="1478" w:type="dxa"/>
            <w:shd w:val="clear" w:color="auto" w:fill="auto"/>
          </w:tcPr>
          <w:p w14:paraId="5F98B302"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shd w:val="clear" w:color="auto" w:fill="auto"/>
          </w:tcPr>
          <w:p w14:paraId="00184AF1"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shd w:val="clear" w:color="auto" w:fill="auto"/>
          </w:tcPr>
          <w:p w14:paraId="3EFFB2A7" w14:textId="77777777" w:rsidR="00CA11D6" w:rsidRPr="00806B7F" w:rsidRDefault="00CA11D6" w:rsidP="00A369A1">
            <w:pPr>
              <w:jc w:val="center"/>
              <w:rPr>
                <w:rFonts w:ascii="Arial" w:hAnsi="Arial" w:cs="Arial"/>
                <w:sz w:val="20"/>
              </w:rPr>
            </w:pPr>
            <w:r w:rsidRPr="00806B7F">
              <w:rPr>
                <w:rFonts w:ascii="Arial" w:hAnsi="Arial" w:cs="Arial"/>
                <w:sz w:val="20"/>
              </w:rPr>
              <w:t>0.3</w:t>
            </w:r>
          </w:p>
        </w:tc>
        <w:tc>
          <w:tcPr>
            <w:tcW w:w="1478" w:type="dxa"/>
            <w:shd w:val="clear" w:color="auto" w:fill="auto"/>
          </w:tcPr>
          <w:p w14:paraId="727585DC"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tcPr>
          <w:p w14:paraId="219D448E" w14:textId="77777777" w:rsidR="00CA11D6" w:rsidRPr="00806B7F" w:rsidRDefault="00CA11D6" w:rsidP="00A369A1">
            <w:pPr>
              <w:jc w:val="center"/>
              <w:rPr>
                <w:rFonts w:ascii="Arial" w:hAnsi="Arial" w:cs="Arial"/>
                <w:sz w:val="20"/>
              </w:rPr>
            </w:pPr>
            <w:r w:rsidRPr="00806B7F">
              <w:rPr>
                <w:rFonts w:ascii="Arial" w:hAnsi="Arial" w:cs="Arial"/>
                <w:sz w:val="20"/>
              </w:rPr>
              <w:t>0.2</w:t>
            </w:r>
          </w:p>
        </w:tc>
      </w:tr>
      <w:tr w:rsidR="00CA11D6" w:rsidRPr="00806B7F" w14:paraId="5D7E95FD" w14:textId="77777777" w:rsidTr="00A369A1">
        <w:tc>
          <w:tcPr>
            <w:tcW w:w="1843" w:type="dxa"/>
            <w:shd w:val="clear" w:color="auto" w:fill="auto"/>
          </w:tcPr>
          <w:p w14:paraId="416E1B69" w14:textId="77777777" w:rsidR="00CA11D6" w:rsidRPr="00806B7F" w:rsidRDefault="00CA11D6" w:rsidP="00A369A1">
            <w:pPr>
              <w:rPr>
                <w:rFonts w:ascii="Arial" w:hAnsi="Arial" w:cs="Arial"/>
                <w:sz w:val="20"/>
              </w:rPr>
            </w:pPr>
            <w:r w:rsidRPr="00806B7F">
              <w:rPr>
                <w:rFonts w:ascii="Arial" w:hAnsi="Arial" w:cs="Arial"/>
                <w:sz w:val="20"/>
              </w:rPr>
              <w:t>Balance 31/3/28</w:t>
            </w:r>
          </w:p>
        </w:tc>
        <w:tc>
          <w:tcPr>
            <w:tcW w:w="1478" w:type="dxa"/>
            <w:shd w:val="clear" w:color="auto" w:fill="auto"/>
          </w:tcPr>
          <w:p w14:paraId="381E60A3" w14:textId="77777777" w:rsidR="00CA11D6" w:rsidRPr="00806B7F" w:rsidRDefault="00CA11D6" w:rsidP="00A369A1">
            <w:pPr>
              <w:jc w:val="center"/>
              <w:rPr>
                <w:rFonts w:ascii="Arial" w:hAnsi="Arial" w:cs="Arial"/>
                <w:sz w:val="20"/>
              </w:rPr>
            </w:pPr>
            <w:r w:rsidRPr="00806B7F">
              <w:rPr>
                <w:rFonts w:ascii="Arial" w:hAnsi="Arial" w:cs="Arial"/>
                <w:sz w:val="20"/>
              </w:rPr>
              <w:t>(3.2)</w:t>
            </w:r>
          </w:p>
        </w:tc>
        <w:tc>
          <w:tcPr>
            <w:tcW w:w="1478" w:type="dxa"/>
            <w:shd w:val="clear" w:color="auto" w:fill="auto"/>
          </w:tcPr>
          <w:p w14:paraId="006E30B9" w14:textId="77777777" w:rsidR="00CA11D6" w:rsidRPr="00806B7F" w:rsidRDefault="00CA11D6" w:rsidP="00A369A1">
            <w:pPr>
              <w:jc w:val="center"/>
              <w:rPr>
                <w:rFonts w:ascii="Arial" w:hAnsi="Arial" w:cs="Arial"/>
                <w:sz w:val="20"/>
              </w:rPr>
            </w:pPr>
            <w:r w:rsidRPr="00806B7F">
              <w:rPr>
                <w:rFonts w:ascii="Arial" w:hAnsi="Arial" w:cs="Arial"/>
                <w:sz w:val="20"/>
              </w:rPr>
              <w:t>(1.9)</w:t>
            </w:r>
          </w:p>
        </w:tc>
        <w:tc>
          <w:tcPr>
            <w:tcW w:w="1478" w:type="dxa"/>
            <w:shd w:val="clear" w:color="auto" w:fill="auto"/>
          </w:tcPr>
          <w:p w14:paraId="1E4FE514" w14:textId="77777777" w:rsidR="00CA11D6" w:rsidRPr="00806B7F" w:rsidRDefault="00CA11D6" w:rsidP="00A369A1">
            <w:pPr>
              <w:jc w:val="center"/>
              <w:rPr>
                <w:rFonts w:ascii="Arial" w:hAnsi="Arial" w:cs="Arial"/>
                <w:sz w:val="20"/>
              </w:rPr>
            </w:pPr>
            <w:r w:rsidRPr="00806B7F">
              <w:rPr>
                <w:rFonts w:ascii="Arial" w:hAnsi="Arial" w:cs="Arial"/>
                <w:sz w:val="20"/>
              </w:rPr>
              <w:t>(3.7)</w:t>
            </w:r>
          </w:p>
        </w:tc>
        <w:tc>
          <w:tcPr>
            <w:tcW w:w="1478" w:type="dxa"/>
            <w:shd w:val="clear" w:color="auto" w:fill="auto"/>
          </w:tcPr>
          <w:p w14:paraId="7A13E8C2" w14:textId="77777777" w:rsidR="00CA11D6" w:rsidRPr="00806B7F" w:rsidRDefault="00CA11D6" w:rsidP="00A369A1">
            <w:pPr>
              <w:jc w:val="center"/>
              <w:rPr>
                <w:rFonts w:ascii="Arial" w:hAnsi="Arial" w:cs="Arial"/>
                <w:sz w:val="20"/>
              </w:rPr>
            </w:pPr>
            <w:r w:rsidRPr="00806B7F">
              <w:rPr>
                <w:rFonts w:ascii="Arial" w:hAnsi="Arial" w:cs="Arial"/>
                <w:sz w:val="20"/>
              </w:rPr>
              <w:t>0.0</w:t>
            </w:r>
          </w:p>
        </w:tc>
        <w:tc>
          <w:tcPr>
            <w:tcW w:w="1478" w:type="dxa"/>
          </w:tcPr>
          <w:p w14:paraId="68D56488" w14:textId="77777777" w:rsidR="00CA11D6" w:rsidRPr="00806B7F" w:rsidRDefault="00CA11D6" w:rsidP="00A369A1">
            <w:pPr>
              <w:jc w:val="center"/>
              <w:rPr>
                <w:rFonts w:ascii="Arial" w:hAnsi="Arial" w:cs="Arial"/>
                <w:sz w:val="20"/>
              </w:rPr>
            </w:pPr>
            <w:r w:rsidRPr="00806B7F">
              <w:rPr>
                <w:rFonts w:ascii="Arial" w:hAnsi="Arial" w:cs="Arial"/>
                <w:sz w:val="20"/>
              </w:rPr>
              <w:t>(8.8)</w:t>
            </w:r>
          </w:p>
        </w:tc>
      </w:tr>
      <w:bookmarkEnd w:id="2"/>
    </w:tbl>
    <w:p w14:paraId="5C4CE9EB" w14:textId="77777777" w:rsidR="00CA11D6" w:rsidRPr="00806B7F" w:rsidRDefault="00CA11D6" w:rsidP="00DB5DCF">
      <w:pPr>
        <w:rPr>
          <w:rFonts w:ascii="Arial" w:hAnsi="Arial" w:cs="Arial"/>
          <w:b/>
          <w:color w:val="000000" w:themeColor="text1"/>
          <w:sz w:val="20"/>
        </w:rPr>
      </w:pPr>
    </w:p>
    <w:p w14:paraId="0DB6C280"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Graph 1 Reserve Balances March 22 to March 28</w:t>
      </w:r>
    </w:p>
    <w:p w14:paraId="37507215" w14:textId="77777777" w:rsidR="00CA11D6" w:rsidRPr="00806B7F" w:rsidRDefault="00CA11D6" w:rsidP="00CA11D6">
      <w:pPr>
        <w:rPr>
          <w:rFonts w:ascii="Arial" w:hAnsi="Arial" w:cs="Arial"/>
          <w:sz w:val="20"/>
        </w:rPr>
      </w:pPr>
      <w:r w:rsidRPr="00806B7F">
        <w:rPr>
          <w:rFonts w:ascii="Arial" w:hAnsi="Arial" w:cs="Arial"/>
          <w:noProof/>
          <w:sz w:val="20"/>
        </w:rPr>
        <w:drawing>
          <wp:inline distT="0" distB="0" distL="0" distR="0" wp14:anchorId="4FA726D1" wp14:editId="5A890F91">
            <wp:extent cx="5106364" cy="262890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1169" cy="2651967"/>
                    </a:xfrm>
                    <a:prstGeom prst="rect">
                      <a:avLst/>
                    </a:prstGeom>
                    <a:noFill/>
                  </pic:spPr>
                </pic:pic>
              </a:graphicData>
            </a:graphic>
          </wp:inline>
        </w:drawing>
      </w:r>
    </w:p>
    <w:p w14:paraId="24355158" w14:textId="77777777" w:rsidR="00CA11D6" w:rsidRPr="00806B7F" w:rsidRDefault="00CA11D6" w:rsidP="00CA11D6">
      <w:pPr>
        <w:rPr>
          <w:rFonts w:ascii="Arial" w:hAnsi="Arial" w:cs="Arial"/>
          <w:sz w:val="20"/>
        </w:rPr>
      </w:pPr>
    </w:p>
    <w:p w14:paraId="2C7E5BE9" w14:textId="77777777" w:rsidR="00CA11D6" w:rsidRPr="00806B7F" w:rsidRDefault="00CA11D6" w:rsidP="00CA11D6">
      <w:pPr>
        <w:pStyle w:val="Heading5"/>
        <w:jc w:val="both"/>
        <w:rPr>
          <w:rFonts w:ascii="Arial" w:hAnsi="Arial" w:cs="Arial"/>
          <w:b w:val="0"/>
          <w:color w:val="000000" w:themeColor="text1"/>
          <w:sz w:val="20"/>
          <w:szCs w:val="20"/>
          <w:highlight w:val="yellow"/>
        </w:rPr>
      </w:pPr>
      <w:r w:rsidRPr="00806B7F">
        <w:rPr>
          <w:rFonts w:ascii="Arial" w:hAnsi="Arial" w:cs="Arial"/>
          <w:b w:val="0"/>
          <w:color w:val="000000" w:themeColor="text1"/>
          <w:sz w:val="20"/>
          <w:szCs w:val="20"/>
        </w:rPr>
        <w:t xml:space="preserve">The level of reserves reduces by over £20m over the next 3 financial years, reflecting the scale of the capital programme. Our general reserve remains above our minimum requirement throughout the period, reflecting the increase in council tax included in the revenue budget report. The position will be subject to significant change as pension costs, funding, inflation, pay awards etc become clearer in future years. The annual refresh of this policy will identify the impact of any changes as they develop. </w:t>
      </w:r>
    </w:p>
    <w:p w14:paraId="0698C34E" w14:textId="77777777" w:rsidR="00CA11D6" w:rsidRPr="00806B7F" w:rsidRDefault="00CA11D6" w:rsidP="00DB5DCF">
      <w:pPr>
        <w:rPr>
          <w:rFonts w:ascii="Arial" w:hAnsi="Arial" w:cs="Arial"/>
          <w:color w:val="000000" w:themeColor="text1"/>
          <w:sz w:val="20"/>
        </w:rPr>
      </w:pPr>
    </w:p>
    <w:p w14:paraId="2D8929A8" w14:textId="77777777" w:rsidR="00CA11D6" w:rsidRPr="00806B7F" w:rsidRDefault="00CA11D6" w:rsidP="00CA11D6">
      <w:pPr>
        <w:jc w:val="both"/>
        <w:rPr>
          <w:rFonts w:ascii="Arial" w:hAnsi="Arial" w:cs="Arial"/>
          <w:b/>
          <w:color w:val="000000" w:themeColor="text1"/>
          <w:sz w:val="20"/>
        </w:rPr>
      </w:pPr>
      <w:r w:rsidRPr="00806B7F">
        <w:rPr>
          <w:rFonts w:ascii="Arial" w:hAnsi="Arial" w:cs="Arial"/>
          <w:b/>
          <w:color w:val="000000" w:themeColor="text1"/>
          <w:sz w:val="20"/>
        </w:rPr>
        <w:t>Provisions</w:t>
      </w:r>
    </w:p>
    <w:p w14:paraId="020FCCDB" w14:textId="77777777" w:rsidR="00CA11D6" w:rsidRPr="00806B7F" w:rsidRDefault="00CA11D6" w:rsidP="00DB5DCF">
      <w:pPr>
        <w:rPr>
          <w:rFonts w:ascii="Arial" w:hAnsi="Arial" w:cs="Arial"/>
          <w:color w:val="000000" w:themeColor="text1"/>
          <w:sz w:val="20"/>
        </w:rPr>
      </w:pPr>
    </w:p>
    <w:p w14:paraId="3332913A"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In addition to the above reserves the Authority also has two provisions to meet future estimated liabilities: -</w:t>
      </w:r>
    </w:p>
    <w:p w14:paraId="35FA233B" w14:textId="77777777" w:rsidR="00CA11D6" w:rsidRPr="00806B7F" w:rsidRDefault="00CA11D6" w:rsidP="00DB5DCF">
      <w:pPr>
        <w:rPr>
          <w:rFonts w:ascii="Arial" w:hAnsi="Arial" w:cs="Arial"/>
          <w:color w:val="000000" w:themeColor="text1"/>
          <w:sz w:val="20"/>
        </w:rPr>
      </w:pPr>
    </w:p>
    <w:p w14:paraId="58267203" w14:textId="77777777" w:rsidR="00CA11D6" w:rsidRPr="00806B7F" w:rsidRDefault="00CA11D6" w:rsidP="00CA11D6">
      <w:pPr>
        <w:pStyle w:val="BodyText3"/>
        <w:jc w:val="both"/>
        <w:rPr>
          <w:rFonts w:ascii="Arial" w:hAnsi="Arial" w:cs="Arial"/>
          <w:color w:val="000000" w:themeColor="text1"/>
          <w:sz w:val="20"/>
          <w:szCs w:val="20"/>
          <w:u w:val="single"/>
        </w:rPr>
      </w:pPr>
      <w:r w:rsidRPr="00806B7F">
        <w:rPr>
          <w:rFonts w:ascii="Arial" w:hAnsi="Arial" w:cs="Arial"/>
          <w:color w:val="000000" w:themeColor="text1"/>
          <w:sz w:val="20"/>
          <w:szCs w:val="20"/>
          <w:u w:val="single"/>
        </w:rPr>
        <w:t>Insurance Provision</w:t>
      </w:r>
    </w:p>
    <w:p w14:paraId="55F0C64A"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This covers potential liabilities associated with outstanding insurance claims. Any claims for which we have been notified and where we are at fault will result in a legal commitment, however as the extent of these cannot be accurately assessed at the present time this provision is created to meet any element of cost for which we are liable, i.e. which are not reimbursable from insurers as they fall below individual excess clauses and the annual self-insured limits. This provision fully covers all estimated costs associated with outstanding claims.</w:t>
      </w:r>
    </w:p>
    <w:p w14:paraId="10F3DFA0" w14:textId="77777777" w:rsidR="00CA11D6" w:rsidRPr="00806B7F" w:rsidRDefault="00CA11D6" w:rsidP="00DB5DCF">
      <w:pPr>
        <w:rPr>
          <w:rFonts w:ascii="Arial" w:hAnsi="Arial" w:cs="Arial"/>
          <w:color w:val="000000" w:themeColor="text1"/>
          <w:sz w:val="20"/>
        </w:rPr>
      </w:pPr>
    </w:p>
    <w:p w14:paraId="76D6AF53" w14:textId="77777777" w:rsidR="00CA11D6" w:rsidRPr="00806B7F" w:rsidRDefault="00CA11D6" w:rsidP="00DB5DCF">
      <w:pPr>
        <w:rPr>
          <w:rFonts w:ascii="Arial" w:hAnsi="Arial" w:cs="Arial"/>
          <w:color w:val="000000" w:themeColor="text1"/>
          <w:sz w:val="20"/>
          <w:highlight w:val="yellow"/>
        </w:rPr>
      </w:pPr>
      <w:r w:rsidRPr="00DB5DCF">
        <w:rPr>
          <w:rFonts w:ascii="Arial" w:hAnsi="Arial" w:cs="Arial"/>
          <w:sz w:val="20"/>
        </w:rPr>
        <w:t>The</w:t>
      </w:r>
      <w:r w:rsidRPr="00806B7F">
        <w:rPr>
          <w:rFonts w:ascii="Arial" w:hAnsi="Arial" w:cs="Arial"/>
          <w:color w:val="000000" w:themeColor="text1"/>
          <w:sz w:val="20"/>
        </w:rPr>
        <w:t xml:space="preserve"> following table sets out the purpose of this provision, how it is utilised, </w:t>
      </w:r>
      <w:proofErr w:type="gramStart"/>
      <w:r w:rsidRPr="00806B7F">
        <w:rPr>
          <w:rFonts w:ascii="Arial" w:hAnsi="Arial" w:cs="Arial"/>
          <w:color w:val="000000" w:themeColor="text1"/>
          <w:sz w:val="20"/>
        </w:rPr>
        <w:t>controlled</w:t>
      </w:r>
      <w:proofErr w:type="gramEnd"/>
      <w:r w:rsidRPr="00806B7F">
        <w:rPr>
          <w:rFonts w:ascii="Arial" w:hAnsi="Arial" w:cs="Arial"/>
          <w:color w:val="000000" w:themeColor="text1"/>
          <w:sz w:val="20"/>
        </w:rPr>
        <w:t xml:space="preserve"> and reviewed.</w:t>
      </w:r>
    </w:p>
    <w:p w14:paraId="2510F7D1" w14:textId="77777777" w:rsidR="00CA11D6" w:rsidRPr="00806B7F" w:rsidRDefault="00CA11D6" w:rsidP="00CA11D6">
      <w:pPr>
        <w:jc w:val="both"/>
        <w:rPr>
          <w:rFonts w:ascii="Arial" w:hAnsi="Arial" w:cs="Arial"/>
          <w:color w:val="000000" w:themeColor="text1"/>
          <w:sz w:val="20"/>
          <w:highlight w:val="yellow"/>
        </w:rPr>
      </w:pPr>
    </w:p>
    <w:p w14:paraId="16FFDFB9"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8 Summary of Insurance Provision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CA11D6" w:rsidRPr="00806B7F" w14:paraId="62FC6A71" w14:textId="77777777" w:rsidTr="00A369A1">
        <w:tc>
          <w:tcPr>
            <w:tcW w:w="1418" w:type="dxa"/>
          </w:tcPr>
          <w:p w14:paraId="71368B07"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Name</w:t>
            </w:r>
          </w:p>
        </w:tc>
        <w:tc>
          <w:tcPr>
            <w:tcW w:w="7654" w:type="dxa"/>
          </w:tcPr>
          <w:p w14:paraId="54808F0B"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Insurance Provision</w:t>
            </w:r>
          </w:p>
        </w:tc>
      </w:tr>
      <w:tr w:rsidR="00CA11D6" w:rsidRPr="00806B7F" w14:paraId="3BD19312" w14:textId="77777777" w:rsidTr="00A369A1">
        <w:tc>
          <w:tcPr>
            <w:tcW w:w="1418" w:type="dxa"/>
          </w:tcPr>
          <w:p w14:paraId="088C5BE7"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Purpose</w:t>
            </w:r>
          </w:p>
        </w:tc>
        <w:tc>
          <w:tcPr>
            <w:tcW w:w="7654" w:type="dxa"/>
          </w:tcPr>
          <w:p w14:paraId="0BAE6126"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This covers monies set aside to meet future insurance claims.</w:t>
            </w:r>
          </w:p>
        </w:tc>
      </w:tr>
      <w:tr w:rsidR="00CA11D6" w:rsidRPr="00806B7F" w14:paraId="4BE20DFF" w14:textId="77777777" w:rsidTr="00A369A1">
        <w:tc>
          <w:tcPr>
            <w:tcW w:w="1418" w:type="dxa"/>
          </w:tcPr>
          <w:p w14:paraId="7203F014"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Utilisation</w:t>
            </w:r>
          </w:p>
        </w:tc>
        <w:tc>
          <w:tcPr>
            <w:tcW w:w="7654" w:type="dxa"/>
          </w:tcPr>
          <w:p w14:paraId="1C1E279A"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Once set up the provision can only be utilised to meet insurance claims.</w:t>
            </w:r>
          </w:p>
        </w:tc>
      </w:tr>
      <w:tr w:rsidR="00CA11D6" w:rsidRPr="00806B7F" w14:paraId="73B2A253" w14:textId="77777777" w:rsidTr="00A369A1">
        <w:tc>
          <w:tcPr>
            <w:tcW w:w="1418" w:type="dxa"/>
          </w:tcPr>
          <w:p w14:paraId="3A3FBB51"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Controls</w:t>
            </w:r>
          </w:p>
        </w:tc>
        <w:tc>
          <w:tcPr>
            <w:tcW w:w="7654" w:type="dxa"/>
          </w:tcPr>
          <w:p w14:paraId="3A01D76F"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 xml:space="preserve">The utilisation of these </w:t>
            </w:r>
            <w:proofErr w:type="gramStart"/>
            <w:r w:rsidRPr="00806B7F">
              <w:rPr>
                <w:rFonts w:ascii="Arial" w:hAnsi="Arial" w:cs="Arial"/>
                <w:color w:val="000000" w:themeColor="text1"/>
                <w:sz w:val="20"/>
              </w:rPr>
              <w:t>are</w:t>
            </w:r>
            <w:proofErr w:type="gramEnd"/>
            <w:r w:rsidRPr="00806B7F">
              <w:rPr>
                <w:rFonts w:ascii="Arial" w:hAnsi="Arial" w:cs="Arial"/>
                <w:color w:val="000000" w:themeColor="text1"/>
                <w:sz w:val="20"/>
              </w:rPr>
              <w:t xml:space="preserve"> reported on an annual basis as part of the year end outturn report presented to Resources Committee.</w:t>
            </w:r>
          </w:p>
        </w:tc>
      </w:tr>
      <w:tr w:rsidR="00CA11D6" w:rsidRPr="00806B7F" w14:paraId="19CE8D82" w14:textId="77777777" w:rsidTr="00A369A1">
        <w:tc>
          <w:tcPr>
            <w:tcW w:w="1418" w:type="dxa"/>
          </w:tcPr>
          <w:p w14:paraId="270A44A9"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Review</w:t>
            </w:r>
          </w:p>
        </w:tc>
        <w:tc>
          <w:tcPr>
            <w:tcW w:w="7654" w:type="dxa"/>
          </w:tcPr>
          <w:p w14:paraId="4FF8E0A2"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 level of the provision is reviewed annually based on existing and anticipated outstanding insurance claims to ensure these are reasonable and remain relevant.</w:t>
            </w:r>
          </w:p>
        </w:tc>
      </w:tr>
    </w:tbl>
    <w:p w14:paraId="241761DC" w14:textId="77777777" w:rsidR="00CA11D6" w:rsidRPr="00806B7F" w:rsidRDefault="00CA11D6" w:rsidP="00CA11D6">
      <w:pPr>
        <w:ind w:left="1080"/>
        <w:jc w:val="both"/>
        <w:rPr>
          <w:rFonts w:ascii="Arial" w:hAnsi="Arial" w:cs="Arial"/>
          <w:color w:val="000000" w:themeColor="text1"/>
          <w:sz w:val="20"/>
        </w:rPr>
      </w:pPr>
    </w:p>
    <w:p w14:paraId="30120027"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This provision stood at £0.6m at 31 March 2022. Given the uncertainty in terms of future insurance claims we have assumed that the provision will be maintained at this level throughout the 5-year period. There are no existing legal obligations associated with this provision, as the legal obligation only arises when settlement of outstanding claims is agreed.</w:t>
      </w:r>
    </w:p>
    <w:p w14:paraId="3D9C99BB" w14:textId="77777777" w:rsidR="00CA11D6" w:rsidRPr="00DB5DCF" w:rsidRDefault="00CA11D6" w:rsidP="00DB5DCF">
      <w:pPr>
        <w:rPr>
          <w:rFonts w:ascii="Arial" w:hAnsi="Arial" w:cs="Arial"/>
          <w:sz w:val="20"/>
        </w:rPr>
      </w:pPr>
    </w:p>
    <w:p w14:paraId="3BC2724D" w14:textId="77777777" w:rsidR="00CA11D6" w:rsidRPr="00806B7F" w:rsidRDefault="00CA11D6" w:rsidP="00CA11D6">
      <w:pPr>
        <w:rPr>
          <w:rFonts w:ascii="Arial" w:hAnsi="Arial" w:cs="Arial"/>
          <w:color w:val="000000" w:themeColor="text1"/>
          <w:sz w:val="20"/>
          <w:u w:val="single"/>
        </w:rPr>
      </w:pPr>
      <w:r w:rsidRPr="00806B7F">
        <w:rPr>
          <w:rFonts w:ascii="Arial" w:hAnsi="Arial" w:cs="Arial"/>
          <w:color w:val="000000" w:themeColor="text1"/>
          <w:sz w:val="20"/>
          <w:u w:val="single"/>
        </w:rPr>
        <w:t>Business Rates Collection Fund Appeals Provision</w:t>
      </w:r>
    </w:p>
    <w:p w14:paraId="2DA7C5DF"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This covers the Authority’s share of outstanding appeals against business rates collection funds, which is calculated each year end by each billing authority within Lancashire based on their assumptions of outstanding appeal success rates, as part of their year-end accounting for the business rates collection fund. </w:t>
      </w:r>
    </w:p>
    <w:p w14:paraId="185EC3F2" w14:textId="77777777" w:rsidR="00CA11D6" w:rsidRPr="00806B7F" w:rsidRDefault="00CA11D6" w:rsidP="00DB5DCF">
      <w:pPr>
        <w:rPr>
          <w:rFonts w:ascii="Arial" w:hAnsi="Arial" w:cs="Arial"/>
          <w:color w:val="000000" w:themeColor="text1"/>
          <w:sz w:val="20"/>
        </w:rPr>
      </w:pPr>
    </w:p>
    <w:p w14:paraId="068FDCC8" w14:textId="77777777" w:rsidR="00CA11D6" w:rsidRPr="00806B7F" w:rsidRDefault="00CA11D6" w:rsidP="00DB5DCF">
      <w:pPr>
        <w:rPr>
          <w:rFonts w:ascii="Arial" w:hAnsi="Arial" w:cs="Arial"/>
          <w:color w:val="000000" w:themeColor="text1"/>
          <w:sz w:val="20"/>
        </w:rPr>
      </w:pPr>
      <w:r w:rsidRPr="00806B7F">
        <w:rPr>
          <w:rFonts w:ascii="Arial" w:hAnsi="Arial" w:cs="Arial"/>
          <w:color w:val="000000" w:themeColor="text1"/>
          <w:sz w:val="20"/>
        </w:rPr>
        <w:t xml:space="preserve">The following table sets out the purpose of this provision, how it is utilised, </w:t>
      </w:r>
      <w:proofErr w:type="gramStart"/>
      <w:r w:rsidRPr="00806B7F">
        <w:rPr>
          <w:rFonts w:ascii="Arial" w:hAnsi="Arial" w:cs="Arial"/>
          <w:color w:val="000000" w:themeColor="text1"/>
          <w:sz w:val="20"/>
        </w:rPr>
        <w:t>controlled</w:t>
      </w:r>
      <w:proofErr w:type="gramEnd"/>
      <w:r w:rsidRPr="00806B7F">
        <w:rPr>
          <w:rFonts w:ascii="Arial" w:hAnsi="Arial" w:cs="Arial"/>
          <w:color w:val="000000" w:themeColor="text1"/>
          <w:sz w:val="20"/>
        </w:rPr>
        <w:t xml:space="preserve"> and reviewed.</w:t>
      </w:r>
    </w:p>
    <w:p w14:paraId="58158B2B" w14:textId="77777777" w:rsidR="00CA11D6" w:rsidRPr="00806B7F" w:rsidRDefault="00CA11D6" w:rsidP="00CA11D6">
      <w:pPr>
        <w:jc w:val="both"/>
        <w:rPr>
          <w:rFonts w:ascii="Arial" w:hAnsi="Arial" w:cs="Arial"/>
          <w:color w:val="000000" w:themeColor="text1"/>
          <w:sz w:val="20"/>
        </w:rPr>
      </w:pPr>
    </w:p>
    <w:p w14:paraId="4D88D865" w14:textId="77777777" w:rsidR="00CA11D6" w:rsidRPr="00806B7F" w:rsidRDefault="00CA11D6" w:rsidP="00CA11D6">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9 Summary of Business Rates Collection Fund Appeals Provision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654"/>
      </w:tblGrid>
      <w:tr w:rsidR="00CA11D6" w:rsidRPr="00806B7F" w14:paraId="04B9A5A0" w14:textId="77777777" w:rsidTr="00A369A1">
        <w:tc>
          <w:tcPr>
            <w:tcW w:w="1418" w:type="dxa"/>
          </w:tcPr>
          <w:p w14:paraId="15E28A7D"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Name</w:t>
            </w:r>
          </w:p>
        </w:tc>
        <w:tc>
          <w:tcPr>
            <w:tcW w:w="7654" w:type="dxa"/>
          </w:tcPr>
          <w:p w14:paraId="2EE79130" w14:textId="77777777" w:rsidR="00CA11D6" w:rsidRPr="00806B7F" w:rsidRDefault="00CA11D6" w:rsidP="00A369A1">
            <w:pPr>
              <w:pStyle w:val="BodyText"/>
              <w:spacing w:before="120"/>
              <w:jc w:val="center"/>
              <w:rPr>
                <w:rFonts w:ascii="Arial" w:hAnsi="Arial" w:cs="Arial"/>
                <w:color w:val="000000" w:themeColor="text1"/>
                <w:sz w:val="20"/>
              </w:rPr>
            </w:pPr>
            <w:r w:rsidRPr="00806B7F">
              <w:rPr>
                <w:rFonts w:ascii="Arial" w:hAnsi="Arial" w:cs="Arial"/>
                <w:color w:val="000000" w:themeColor="text1"/>
                <w:sz w:val="20"/>
              </w:rPr>
              <w:t>Business Rates Collection Fund Appeals Provision</w:t>
            </w:r>
          </w:p>
        </w:tc>
      </w:tr>
      <w:tr w:rsidR="00CA11D6" w:rsidRPr="00806B7F" w14:paraId="07104A80" w14:textId="77777777" w:rsidTr="00A369A1">
        <w:tc>
          <w:tcPr>
            <w:tcW w:w="1418" w:type="dxa"/>
          </w:tcPr>
          <w:p w14:paraId="61138DAA"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Purpose</w:t>
            </w:r>
          </w:p>
        </w:tc>
        <w:tc>
          <w:tcPr>
            <w:tcW w:w="7654" w:type="dxa"/>
          </w:tcPr>
          <w:p w14:paraId="462EA8D8"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This covers monies set aside to meet the Authority’s share of the cost of successful business rates appeals.</w:t>
            </w:r>
          </w:p>
        </w:tc>
      </w:tr>
      <w:tr w:rsidR="00CA11D6" w:rsidRPr="00806B7F" w14:paraId="2163D0B9" w14:textId="77777777" w:rsidTr="00A369A1">
        <w:tc>
          <w:tcPr>
            <w:tcW w:w="1418" w:type="dxa"/>
          </w:tcPr>
          <w:p w14:paraId="1706D6C9"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Utilisation</w:t>
            </w:r>
          </w:p>
        </w:tc>
        <w:tc>
          <w:tcPr>
            <w:tcW w:w="7654" w:type="dxa"/>
          </w:tcPr>
          <w:p w14:paraId="7C6A9F07"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Once set up the provision can only be utilised to meet costs associated with settlement of such appeals.</w:t>
            </w:r>
          </w:p>
        </w:tc>
      </w:tr>
      <w:tr w:rsidR="00CA11D6" w:rsidRPr="00806B7F" w14:paraId="50BA94F7" w14:textId="77777777" w:rsidTr="00A369A1">
        <w:tc>
          <w:tcPr>
            <w:tcW w:w="1418" w:type="dxa"/>
          </w:tcPr>
          <w:p w14:paraId="0D4B0261"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Controls</w:t>
            </w:r>
          </w:p>
        </w:tc>
        <w:tc>
          <w:tcPr>
            <w:tcW w:w="7654" w:type="dxa"/>
          </w:tcPr>
          <w:p w14:paraId="11A70D6C"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 xml:space="preserve">The utilisation of these </w:t>
            </w:r>
            <w:proofErr w:type="gramStart"/>
            <w:r w:rsidRPr="00806B7F">
              <w:rPr>
                <w:rFonts w:ascii="Arial" w:hAnsi="Arial" w:cs="Arial"/>
                <w:color w:val="000000" w:themeColor="text1"/>
                <w:sz w:val="20"/>
              </w:rPr>
              <w:t>are</w:t>
            </w:r>
            <w:proofErr w:type="gramEnd"/>
            <w:r w:rsidRPr="00806B7F">
              <w:rPr>
                <w:rFonts w:ascii="Arial" w:hAnsi="Arial" w:cs="Arial"/>
                <w:color w:val="000000" w:themeColor="text1"/>
                <w:sz w:val="20"/>
              </w:rPr>
              <w:t xml:space="preserve"> reported on an annual basis as part of the year end outturn report presented to Resources Committee.</w:t>
            </w:r>
          </w:p>
        </w:tc>
      </w:tr>
      <w:tr w:rsidR="00CA11D6" w:rsidRPr="00806B7F" w14:paraId="69A643E7" w14:textId="77777777" w:rsidTr="00A369A1">
        <w:tc>
          <w:tcPr>
            <w:tcW w:w="1418" w:type="dxa"/>
          </w:tcPr>
          <w:p w14:paraId="20F1B26E"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Review</w:t>
            </w:r>
          </w:p>
        </w:tc>
        <w:tc>
          <w:tcPr>
            <w:tcW w:w="7654" w:type="dxa"/>
          </w:tcPr>
          <w:p w14:paraId="7356F29C" w14:textId="77777777" w:rsidR="00CA11D6" w:rsidRPr="00806B7F" w:rsidRDefault="00CA11D6" w:rsidP="00A369A1">
            <w:pPr>
              <w:pStyle w:val="BodyText"/>
              <w:rPr>
                <w:rFonts w:ascii="Arial" w:hAnsi="Arial" w:cs="Arial"/>
                <w:b/>
                <w:color w:val="000000" w:themeColor="text1"/>
                <w:sz w:val="20"/>
              </w:rPr>
            </w:pPr>
            <w:r w:rsidRPr="00806B7F">
              <w:rPr>
                <w:rFonts w:ascii="Arial" w:hAnsi="Arial" w:cs="Arial"/>
                <w:color w:val="000000" w:themeColor="text1"/>
                <w:sz w:val="20"/>
              </w:rPr>
              <w:t>The level of the provision is reviewed annually based on each billing authority’s assumptions regarding success rates to ensure these are reasonable and remain relevant.</w:t>
            </w:r>
          </w:p>
        </w:tc>
      </w:tr>
    </w:tbl>
    <w:p w14:paraId="2A87F13A"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 xml:space="preserve"> </w:t>
      </w:r>
    </w:p>
    <w:p w14:paraId="3C3DFEA9" w14:textId="77777777" w:rsidR="00CA11D6" w:rsidRPr="00806B7F" w:rsidRDefault="00CA11D6" w:rsidP="00CA11D6">
      <w:pPr>
        <w:pStyle w:val="BodyText3"/>
        <w:jc w:val="both"/>
        <w:rPr>
          <w:rFonts w:ascii="Arial" w:hAnsi="Arial" w:cs="Arial"/>
          <w:color w:val="000000" w:themeColor="text1"/>
          <w:sz w:val="20"/>
          <w:szCs w:val="20"/>
        </w:rPr>
      </w:pPr>
      <w:r w:rsidRPr="00806B7F">
        <w:rPr>
          <w:rFonts w:ascii="Arial" w:hAnsi="Arial" w:cs="Arial"/>
          <w:color w:val="000000" w:themeColor="text1"/>
          <w:sz w:val="20"/>
          <w:szCs w:val="20"/>
        </w:rPr>
        <w:t>At 31 March 2022 this provision stood at £0.9m to cover anticipated costs of outstanding business rates appeals. Whilst a significant element of this will be utilised in the current financial year, reflecting the settlement of outstanding appeals, it is impossible to accurately predict the extent of this usage or the need for any additional provision to meet appeals that arise in year, until such time as a full review is undertaken by billing authorities as part of the financial year end process. Therefore, for the purpose of this report we have assumed that the level of business rates appeals provision remains unchanged. Until the outcome of any appeal is known there is no legal obligation arising from the appeal.</w:t>
      </w:r>
    </w:p>
    <w:p w14:paraId="315F62E7" w14:textId="77777777" w:rsidR="00CA11D6" w:rsidRPr="00806B7F" w:rsidRDefault="00CA11D6" w:rsidP="00DB5DCF">
      <w:pPr>
        <w:rPr>
          <w:rFonts w:ascii="Arial" w:hAnsi="Arial" w:cs="Arial"/>
          <w:color w:val="000000" w:themeColor="text1"/>
          <w:sz w:val="20"/>
          <w:highlight w:val="yellow"/>
        </w:rPr>
      </w:pPr>
    </w:p>
    <w:p w14:paraId="3361F2AA" w14:textId="77777777" w:rsidR="00CA11D6" w:rsidRPr="00806B7F" w:rsidRDefault="00CA11D6" w:rsidP="00CA11D6">
      <w:pPr>
        <w:jc w:val="both"/>
        <w:rPr>
          <w:rFonts w:ascii="Arial" w:hAnsi="Arial" w:cs="Arial"/>
          <w:sz w:val="20"/>
        </w:rPr>
      </w:pPr>
      <w:r w:rsidRPr="00806B7F">
        <w:rPr>
          <w:rFonts w:ascii="Arial" w:hAnsi="Arial" w:cs="Arial"/>
          <w:color w:val="000000" w:themeColor="text1"/>
          <w:sz w:val="20"/>
        </w:rPr>
        <w:t xml:space="preserve">The </w:t>
      </w:r>
      <w:r w:rsidRPr="00806B7F">
        <w:rPr>
          <w:rFonts w:ascii="Arial" w:hAnsi="Arial" w:cs="Arial"/>
          <w:sz w:val="20"/>
        </w:rPr>
        <w:t>Treasurer feels that the levels of provisions are sufficient to meet future requirements in the medium term.</w:t>
      </w:r>
    </w:p>
    <w:p w14:paraId="0BC10D66" w14:textId="77777777" w:rsidR="003C6901" w:rsidRPr="00806B7F" w:rsidRDefault="003C6901" w:rsidP="00282FEA">
      <w:pPr>
        <w:jc w:val="both"/>
        <w:rPr>
          <w:rFonts w:ascii="Arial" w:hAnsi="Arial" w:cs="Arial"/>
          <w:color w:val="000000" w:themeColor="text1"/>
          <w:sz w:val="20"/>
        </w:rPr>
      </w:pPr>
    </w:p>
    <w:p w14:paraId="082BB1DD" w14:textId="39DD245A" w:rsidR="003C6901" w:rsidRPr="00806B7F" w:rsidRDefault="003C6901">
      <w:pPr>
        <w:rPr>
          <w:rFonts w:ascii="Arial" w:hAnsi="Arial" w:cs="Arial"/>
          <w:snapToGrid w:val="0"/>
          <w:sz w:val="20"/>
          <w:lang w:eastAsia="en-US"/>
        </w:rPr>
      </w:pPr>
    </w:p>
    <w:p w14:paraId="02293804" w14:textId="7BB73CCC" w:rsidR="00697755" w:rsidRPr="00806B7F" w:rsidRDefault="00303D32" w:rsidP="001F2F63">
      <w:pPr>
        <w:rPr>
          <w:rFonts w:ascii="Arial" w:hAnsi="Arial" w:cs="Arial"/>
          <w:b/>
          <w:sz w:val="20"/>
          <w:u w:val="single"/>
        </w:rPr>
      </w:pPr>
      <w:r w:rsidRPr="00806B7F">
        <w:rPr>
          <w:rFonts w:ascii="Arial" w:hAnsi="Arial" w:cs="Arial"/>
          <w:b/>
          <w:sz w:val="20"/>
          <w:u w:val="single"/>
        </w:rPr>
        <w:br w:type="page"/>
      </w:r>
      <w:r w:rsidR="00C47520" w:rsidRPr="00806B7F">
        <w:rPr>
          <w:rFonts w:ascii="Arial" w:hAnsi="Arial" w:cs="Arial"/>
          <w:b/>
          <w:sz w:val="20"/>
          <w:u w:val="single"/>
        </w:rPr>
        <w:t xml:space="preserve">SECTION </w:t>
      </w:r>
      <w:r w:rsidR="0086734E" w:rsidRPr="00806B7F">
        <w:rPr>
          <w:rFonts w:ascii="Arial" w:hAnsi="Arial" w:cs="Arial"/>
          <w:b/>
          <w:sz w:val="20"/>
          <w:u w:val="single"/>
        </w:rPr>
        <w:t>5</w:t>
      </w:r>
    </w:p>
    <w:p w14:paraId="0256AD53" w14:textId="77777777" w:rsidR="001356C5" w:rsidRPr="00806B7F" w:rsidRDefault="001356C5" w:rsidP="00BF5737">
      <w:pPr>
        <w:jc w:val="both"/>
        <w:rPr>
          <w:rFonts w:ascii="Arial" w:hAnsi="Arial" w:cs="Arial"/>
          <w:b/>
          <w:sz w:val="20"/>
          <w:u w:val="single"/>
        </w:rPr>
      </w:pPr>
    </w:p>
    <w:p w14:paraId="524401A6" w14:textId="422D8A41" w:rsidR="001356C5" w:rsidRPr="00806B7F" w:rsidRDefault="001356C5" w:rsidP="00BF5737">
      <w:pPr>
        <w:jc w:val="both"/>
        <w:rPr>
          <w:rFonts w:ascii="Arial" w:hAnsi="Arial" w:cs="Arial"/>
          <w:b/>
          <w:sz w:val="20"/>
          <w:u w:val="single"/>
        </w:rPr>
      </w:pPr>
      <w:r w:rsidRPr="00806B7F">
        <w:rPr>
          <w:rFonts w:ascii="Arial" w:hAnsi="Arial" w:cs="Arial"/>
          <w:b/>
          <w:sz w:val="20"/>
          <w:u w:val="single"/>
        </w:rPr>
        <w:t>TREASURY MANAGEMENT STRATEGY 20</w:t>
      </w:r>
      <w:r w:rsidR="0056439F" w:rsidRPr="00806B7F">
        <w:rPr>
          <w:rFonts w:ascii="Arial" w:hAnsi="Arial" w:cs="Arial"/>
          <w:b/>
          <w:sz w:val="20"/>
          <w:u w:val="single"/>
        </w:rPr>
        <w:t>2</w:t>
      </w:r>
      <w:r w:rsidR="00CA11D6" w:rsidRPr="00806B7F">
        <w:rPr>
          <w:rFonts w:ascii="Arial" w:hAnsi="Arial" w:cs="Arial"/>
          <w:b/>
          <w:sz w:val="20"/>
          <w:u w:val="single"/>
        </w:rPr>
        <w:t>3/24</w:t>
      </w:r>
    </w:p>
    <w:p w14:paraId="16002C7F" w14:textId="77777777" w:rsidR="001356C5" w:rsidRPr="00806B7F" w:rsidRDefault="001356C5" w:rsidP="00973C78">
      <w:pPr>
        <w:jc w:val="both"/>
        <w:rPr>
          <w:rFonts w:ascii="Arial" w:hAnsi="Arial" w:cs="Arial"/>
          <w:b/>
          <w:color w:val="000000"/>
          <w:sz w:val="20"/>
          <w:u w:val="single"/>
        </w:rPr>
      </w:pPr>
    </w:p>
    <w:p w14:paraId="2DDEF40A" w14:textId="77777777" w:rsidR="00027459" w:rsidRPr="00806B7F" w:rsidRDefault="00027459" w:rsidP="003C3CC6">
      <w:pPr>
        <w:ind w:left="29" w:right="53"/>
        <w:jc w:val="both"/>
        <w:rPr>
          <w:rFonts w:ascii="Arial" w:hAnsi="Arial" w:cs="Arial"/>
          <w:sz w:val="20"/>
        </w:rPr>
      </w:pPr>
      <w:r w:rsidRPr="00806B7F">
        <w:rPr>
          <w:rFonts w:ascii="Arial" w:hAnsi="Arial" w:cs="Arial"/>
          <w:sz w:val="20"/>
        </w:rPr>
        <w:t>Treasury Management is defined as “The management of the Authority’s investments and cash flows, its banking, money market and capital market transactions; the effective control of the risks associated with those activities; and the pursuit of optimum performance consistent with those risks.”</w:t>
      </w:r>
    </w:p>
    <w:p w14:paraId="5D44F873" w14:textId="77777777" w:rsidR="00027459" w:rsidRPr="00806B7F" w:rsidRDefault="00027459" w:rsidP="003C3CC6">
      <w:pPr>
        <w:ind w:left="29" w:right="53"/>
        <w:jc w:val="both"/>
        <w:rPr>
          <w:rFonts w:ascii="Arial" w:hAnsi="Arial" w:cs="Arial"/>
          <w:sz w:val="20"/>
        </w:rPr>
      </w:pPr>
    </w:p>
    <w:p w14:paraId="39FC454B" w14:textId="77777777" w:rsidR="00027459" w:rsidRPr="00806B7F" w:rsidRDefault="00027459" w:rsidP="003C3CC6">
      <w:pPr>
        <w:ind w:left="29" w:right="53"/>
        <w:jc w:val="both"/>
        <w:rPr>
          <w:rFonts w:ascii="Arial" w:hAnsi="Arial" w:cs="Arial"/>
          <w:sz w:val="20"/>
        </w:rPr>
      </w:pPr>
      <w:r w:rsidRPr="00806B7F">
        <w:rPr>
          <w:rFonts w:ascii="Arial" w:hAnsi="Arial" w:cs="Arial"/>
          <w:sz w:val="20"/>
        </w:rPr>
        <w:t xml:space="preserve">The Local Government Act 2003 (the Act) and supporting Regulations requires the Authority to “have regard to” the CIPFA Prudential Code and the CIPFA Treasury Management Code of Practice to set Prudential and Treasury Indicators for the next three years to ensure that the Authority’s capital investment plans are affordable, </w:t>
      </w:r>
      <w:proofErr w:type="gramStart"/>
      <w:r w:rsidRPr="00806B7F">
        <w:rPr>
          <w:rFonts w:ascii="Arial" w:hAnsi="Arial" w:cs="Arial"/>
          <w:sz w:val="20"/>
        </w:rPr>
        <w:t>prudent</w:t>
      </w:r>
      <w:proofErr w:type="gramEnd"/>
      <w:r w:rsidRPr="00806B7F">
        <w:rPr>
          <w:rFonts w:ascii="Arial" w:hAnsi="Arial" w:cs="Arial"/>
          <w:sz w:val="20"/>
        </w:rPr>
        <w:t xml:space="preserve"> and sustainable. The Code also  requires the Authority to approve a treasury management strategy before the start of each financial year.  The authority also adheres to investment guidance issued by the then Ministry of Housing, Communities and Local Government (MHCLG).</w:t>
      </w:r>
    </w:p>
    <w:p w14:paraId="1DFB2F35" w14:textId="77777777" w:rsidR="00027459" w:rsidRPr="00806B7F" w:rsidRDefault="00027459" w:rsidP="003C3CC6">
      <w:pPr>
        <w:ind w:left="29" w:right="53"/>
        <w:jc w:val="both"/>
        <w:rPr>
          <w:rFonts w:ascii="Arial" w:hAnsi="Arial" w:cs="Arial"/>
          <w:sz w:val="20"/>
        </w:rPr>
      </w:pPr>
    </w:p>
    <w:p w14:paraId="484EB961" w14:textId="7E50125D" w:rsidR="00027459" w:rsidRPr="00806B7F" w:rsidRDefault="00027459" w:rsidP="003C3CC6">
      <w:pPr>
        <w:ind w:left="29" w:right="53"/>
        <w:jc w:val="both"/>
        <w:rPr>
          <w:rFonts w:ascii="Arial" w:hAnsi="Arial" w:cs="Arial"/>
          <w:sz w:val="20"/>
        </w:rPr>
      </w:pPr>
      <w:r w:rsidRPr="00806B7F">
        <w:rPr>
          <w:rFonts w:ascii="Arial" w:hAnsi="Arial" w:cs="Arial"/>
          <w:sz w:val="20"/>
        </w:rPr>
        <w:t>The definition of investments in the codes is wide raging and includes non-treasury investments for example loans to third parties and the holding of property to make a profit. Where these are held a separate strategy is required. However, it is not considered that the Combined Fire Authority hold any such assets and it does not propose to engage in any such investments in 202</w:t>
      </w:r>
      <w:r w:rsidR="00DB5DCF">
        <w:rPr>
          <w:rFonts w:ascii="Arial" w:hAnsi="Arial" w:cs="Arial"/>
          <w:sz w:val="20"/>
        </w:rPr>
        <w:t>3/24</w:t>
      </w:r>
      <w:r w:rsidRPr="00806B7F">
        <w:rPr>
          <w:rFonts w:ascii="Arial" w:hAnsi="Arial" w:cs="Arial"/>
          <w:sz w:val="20"/>
        </w:rPr>
        <w:t xml:space="preserve">.     </w:t>
      </w:r>
    </w:p>
    <w:p w14:paraId="0F2A8FC3" w14:textId="77777777" w:rsidR="00027459" w:rsidRPr="00806B7F" w:rsidRDefault="00027459" w:rsidP="003C3CC6">
      <w:pPr>
        <w:spacing w:line="259" w:lineRule="auto"/>
        <w:ind w:left="34"/>
        <w:jc w:val="both"/>
        <w:rPr>
          <w:rFonts w:ascii="Arial" w:hAnsi="Arial" w:cs="Arial"/>
          <w:sz w:val="20"/>
          <w:highlight w:val="yellow"/>
        </w:rPr>
      </w:pPr>
      <w:r w:rsidRPr="00806B7F">
        <w:rPr>
          <w:rFonts w:ascii="Arial" w:hAnsi="Arial" w:cs="Arial"/>
          <w:sz w:val="20"/>
          <w:highlight w:val="yellow"/>
        </w:rPr>
        <w:t xml:space="preserve"> </w:t>
      </w:r>
    </w:p>
    <w:p w14:paraId="3AF0CEB7" w14:textId="4D703484" w:rsidR="00027459" w:rsidRPr="00806B7F" w:rsidRDefault="00027459" w:rsidP="00027459">
      <w:pPr>
        <w:pStyle w:val="Heading1"/>
        <w:ind w:left="29"/>
        <w:rPr>
          <w:rFonts w:ascii="Arial" w:hAnsi="Arial" w:cs="Arial"/>
          <w:sz w:val="20"/>
          <w:u w:val="single"/>
        </w:rPr>
      </w:pPr>
      <w:r w:rsidRPr="00806B7F">
        <w:rPr>
          <w:rFonts w:ascii="Arial" w:hAnsi="Arial" w:cs="Arial"/>
          <w:sz w:val="20"/>
          <w:u w:val="single"/>
        </w:rPr>
        <w:t>Treasury Management Strategy for 202</w:t>
      </w:r>
      <w:r w:rsidR="00C24569" w:rsidRPr="00806B7F">
        <w:rPr>
          <w:rFonts w:ascii="Arial" w:hAnsi="Arial" w:cs="Arial"/>
          <w:sz w:val="20"/>
          <w:u w:val="single"/>
        </w:rPr>
        <w:t>3/24</w:t>
      </w:r>
    </w:p>
    <w:p w14:paraId="43370DA2" w14:textId="77777777" w:rsidR="00027459" w:rsidRPr="00806B7F" w:rsidRDefault="00027459" w:rsidP="00027459">
      <w:pPr>
        <w:spacing w:line="259" w:lineRule="auto"/>
        <w:ind w:left="34"/>
        <w:rPr>
          <w:rFonts w:ascii="Arial" w:hAnsi="Arial" w:cs="Arial"/>
          <w:sz w:val="20"/>
        </w:rPr>
      </w:pPr>
      <w:r w:rsidRPr="00806B7F">
        <w:rPr>
          <w:rFonts w:ascii="Arial" w:hAnsi="Arial" w:cs="Arial"/>
          <w:sz w:val="20"/>
        </w:rPr>
        <w:t xml:space="preserve"> </w:t>
      </w:r>
    </w:p>
    <w:p w14:paraId="3212E0CF" w14:textId="77777777" w:rsidR="00027459" w:rsidRPr="00806B7F" w:rsidRDefault="00027459" w:rsidP="003C3CC6">
      <w:pPr>
        <w:ind w:left="29" w:right="53"/>
        <w:jc w:val="both"/>
        <w:rPr>
          <w:rFonts w:ascii="Arial" w:hAnsi="Arial" w:cs="Arial"/>
          <w:sz w:val="20"/>
        </w:rPr>
      </w:pPr>
      <w:r w:rsidRPr="00806B7F">
        <w:rPr>
          <w:rFonts w:ascii="Arial" w:hAnsi="Arial" w:cs="Arial"/>
          <w:sz w:val="20"/>
        </w:rPr>
        <w:t xml:space="preserve">This Strategy Statement has been prepared in accordance with the CIPFA Treasury Management Code of Practice.  Accordingly, the Lancashire Combined Fire Authority's Treasury Management Strategy will be approved by the full Authority, and there will also be a mid-year and a year-end outturn report presented to the Resources Committee. In addition, there will be monitoring and review reports to members in the event of any changes to Treasury Management policies or practices.  The aim of these reporting arrangements is to ensure that those with ultimate responsibility for the treasury management function appreciate fully the implications of treasury management policies and activities, and that those implementing policies and executing transactions have properly fulfilled their responsibilities </w:t>
      </w:r>
      <w:proofErr w:type="gramStart"/>
      <w:r w:rsidRPr="00806B7F">
        <w:rPr>
          <w:rFonts w:ascii="Arial" w:hAnsi="Arial" w:cs="Arial"/>
          <w:sz w:val="20"/>
        </w:rPr>
        <w:t>with regard to</w:t>
      </w:r>
      <w:proofErr w:type="gramEnd"/>
      <w:r w:rsidRPr="00806B7F">
        <w:rPr>
          <w:rFonts w:ascii="Arial" w:hAnsi="Arial" w:cs="Arial"/>
          <w:sz w:val="20"/>
        </w:rPr>
        <w:t xml:space="preserve"> delegation and reporting. </w:t>
      </w:r>
    </w:p>
    <w:p w14:paraId="194740B0" w14:textId="77777777" w:rsidR="00027459" w:rsidRPr="00806B7F" w:rsidRDefault="00027459" w:rsidP="003C3CC6">
      <w:pPr>
        <w:spacing w:line="259" w:lineRule="auto"/>
        <w:ind w:left="34"/>
        <w:jc w:val="both"/>
        <w:rPr>
          <w:rFonts w:ascii="Arial" w:hAnsi="Arial" w:cs="Arial"/>
          <w:sz w:val="20"/>
        </w:rPr>
      </w:pPr>
      <w:r w:rsidRPr="00806B7F">
        <w:rPr>
          <w:rFonts w:ascii="Arial" w:hAnsi="Arial" w:cs="Arial"/>
          <w:sz w:val="20"/>
        </w:rPr>
        <w:t xml:space="preserve"> </w:t>
      </w:r>
    </w:p>
    <w:p w14:paraId="5D897175" w14:textId="77777777" w:rsidR="00027459" w:rsidRPr="00806B7F" w:rsidRDefault="00027459" w:rsidP="003C3CC6">
      <w:pPr>
        <w:ind w:left="29" w:right="53"/>
        <w:jc w:val="both"/>
        <w:rPr>
          <w:rFonts w:ascii="Arial" w:hAnsi="Arial" w:cs="Arial"/>
          <w:sz w:val="20"/>
        </w:rPr>
      </w:pPr>
      <w:r w:rsidRPr="00806B7F">
        <w:rPr>
          <w:rFonts w:ascii="Arial" w:hAnsi="Arial" w:cs="Arial"/>
          <w:sz w:val="20"/>
        </w:rPr>
        <w:t xml:space="preserve">This Authority has adopted the following reporting arrangements in accordance with the requirements of the revised Code: - </w:t>
      </w:r>
    </w:p>
    <w:p w14:paraId="7CD28751" w14:textId="77777777" w:rsidR="00027459" w:rsidRPr="00806B7F" w:rsidRDefault="00027459" w:rsidP="00027459">
      <w:pPr>
        <w:spacing w:line="259" w:lineRule="auto"/>
        <w:ind w:left="34"/>
        <w:rPr>
          <w:rFonts w:ascii="Arial" w:hAnsi="Arial" w:cs="Arial"/>
          <w:sz w:val="20"/>
        </w:rPr>
      </w:pPr>
      <w:r w:rsidRPr="00806B7F">
        <w:rPr>
          <w:rFonts w:ascii="Arial" w:hAnsi="Arial" w:cs="Arial"/>
          <w:sz w:val="20"/>
        </w:rPr>
        <w:t xml:space="preserve"> </w:t>
      </w:r>
    </w:p>
    <w:p w14:paraId="339E2B42" w14:textId="77777777" w:rsidR="00027459" w:rsidRPr="00806B7F" w:rsidRDefault="00027459" w:rsidP="00027459">
      <w:pPr>
        <w:keepNext/>
        <w:spacing w:after="200" w:line="249" w:lineRule="auto"/>
        <w:ind w:left="44" w:hanging="1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2 Treasury Management reporting arrangements</w:t>
      </w:r>
    </w:p>
    <w:tbl>
      <w:tblPr>
        <w:tblStyle w:val="TableGrid0"/>
        <w:tblW w:w="9242" w:type="dxa"/>
        <w:tblInd w:w="-74" w:type="dxa"/>
        <w:tblCellMar>
          <w:left w:w="108" w:type="dxa"/>
          <w:right w:w="41" w:type="dxa"/>
        </w:tblCellMar>
        <w:tblLook w:val="04A0" w:firstRow="1" w:lastRow="0" w:firstColumn="1" w:lastColumn="0" w:noHBand="0" w:noVBand="1"/>
      </w:tblPr>
      <w:tblGrid>
        <w:gridCol w:w="3665"/>
        <w:gridCol w:w="2390"/>
        <w:gridCol w:w="3187"/>
      </w:tblGrid>
      <w:tr w:rsidR="00027459" w:rsidRPr="00806B7F" w14:paraId="022DEBF2" w14:textId="77777777" w:rsidTr="00B04CAC">
        <w:trPr>
          <w:trHeight w:val="468"/>
        </w:trPr>
        <w:tc>
          <w:tcPr>
            <w:tcW w:w="3665" w:type="dxa"/>
            <w:tcBorders>
              <w:top w:val="single" w:sz="4" w:space="0" w:color="005A83"/>
              <w:left w:val="single" w:sz="4" w:space="0" w:color="005A83"/>
              <w:bottom w:val="single" w:sz="4" w:space="0" w:color="005A83"/>
              <w:right w:val="single" w:sz="4" w:space="0" w:color="005A83"/>
            </w:tcBorders>
          </w:tcPr>
          <w:p w14:paraId="55EE4E21"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Area of Responsibility </w:t>
            </w:r>
          </w:p>
        </w:tc>
        <w:tc>
          <w:tcPr>
            <w:tcW w:w="2390" w:type="dxa"/>
            <w:tcBorders>
              <w:top w:val="single" w:sz="4" w:space="0" w:color="005A83"/>
              <w:left w:val="single" w:sz="4" w:space="0" w:color="005A83"/>
              <w:bottom w:val="single" w:sz="4" w:space="0" w:color="005A83"/>
              <w:right w:val="single" w:sz="4" w:space="0" w:color="005A83"/>
            </w:tcBorders>
          </w:tcPr>
          <w:p w14:paraId="323828F2"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Committee/ Officer </w:t>
            </w:r>
          </w:p>
        </w:tc>
        <w:tc>
          <w:tcPr>
            <w:tcW w:w="3187" w:type="dxa"/>
            <w:tcBorders>
              <w:top w:val="single" w:sz="4" w:space="0" w:color="005A83"/>
              <w:left w:val="single" w:sz="4" w:space="0" w:color="005A83"/>
              <w:bottom w:val="single" w:sz="4" w:space="0" w:color="005A83"/>
              <w:right w:val="single" w:sz="4" w:space="0" w:color="005A83"/>
            </w:tcBorders>
          </w:tcPr>
          <w:p w14:paraId="2F87A767"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Frequency </w:t>
            </w:r>
          </w:p>
        </w:tc>
      </w:tr>
      <w:tr w:rsidR="00027459" w:rsidRPr="00806B7F" w14:paraId="423D87ED" w14:textId="77777777" w:rsidTr="00B04CAC">
        <w:trPr>
          <w:trHeight w:val="710"/>
        </w:trPr>
        <w:tc>
          <w:tcPr>
            <w:tcW w:w="3665" w:type="dxa"/>
            <w:tcBorders>
              <w:top w:val="single" w:sz="4" w:space="0" w:color="005A83"/>
              <w:left w:val="single" w:sz="4" w:space="0" w:color="005A83"/>
              <w:bottom w:val="single" w:sz="4" w:space="0" w:color="005A83"/>
              <w:right w:val="single" w:sz="4" w:space="0" w:color="005A83"/>
            </w:tcBorders>
          </w:tcPr>
          <w:p w14:paraId="36C14801"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Treasury Management Policy Statement  </w:t>
            </w:r>
          </w:p>
        </w:tc>
        <w:tc>
          <w:tcPr>
            <w:tcW w:w="2390" w:type="dxa"/>
            <w:tcBorders>
              <w:top w:val="single" w:sz="4" w:space="0" w:color="005A83"/>
              <w:left w:val="single" w:sz="4" w:space="0" w:color="005A83"/>
              <w:bottom w:val="single" w:sz="4" w:space="0" w:color="005A83"/>
              <w:right w:val="single" w:sz="4" w:space="0" w:color="005A83"/>
            </w:tcBorders>
          </w:tcPr>
          <w:p w14:paraId="2FF424D6"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Resources </w:t>
            </w:r>
          </w:p>
          <w:p w14:paraId="4435E163"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Committee/Authority </w:t>
            </w:r>
          </w:p>
        </w:tc>
        <w:tc>
          <w:tcPr>
            <w:tcW w:w="3187" w:type="dxa"/>
            <w:tcBorders>
              <w:top w:val="single" w:sz="4" w:space="0" w:color="005A83"/>
              <w:left w:val="single" w:sz="4" w:space="0" w:color="005A83"/>
              <w:bottom w:val="single" w:sz="4" w:space="0" w:color="005A83"/>
              <w:right w:val="single" w:sz="4" w:space="0" w:color="005A83"/>
            </w:tcBorders>
          </w:tcPr>
          <w:p w14:paraId="62145CEB"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Annually</w:t>
            </w:r>
          </w:p>
        </w:tc>
      </w:tr>
      <w:tr w:rsidR="00027459" w:rsidRPr="00806B7F" w14:paraId="6F3578AE" w14:textId="77777777" w:rsidTr="00B04CAC">
        <w:trPr>
          <w:trHeight w:val="1114"/>
        </w:trPr>
        <w:tc>
          <w:tcPr>
            <w:tcW w:w="3665" w:type="dxa"/>
            <w:tcBorders>
              <w:top w:val="single" w:sz="4" w:space="0" w:color="005A83"/>
              <w:left w:val="single" w:sz="4" w:space="0" w:color="005A83"/>
              <w:bottom w:val="single" w:sz="4" w:space="0" w:color="005A83"/>
              <w:right w:val="single" w:sz="4" w:space="0" w:color="005A83"/>
            </w:tcBorders>
          </w:tcPr>
          <w:p w14:paraId="4D945FCC"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Treasury Management Strategy </w:t>
            </w:r>
          </w:p>
          <w:p w14:paraId="502BE0A3"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 Annual Investment Strategy / MRP policy – scrutiny and approval </w:t>
            </w:r>
          </w:p>
        </w:tc>
        <w:tc>
          <w:tcPr>
            <w:tcW w:w="2390" w:type="dxa"/>
            <w:tcBorders>
              <w:top w:val="single" w:sz="4" w:space="0" w:color="005A83"/>
              <w:left w:val="single" w:sz="4" w:space="0" w:color="005A83"/>
              <w:bottom w:val="single" w:sz="4" w:space="0" w:color="005A83"/>
              <w:right w:val="single" w:sz="4" w:space="0" w:color="005A83"/>
            </w:tcBorders>
            <w:vAlign w:val="center"/>
          </w:tcPr>
          <w:p w14:paraId="3E55AAA7" w14:textId="77777777" w:rsidR="00027459" w:rsidRPr="00806B7F" w:rsidRDefault="00027459" w:rsidP="00B04CAC">
            <w:pPr>
              <w:rPr>
                <w:rFonts w:ascii="Arial" w:hAnsi="Arial" w:cs="Arial"/>
                <w:sz w:val="20"/>
                <w:szCs w:val="20"/>
              </w:rPr>
            </w:pPr>
            <w:r w:rsidRPr="00806B7F">
              <w:rPr>
                <w:rFonts w:ascii="Arial" w:hAnsi="Arial" w:cs="Arial"/>
                <w:sz w:val="20"/>
                <w:szCs w:val="20"/>
              </w:rPr>
              <w:t xml:space="preserve">Resources Committee/ </w:t>
            </w:r>
          </w:p>
          <w:p w14:paraId="77808F8C"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Authority </w:t>
            </w:r>
          </w:p>
        </w:tc>
        <w:tc>
          <w:tcPr>
            <w:tcW w:w="3187" w:type="dxa"/>
            <w:tcBorders>
              <w:top w:val="single" w:sz="4" w:space="0" w:color="005A83"/>
              <w:left w:val="single" w:sz="4" w:space="0" w:color="005A83"/>
              <w:bottom w:val="single" w:sz="4" w:space="0" w:color="005A83"/>
              <w:right w:val="single" w:sz="4" w:space="0" w:color="005A83"/>
            </w:tcBorders>
            <w:vAlign w:val="center"/>
          </w:tcPr>
          <w:p w14:paraId="1A0FE79F"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Annually before the start of the year </w:t>
            </w:r>
          </w:p>
        </w:tc>
      </w:tr>
      <w:tr w:rsidR="00027459" w:rsidRPr="00806B7F" w14:paraId="74D26752" w14:textId="77777777" w:rsidTr="00B04CAC">
        <w:trPr>
          <w:trHeight w:val="785"/>
        </w:trPr>
        <w:tc>
          <w:tcPr>
            <w:tcW w:w="3665" w:type="dxa"/>
            <w:tcBorders>
              <w:top w:val="single" w:sz="4" w:space="0" w:color="005A83"/>
              <w:left w:val="single" w:sz="4" w:space="0" w:color="005A83"/>
              <w:bottom w:val="single" w:sz="4" w:space="0" w:color="005A83"/>
              <w:right w:val="single" w:sz="4" w:space="0" w:color="005A83"/>
            </w:tcBorders>
          </w:tcPr>
          <w:p w14:paraId="716394B5"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Treasury Management mid-year report, </w:t>
            </w:r>
          </w:p>
        </w:tc>
        <w:tc>
          <w:tcPr>
            <w:tcW w:w="2390" w:type="dxa"/>
            <w:tcBorders>
              <w:top w:val="single" w:sz="4" w:space="0" w:color="005A83"/>
              <w:left w:val="single" w:sz="4" w:space="0" w:color="005A83"/>
              <w:bottom w:val="single" w:sz="4" w:space="0" w:color="005A83"/>
              <w:right w:val="single" w:sz="4" w:space="0" w:color="005A83"/>
            </w:tcBorders>
            <w:vAlign w:val="center"/>
          </w:tcPr>
          <w:p w14:paraId="144CDA5E"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Resources </w:t>
            </w:r>
          </w:p>
          <w:p w14:paraId="6362104D"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Committee  </w:t>
            </w:r>
          </w:p>
        </w:tc>
        <w:tc>
          <w:tcPr>
            <w:tcW w:w="3187" w:type="dxa"/>
            <w:tcBorders>
              <w:top w:val="single" w:sz="4" w:space="0" w:color="005A83"/>
              <w:left w:val="single" w:sz="4" w:space="0" w:color="005A83"/>
              <w:bottom w:val="single" w:sz="4" w:space="0" w:color="005A83"/>
              <w:right w:val="single" w:sz="4" w:space="0" w:color="005A83"/>
            </w:tcBorders>
            <w:vAlign w:val="center"/>
          </w:tcPr>
          <w:p w14:paraId="4418571A"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Mid-year </w:t>
            </w:r>
          </w:p>
        </w:tc>
      </w:tr>
      <w:tr w:rsidR="00027459" w:rsidRPr="00806B7F" w14:paraId="39C0C440" w14:textId="77777777" w:rsidTr="00B04CAC">
        <w:trPr>
          <w:trHeight w:val="1114"/>
        </w:trPr>
        <w:tc>
          <w:tcPr>
            <w:tcW w:w="3665" w:type="dxa"/>
            <w:tcBorders>
              <w:top w:val="single" w:sz="4" w:space="0" w:color="005A83"/>
              <w:left w:val="single" w:sz="4" w:space="0" w:color="005A83"/>
              <w:bottom w:val="single" w:sz="4" w:space="0" w:color="005A83"/>
              <w:right w:val="single" w:sz="4" w:space="0" w:color="005A83"/>
            </w:tcBorders>
          </w:tcPr>
          <w:p w14:paraId="46D29DB0"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Treasury Management Strategy </w:t>
            </w:r>
          </w:p>
          <w:p w14:paraId="18F84E2B"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 Annual Investment Strategy / MRP policy – updates or revisions at other times  </w:t>
            </w:r>
          </w:p>
        </w:tc>
        <w:tc>
          <w:tcPr>
            <w:tcW w:w="2390" w:type="dxa"/>
            <w:tcBorders>
              <w:top w:val="single" w:sz="4" w:space="0" w:color="005A83"/>
              <w:left w:val="single" w:sz="4" w:space="0" w:color="005A83"/>
              <w:bottom w:val="single" w:sz="4" w:space="0" w:color="005A83"/>
              <w:right w:val="single" w:sz="4" w:space="0" w:color="005A83"/>
            </w:tcBorders>
            <w:vAlign w:val="center"/>
          </w:tcPr>
          <w:p w14:paraId="08DB8A50"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Resources </w:t>
            </w:r>
          </w:p>
          <w:p w14:paraId="6955C580"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Committee  </w:t>
            </w:r>
          </w:p>
        </w:tc>
        <w:tc>
          <w:tcPr>
            <w:tcW w:w="3187" w:type="dxa"/>
            <w:tcBorders>
              <w:top w:val="single" w:sz="4" w:space="0" w:color="005A83"/>
              <w:left w:val="single" w:sz="4" w:space="0" w:color="005A83"/>
              <w:bottom w:val="single" w:sz="4" w:space="0" w:color="005A83"/>
              <w:right w:val="single" w:sz="4" w:space="0" w:color="005A83"/>
            </w:tcBorders>
            <w:vAlign w:val="center"/>
          </w:tcPr>
          <w:p w14:paraId="1A86A04F"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As required </w:t>
            </w:r>
          </w:p>
        </w:tc>
      </w:tr>
      <w:tr w:rsidR="00027459" w:rsidRPr="00806B7F" w14:paraId="544B801B" w14:textId="77777777" w:rsidTr="00B04CAC">
        <w:trPr>
          <w:trHeight w:val="838"/>
        </w:trPr>
        <w:tc>
          <w:tcPr>
            <w:tcW w:w="3665" w:type="dxa"/>
            <w:tcBorders>
              <w:top w:val="single" w:sz="4" w:space="0" w:color="005A83"/>
              <w:left w:val="single" w:sz="4" w:space="0" w:color="005A83"/>
              <w:bottom w:val="single" w:sz="4" w:space="0" w:color="005A83"/>
              <w:right w:val="single" w:sz="4" w:space="0" w:color="005A83"/>
            </w:tcBorders>
            <w:vAlign w:val="center"/>
          </w:tcPr>
          <w:p w14:paraId="3335A504"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Annual Treasury Management Outturn Report </w:t>
            </w:r>
          </w:p>
        </w:tc>
        <w:tc>
          <w:tcPr>
            <w:tcW w:w="2390" w:type="dxa"/>
            <w:tcBorders>
              <w:top w:val="single" w:sz="4" w:space="0" w:color="005A83"/>
              <w:left w:val="single" w:sz="4" w:space="0" w:color="005A83"/>
              <w:bottom w:val="single" w:sz="4" w:space="0" w:color="005A83"/>
              <w:right w:val="single" w:sz="4" w:space="0" w:color="005A83"/>
            </w:tcBorders>
          </w:tcPr>
          <w:p w14:paraId="2C085528" w14:textId="77777777" w:rsidR="00027459" w:rsidRPr="00806B7F" w:rsidRDefault="00027459" w:rsidP="00B04CAC">
            <w:pPr>
              <w:rPr>
                <w:rFonts w:ascii="Arial" w:hAnsi="Arial" w:cs="Arial"/>
                <w:sz w:val="20"/>
                <w:szCs w:val="20"/>
              </w:rPr>
            </w:pPr>
            <w:r w:rsidRPr="00806B7F">
              <w:rPr>
                <w:rFonts w:ascii="Arial" w:hAnsi="Arial" w:cs="Arial"/>
                <w:sz w:val="20"/>
                <w:szCs w:val="20"/>
              </w:rPr>
              <w:t xml:space="preserve">Resources Committee/ </w:t>
            </w:r>
          </w:p>
          <w:p w14:paraId="56B7BD0A"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Authority </w:t>
            </w:r>
          </w:p>
        </w:tc>
        <w:tc>
          <w:tcPr>
            <w:tcW w:w="3187" w:type="dxa"/>
            <w:tcBorders>
              <w:top w:val="single" w:sz="4" w:space="0" w:color="005A83"/>
              <w:left w:val="single" w:sz="4" w:space="0" w:color="005A83"/>
              <w:bottom w:val="single" w:sz="4" w:space="0" w:color="005A83"/>
              <w:right w:val="single" w:sz="4" w:space="0" w:color="005A83"/>
            </w:tcBorders>
            <w:vAlign w:val="center"/>
          </w:tcPr>
          <w:p w14:paraId="61DC1CD8"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Annually by 30 September after the end of the year </w:t>
            </w:r>
          </w:p>
        </w:tc>
      </w:tr>
      <w:tr w:rsidR="00027459" w:rsidRPr="00806B7F" w14:paraId="6DB6CC6E" w14:textId="77777777" w:rsidTr="00B04CAC">
        <w:trPr>
          <w:trHeight w:val="710"/>
        </w:trPr>
        <w:tc>
          <w:tcPr>
            <w:tcW w:w="3665" w:type="dxa"/>
            <w:tcBorders>
              <w:top w:val="single" w:sz="4" w:space="0" w:color="005A83"/>
              <w:left w:val="single" w:sz="4" w:space="0" w:color="005A83"/>
              <w:bottom w:val="single" w:sz="4" w:space="0" w:color="005A83"/>
              <w:right w:val="single" w:sz="4" w:space="0" w:color="005A83"/>
            </w:tcBorders>
          </w:tcPr>
          <w:p w14:paraId="6F7E6C63"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Treasury Management Monitoring Reports </w:t>
            </w:r>
          </w:p>
        </w:tc>
        <w:tc>
          <w:tcPr>
            <w:tcW w:w="2390" w:type="dxa"/>
            <w:tcBorders>
              <w:top w:val="single" w:sz="4" w:space="0" w:color="005A83"/>
              <w:left w:val="single" w:sz="4" w:space="0" w:color="005A83"/>
              <w:bottom w:val="single" w:sz="4" w:space="0" w:color="005A83"/>
              <w:right w:val="single" w:sz="4" w:space="0" w:color="005A83"/>
            </w:tcBorders>
          </w:tcPr>
          <w:p w14:paraId="60111756"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Director of </w:t>
            </w:r>
          </w:p>
          <w:p w14:paraId="0AB9245F"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Corporate Services </w:t>
            </w:r>
          </w:p>
        </w:tc>
        <w:tc>
          <w:tcPr>
            <w:tcW w:w="3187" w:type="dxa"/>
            <w:tcBorders>
              <w:top w:val="single" w:sz="4" w:space="0" w:color="005A83"/>
              <w:left w:val="single" w:sz="4" w:space="0" w:color="005A83"/>
              <w:bottom w:val="single" w:sz="4" w:space="0" w:color="005A83"/>
              <w:right w:val="single" w:sz="4" w:space="0" w:color="005A83"/>
            </w:tcBorders>
            <w:vAlign w:val="center"/>
          </w:tcPr>
          <w:p w14:paraId="7BB51A17"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Quarterly  </w:t>
            </w:r>
          </w:p>
        </w:tc>
      </w:tr>
      <w:tr w:rsidR="00027459" w:rsidRPr="00806B7F" w14:paraId="61059116" w14:textId="77777777" w:rsidTr="00B04CAC">
        <w:trPr>
          <w:trHeight w:val="600"/>
        </w:trPr>
        <w:tc>
          <w:tcPr>
            <w:tcW w:w="3665" w:type="dxa"/>
            <w:tcBorders>
              <w:top w:val="single" w:sz="4" w:space="0" w:color="005A83"/>
              <w:left w:val="single" w:sz="4" w:space="0" w:color="005A83"/>
              <w:bottom w:val="single" w:sz="4" w:space="0" w:color="005A83"/>
              <w:right w:val="single" w:sz="4" w:space="0" w:color="005A83"/>
            </w:tcBorders>
          </w:tcPr>
          <w:p w14:paraId="18CD7D57" w14:textId="77777777" w:rsidR="00027459" w:rsidRPr="00806B7F" w:rsidRDefault="00027459" w:rsidP="00B04CAC">
            <w:pPr>
              <w:spacing w:line="259" w:lineRule="auto"/>
              <w:ind w:right="46"/>
              <w:rPr>
                <w:rFonts w:ascii="Arial" w:hAnsi="Arial" w:cs="Arial"/>
                <w:sz w:val="20"/>
                <w:szCs w:val="20"/>
              </w:rPr>
            </w:pPr>
            <w:r w:rsidRPr="00806B7F">
              <w:rPr>
                <w:rFonts w:ascii="Arial" w:hAnsi="Arial" w:cs="Arial"/>
                <w:sz w:val="20"/>
                <w:szCs w:val="20"/>
              </w:rPr>
              <w:t xml:space="preserve">Treasury Management Practices </w:t>
            </w:r>
          </w:p>
        </w:tc>
        <w:tc>
          <w:tcPr>
            <w:tcW w:w="2390" w:type="dxa"/>
            <w:tcBorders>
              <w:top w:val="single" w:sz="4" w:space="0" w:color="005A83"/>
              <w:left w:val="single" w:sz="4" w:space="0" w:color="005A83"/>
              <w:bottom w:val="single" w:sz="4" w:space="0" w:color="005A83"/>
              <w:right w:val="single" w:sz="4" w:space="0" w:color="005A83"/>
            </w:tcBorders>
          </w:tcPr>
          <w:p w14:paraId="1E4E434E"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Director of </w:t>
            </w:r>
          </w:p>
          <w:p w14:paraId="3B78D2DD"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Corporate Services </w:t>
            </w:r>
          </w:p>
        </w:tc>
        <w:tc>
          <w:tcPr>
            <w:tcW w:w="3187" w:type="dxa"/>
            <w:tcBorders>
              <w:top w:val="single" w:sz="4" w:space="0" w:color="005A83"/>
              <w:left w:val="single" w:sz="4" w:space="0" w:color="005A83"/>
              <w:bottom w:val="single" w:sz="4" w:space="0" w:color="005A83"/>
              <w:right w:val="single" w:sz="4" w:space="0" w:color="005A83"/>
            </w:tcBorders>
            <w:vAlign w:val="center"/>
          </w:tcPr>
          <w:p w14:paraId="253E45B9" w14:textId="77777777" w:rsidR="00027459" w:rsidRPr="00806B7F" w:rsidRDefault="00027459" w:rsidP="00B04CAC">
            <w:pPr>
              <w:spacing w:line="259" w:lineRule="auto"/>
              <w:rPr>
                <w:rFonts w:ascii="Arial" w:hAnsi="Arial" w:cs="Arial"/>
                <w:sz w:val="20"/>
                <w:szCs w:val="20"/>
              </w:rPr>
            </w:pPr>
            <w:r w:rsidRPr="00806B7F">
              <w:rPr>
                <w:rFonts w:ascii="Arial" w:hAnsi="Arial" w:cs="Arial"/>
                <w:sz w:val="20"/>
                <w:szCs w:val="20"/>
              </w:rPr>
              <w:t xml:space="preserve">Annually </w:t>
            </w:r>
          </w:p>
        </w:tc>
      </w:tr>
    </w:tbl>
    <w:p w14:paraId="2D9BF2C1" w14:textId="77777777" w:rsidR="00027459" w:rsidRPr="00806B7F" w:rsidRDefault="00027459" w:rsidP="00027459">
      <w:pPr>
        <w:spacing w:line="259" w:lineRule="auto"/>
        <w:ind w:left="34"/>
        <w:rPr>
          <w:rFonts w:ascii="Arial" w:hAnsi="Arial" w:cs="Arial"/>
          <w:sz w:val="20"/>
        </w:rPr>
      </w:pPr>
      <w:r w:rsidRPr="00806B7F">
        <w:rPr>
          <w:rFonts w:ascii="Arial" w:hAnsi="Arial" w:cs="Arial"/>
          <w:sz w:val="20"/>
        </w:rPr>
        <w:t xml:space="preserve"> </w:t>
      </w:r>
    </w:p>
    <w:p w14:paraId="52BC8FF5" w14:textId="77777777" w:rsidR="00027459" w:rsidRPr="00806B7F" w:rsidRDefault="00027459" w:rsidP="00027459">
      <w:pPr>
        <w:ind w:left="29" w:right="53"/>
        <w:rPr>
          <w:rFonts w:ascii="Arial" w:hAnsi="Arial" w:cs="Arial"/>
          <w:sz w:val="20"/>
        </w:rPr>
      </w:pPr>
      <w:r w:rsidRPr="00806B7F">
        <w:rPr>
          <w:rFonts w:ascii="Arial" w:hAnsi="Arial" w:cs="Arial"/>
          <w:sz w:val="20"/>
        </w:rPr>
        <w:t xml:space="preserve">The Treasury Management Strategy, covers the following aspects of the Treasury Management function:- </w:t>
      </w:r>
    </w:p>
    <w:p w14:paraId="26EB8C89" w14:textId="77777777" w:rsidR="00027459" w:rsidRPr="00806B7F" w:rsidRDefault="00027459" w:rsidP="00027459">
      <w:pPr>
        <w:spacing w:after="8" w:line="259" w:lineRule="auto"/>
        <w:ind w:left="34"/>
        <w:rPr>
          <w:rFonts w:ascii="Arial" w:hAnsi="Arial" w:cs="Arial"/>
          <w:sz w:val="20"/>
        </w:rPr>
      </w:pPr>
      <w:r w:rsidRPr="00806B7F">
        <w:rPr>
          <w:rFonts w:ascii="Arial" w:hAnsi="Arial" w:cs="Arial"/>
          <w:sz w:val="20"/>
        </w:rPr>
        <w:t xml:space="preserve"> </w:t>
      </w:r>
    </w:p>
    <w:p w14:paraId="357B3824"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Prudential Indicators which will provide a controlling framework for the capital expenditure and treasury management activities of the Authority; </w:t>
      </w:r>
    </w:p>
    <w:p w14:paraId="532584C9"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Current Long-term debt and investments; </w:t>
      </w:r>
    </w:p>
    <w:p w14:paraId="6163E657"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Prospects for interest rates; </w:t>
      </w:r>
    </w:p>
    <w:p w14:paraId="508870D8"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The Borrowing Strategy; </w:t>
      </w:r>
    </w:p>
    <w:p w14:paraId="1D5DF51F"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The Investment Strategy; </w:t>
      </w:r>
    </w:p>
    <w:p w14:paraId="38917A42" w14:textId="77777777" w:rsidR="00027459" w:rsidRPr="00806B7F" w:rsidRDefault="00027459" w:rsidP="00A53D23">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Policy on borrowing in advance of need. </w:t>
      </w:r>
    </w:p>
    <w:p w14:paraId="400C0134" w14:textId="77777777" w:rsidR="00027459" w:rsidRPr="00806B7F" w:rsidRDefault="00027459" w:rsidP="00027459">
      <w:pPr>
        <w:spacing w:line="259" w:lineRule="auto"/>
        <w:ind w:left="34"/>
        <w:rPr>
          <w:rFonts w:ascii="Arial" w:hAnsi="Arial" w:cs="Arial"/>
          <w:sz w:val="20"/>
        </w:rPr>
      </w:pPr>
      <w:r w:rsidRPr="00806B7F">
        <w:rPr>
          <w:rFonts w:ascii="Arial" w:hAnsi="Arial" w:cs="Arial"/>
          <w:sz w:val="20"/>
        </w:rPr>
        <w:t xml:space="preserve"> </w:t>
      </w:r>
    </w:p>
    <w:p w14:paraId="466829FD" w14:textId="77777777" w:rsidR="00C24569" w:rsidRPr="00806B7F" w:rsidRDefault="00C24569" w:rsidP="003C3CC6">
      <w:pPr>
        <w:spacing w:line="259" w:lineRule="auto"/>
        <w:ind w:left="34"/>
        <w:jc w:val="both"/>
        <w:rPr>
          <w:rFonts w:ascii="Arial" w:hAnsi="Arial" w:cs="Arial"/>
          <w:b/>
          <w:sz w:val="20"/>
        </w:rPr>
      </w:pPr>
      <w:r w:rsidRPr="00806B7F">
        <w:rPr>
          <w:rFonts w:ascii="Arial" w:hAnsi="Arial" w:cs="Arial"/>
          <w:b/>
          <w:sz w:val="20"/>
        </w:rPr>
        <w:t>Setting the Treasury Management Strategy for 2023/24</w:t>
      </w:r>
    </w:p>
    <w:p w14:paraId="251FA0BC" w14:textId="77777777" w:rsidR="00C24569" w:rsidRPr="00806B7F" w:rsidRDefault="00C24569" w:rsidP="003C3CC6">
      <w:pPr>
        <w:spacing w:line="259" w:lineRule="auto"/>
        <w:ind w:left="34"/>
        <w:jc w:val="both"/>
        <w:rPr>
          <w:rFonts w:ascii="Arial" w:hAnsi="Arial" w:cs="Arial"/>
          <w:sz w:val="20"/>
        </w:rPr>
      </w:pPr>
    </w:p>
    <w:p w14:paraId="49660D42"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In setting the treasury management strategy the following factors need to be considered as they may have a strong influence over the strategy adopted: </w:t>
      </w:r>
    </w:p>
    <w:p w14:paraId="6B178952" w14:textId="77777777" w:rsidR="00C24569" w:rsidRPr="00806B7F" w:rsidRDefault="00C24569" w:rsidP="003C3CC6">
      <w:pPr>
        <w:spacing w:line="259" w:lineRule="auto"/>
        <w:ind w:left="34"/>
        <w:jc w:val="both"/>
        <w:rPr>
          <w:rFonts w:ascii="Arial" w:hAnsi="Arial" w:cs="Arial"/>
          <w:sz w:val="20"/>
        </w:rPr>
      </w:pPr>
    </w:p>
    <w:p w14:paraId="00FC01A9"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economic position and forecasts, </w:t>
      </w:r>
    </w:p>
    <w:p w14:paraId="5ED84F0A"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Interest rate forecasts</w:t>
      </w:r>
    </w:p>
    <w:p w14:paraId="2B5D17A4"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the current structure of the investment and debt portfolio</w:t>
      </w:r>
    </w:p>
    <w:p w14:paraId="2D60A7D3"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Future Capital Programme and underlying cash forecasts</w:t>
      </w:r>
    </w:p>
    <w:p w14:paraId="70131ACC" w14:textId="77777777" w:rsidR="00C24569" w:rsidRPr="00806B7F" w:rsidRDefault="00C24569" w:rsidP="003C3CC6">
      <w:pPr>
        <w:spacing w:line="259" w:lineRule="auto"/>
        <w:ind w:left="34"/>
        <w:jc w:val="both"/>
        <w:rPr>
          <w:rFonts w:ascii="Arial" w:hAnsi="Arial" w:cs="Arial"/>
          <w:sz w:val="20"/>
          <w:highlight w:val="yellow"/>
        </w:rPr>
      </w:pPr>
    </w:p>
    <w:p w14:paraId="27F7F973"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b/>
          <w:bCs/>
          <w:sz w:val="20"/>
          <w:szCs w:val="20"/>
        </w:rPr>
        <w:t>Economic background:</w:t>
      </w:r>
      <w:r w:rsidRPr="00806B7F">
        <w:rPr>
          <w:rFonts w:ascii="Arial" w:hAnsi="Arial" w:cs="Arial"/>
          <w:sz w:val="20"/>
          <w:szCs w:val="20"/>
        </w:rPr>
        <w:t xml:space="preserve"> </w:t>
      </w:r>
    </w:p>
    <w:p w14:paraId="6F2975A2" w14:textId="77777777" w:rsidR="00C24569" w:rsidRPr="00806B7F" w:rsidRDefault="00C24569" w:rsidP="003C3CC6">
      <w:pPr>
        <w:pStyle w:val="ListParagraph"/>
        <w:ind w:left="0"/>
        <w:contextualSpacing w:val="0"/>
        <w:jc w:val="both"/>
        <w:rPr>
          <w:rFonts w:ascii="Arial" w:hAnsi="Arial" w:cs="Arial"/>
          <w:sz w:val="20"/>
          <w:szCs w:val="20"/>
          <w:highlight w:val="yellow"/>
        </w:rPr>
      </w:pPr>
    </w:p>
    <w:p w14:paraId="2492C549"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sz w:val="20"/>
          <w:szCs w:val="20"/>
        </w:rPr>
        <w:t xml:space="preserve"> Key factors to consider in assessing the impact on the Strategy are the expectation for economic growth, </w:t>
      </w:r>
      <w:proofErr w:type="gramStart"/>
      <w:r w:rsidRPr="00806B7F">
        <w:rPr>
          <w:rFonts w:ascii="Arial" w:hAnsi="Arial" w:cs="Arial"/>
          <w:sz w:val="20"/>
          <w:szCs w:val="20"/>
        </w:rPr>
        <w:t>inflation</w:t>
      </w:r>
      <w:proofErr w:type="gramEnd"/>
      <w:r w:rsidRPr="00806B7F">
        <w:rPr>
          <w:rFonts w:ascii="Arial" w:hAnsi="Arial" w:cs="Arial"/>
          <w:sz w:val="20"/>
          <w:szCs w:val="20"/>
        </w:rPr>
        <w:t xml:space="preserve"> and the possible impact on interest rates</w:t>
      </w:r>
    </w:p>
    <w:p w14:paraId="2DA737B2" w14:textId="77777777" w:rsidR="00C24569" w:rsidRPr="00806B7F" w:rsidRDefault="00C24569" w:rsidP="003C3CC6">
      <w:pPr>
        <w:pStyle w:val="ListParagraph"/>
        <w:ind w:left="0"/>
        <w:contextualSpacing w:val="0"/>
        <w:jc w:val="both"/>
        <w:rPr>
          <w:rFonts w:ascii="Arial" w:hAnsi="Arial" w:cs="Arial"/>
          <w:sz w:val="20"/>
          <w:szCs w:val="20"/>
        </w:rPr>
      </w:pPr>
    </w:p>
    <w:p w14:paraId="031067A8"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sz w:val="20"/>
          <w:szCs w:val="20"/>
        </w:rPr>
        <w:t>The overall picture for next year is that growth will be weak with the Bank of Englands quarterly Monetary Policy Report (MPR) for November forecasting a prolonged but shallow recession in the UK.  The UK economy contracted by 0.3% between July and September 2022 according to the Office for National Statistics, and the Bank of England forecasts Gross Domestic Product (GDP) will decline 0.75% in the second half of the calendar year due to the squeeze on household income from higher energy costs and goods prices. Growth is then expected to continue to fall throughout 2023 and the first half of 2024. The labour market remains tight for now, with the most recent statistics showing the unemployment rate was 3.7%</w:t>
      </w:r>
    </w:p>
    <w:p w14:paraId="27655028" w14:textId="77777777" w:rsidR="00C24569" w:rsidRPr="00806B7F" w:rsidRDefault="00C24569" w:rsidP="003C3CC6">
      <w:pPr>
        <w:pStyle w:val="ListParagraph"/>
        <w:ind w:left="0"/>
        <w:contextualSpacing w:val="0"/>
        <w:jc w:val="both"/>
        <w:rPr>
          <w:rFonts w:ascii="Arial" w:hAnsi="Arial" w:cs="Arial"/>
          <w:sz w:val="20"/>
          <w:szCs w:val="20"/>
        </w:rPr>
      </w:pPr>
    </w:p>
    <w:p w14:paraId="74C0C3E1"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sz w:val="20"/>
          <w:szCs w:val="20"/>
        </w:rPr>
        <w:t xml:space="preserve">CPI inflation is expected to have peaked in the last calendar quarter of 2022 and then fall from early in 2023 partly </w:t>
      </w:r>
      <w:proofErr w:type="gramStart"/>
      <w:r w:rsidRPr="00806B7F">
        <w:rPr>
          <w:rFonts w:ascii="Arial" w:hAnsi="Arial" w:cs="Arial"/>
          <w:sz w:val="20"/>
          <w:szCs w:val="20"/>
        </w:rPr>
        <w:t>as a result of</w:t>
      </w:r>
      <w:proofErr w:type="gramEnd"/>
      <w:r w:rsidRPr="00806B7F">
        <w:rPr>
          <w:rFonts w:ascii="Arial" w:hAnsi="Arial" w:cs="Arial"/>
          <w:sz w:val="20"/>
          <w:szCs w:val="20"/>
        </w:rPr>
        <w:t xml:space="preserve"> previous increases in energy prices drop out of the annual comparison. The Bank of England forecast that inflation will fall sharply and be  below the 2% target, in two years’ time and to fall further below the target in three years’ time. With any forecast there is uncertainty and  the Bank of England state that the risks are to the upside.</w:t>
      </w:r>
    </w:p>
    <w:p w14:paraId="22278C2C" w14:textId="77777777" w:rsidR="00C24569" w:rsidRPr="00806B7F" w:rsidRDefault="00C24569" w:rsidP="003C3CC6">
      <w:pPr>
        <w:jc w:val="both"/>
        <w:rPr>
          <w:rFonts w:ascii="Arial" w:hAnsi="Arial" w:cs="Arial"/>
          <w:sz w:val="20"/>
          <w:highlight w:val="yellow"/>
        </w:rPr>
      </w:pPr>
    </w:p>
    <w:p w14:paraId="62392A28" w14:textId="77777777" w:rsidR="00C24569" w:rsidRPr="00806B7F" w:rsidRDefault="00C24569" w:rsidP="003C3CC6">
      <w:pPr>
        <w:pStyle w:val="ListParagraph"/>
        <w:ind w:left="0"/>
        <w:contextualSpacing w:val="0"/>
        <w:jc w:val="both"/>
        <w:rPr>
          <w:rFonts w:ascii="Arial" w:hAnsi="Arial" w:cs="Arial"/>
          <w:b/>
          <w:bCs/>
          <w:sz w:val="20"/>
          <w:szCs w:val="20"/>
        </w:rPr>
      </w:pPr>
      <w:r w:rsidRPr="00806B7F">
        <w:rPr>
          <w:rFonts w:ascii="Arial" w:hAnsi="Arial" w:cs="Arial"/>
          <w:b/>
          <w:bCs/>
          <w:sz w:val="20"/>
          <w:szCs w:val="20"/>
        </w:rPr>
        <w:t>Arlingclose Forecast</w:t>
      </w:r>
    </w:p>
    <w:p w14:paraId="461326E2" w14:textId="77777777" w:rsidR="00C24569" w:rsidRPr="00806B7F" w:rsidRDefault="00C24569" w:rsidP="003C3CC6">
      <w:pPr>
        <w:pStyle w:val="ListParagraph"/>
        <w:ind w:left="0"/>
        <w:contextualSpacing w:val="0"/>
        <w:jc w:val="both"/>
        <w:rPr>
          <w:rFonts w:ascii="Arial" w:hAnsi="Arial" w:cs="Arial"/>
          <w:b/>
          <w:bCs/>
          <w:sz w:val="20"/>
          <w:szCs w:val="20"/>
          <w:highlight w:val="yellow"/>
        </w:rPr>
      </w:pPr>
    </w:p>
    <w:p w14:paraId="67C78A96"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sz w:val="20"/>
          <w:szCs w:val="20"/>
        </w:rPr>
        <w:t xml:space="preserve">The Bank of England (BoE) increased Bank Rate by 0.5% to 3.5% in December 2022. This followed a 0.75% rise in November which was the largest single rate hike since 1989 and the ninth successive rise since December 2021. </w:t>
      </w:r>
    </w:p>
    <w:p w14:paraId="6D1C7834" w14:textId="77777777" w:rsidR="00C24569" w:rsidRPr="00806B7F" w:rsidRDefault="00C24569" w:rsidP="00C24569">
      <w:pPr>
        <w:pStyle w:val="ListParagraph"/>
        <w:ind w:left="0"/>
        <w:contextualSpacing w:val="0"/>
        <w:rPr>
          <w:rFonts w:ascii="Arial" w:hAnsi="Arial" w:cs="Arial"/>
          <w:sz w:val="20"/>
          <w:szCs w:val="20"/>
        </w:rPr>
      </w:pPr>
    </w:p>
    <w:p w14:paraId="783C4951" w14:textId="77777777" w:rsidR="00C24569" w:rsidRPr="00806B7F" w:rsidRDefault="00C24569" w:rsidP="003C3CC6">
      <w:pPr>
        <w:pStyle w:val="ListParagraph"/>
        <w:ind w:left="0"/>
        <w:contextualSpacing w:val="0"/>
        <w:jc w:val="both"/>
        <w:rPr>
          <w:rFonts w:ascii="Arial" w:hAnsi="Arial" w:cs="Arial"/>
          <w:sz w:val="20"/>
          <w:szCs w:val="20"/>
        </w:rPr>
      </w:pPr>
      <w:r w:rsidRPr="00806B7F">
        <w:rPr>
          <w:rFonts w:ascii="Arial" w:hAnsi="Arial" w:cs="Arial"/>
          <w:sz w:val="20"/>
          <w:szCs w:val="20"/>
        </w:rPr>
        <w:t>The Authority’s treasury management adviser Arlingclose in its latest forecast estimate that Bank Rate will continue to rise in 2023 as the Bank of England attempts to subdue inflation which is significantly above its 2% target. They expect that there will further interest rate rises over the forecast horizon despite looming recession. Bank Rate is forecasted to rise to 4.25% by June 2023. (</w:t>
      </w:r>
      <w:proofErr w:type="gramStart"/>
      <w:r w:rsidRPr="00806B7F">
        <w:rPr>
          <w:rFonts w:ascii="Arial" w:hAnsi="Arial" w:cs="Arial"/>
          <w:sz w:val="20"/>
          <w:szCs w:val="20"/>
        </w:rPr>
        <w:t>subsequent</w:t>
      </w:r>
      <w:proofErr w:type="gramEnd"/>
      <w:r w:rsidRPr="00806B7F">
        <w:rPr>
          <w:rFonts w:ascii="Arial" w:hAnsi="Arial" w:cs="Arial"/>
          <w:sz w:val="20"/>
          <w:szCs w:val="20"/>
        </w:rPr>
        <w:t xml:space="preserve"> to the forecast being produced the base rate was increased to 4% in February 2023).</w:t>
      </w:r>
    </w:p>
    <w:p w14:paraId="3BD58DF4" w14:textId="77777777" w:rsidR="00C24569" w:rsidRPr="00806B7F" w:rsidRDefault="00C24569" w:rsidP="003C3CC6">
      <w:pPr>
        <w:jc w:val="both"/>
        <w:rPr>
          <w:rFonts w:ascii="Arial" w:hAnsi="Arial" w:cs="Arial"/>
          <w:sz w:val="20"/>
        </w:rPr>
      </w:pPr>
    </w:p>
    <w:p w14:paraId="0AB3A847" w14:textId="77777777" w:rsidR="00C24569" w:rsidRPr="00806B7F" w:rsidRDefault="00C24569" w:rsidP="003C3CC6">
      <w:pPr>
        <w:jc w:val="both"/>
        <w:rPr>
          <w:rFonts w:ascii="Arial" w:hAnsi="Arial" w:cs="Arial"/>
          <w:sz w:val="20"/>
        </w:rPr>
      </w:pPr>
      <w:r w:rsidRPr="00806B7F">
        <w:rPr>
          <w:rFonts w:ascii="Arial" w:hAnsi="Arial" w:cs="Arial"/>
          <w:sz w:val="20"/>
        </w:rPr>
        <w:t xml:space="preserve">Yields are expected to remain broadly at current levels over the medium-term, with 5-, 10- and 20-year gilt yields expected to average around 3.5%, 3.5%, and 3.85% respectively over the 3-year period to December 2025. </w:t>
      </w:r>
    </w:p>
    <w:p w14:paraId="294B6F15" w14:textId="77777777" w:rsidR="00C24569" w:rsidRPr="00806B7F" w:rsidRDefault="00C24569" w:rsidP="003C3CC6">
      <w:pPr>
        <w:pStyle w:val="ListParagraph"/>
        <w:ind w:left="0"/>
        <w:jc w:val="both"/>
        <w:rPr>
          <w:rFonts w:ascii="Arial" w:hAnsi="Arial" w:cs="Arial"/>
          <w:sz w:val="20"/>
          <w:szCs w:val="20"/>
          <w:highlight w:val="yellow"/>
        </w:rPr>
      </w:pPr>
    </w:p>
    <w:p w14:paraId="38DC91FB" w14:textId="77777777" w:rsidR="00C24569" w:rsidRPr="00806B7F" w:rsidRDefault="00C24569" w:rsidP="00C24569">
      <w:pPr>
        <w:pStyle w:val="BodyText"/>
        <w:rPr>
          <w:rFonts w:ascii="Arial" w:hAnsi="Arial" w:cs="Arial"/>
          <w:sz w:val="20"/>
        </w:rPr>
      </w:pPr>
      <w:r w:rsidRPr="00806B7F">
        <w:rPr>
          <w:rFonts w:ascii="Arial" w:hAnsi="Arial" w:cs="Arial"/>
          <w:sz w:val="20"/>
        </w:rPr>
        <w:t xml:space="preserve">Details of the latest forecast are shown in the table below: </w:t>
      </w:r>
    </w:p>
    <w:p w14:paraId="00D91ABC" w14:textId="77777777" w:rsidR="00C24569" w:rsidRPr="00806B7F" w:rsidRDefault="00C24569" w:rsidP="00C24569">
      <w:pPr>
        <w:rPr>
          <w:rFonts w:ascii="Arial" w:hAnsi="Arial" w:cs="Arial"/>
          <w:sz w:val="20"/>
        </w:rPr>
      </w:pPr>
    </w:p>
    <w:p w14:paraId="23E35BE4"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3 Forecast interest rates</w:t>
      </w:r>
    </w:p>
    <w:tbl>
      <w:tblPr>
        <w:tblW w:w="7860" w:type="dxa"/>
        <w:tblCellMar>
          <w:left w:w="0" w:type="dxa"/>
          <w:right w:w="0" w:type="dxa"/>
        </w:tblCellMar>
        <w:tblLook w:val="04A0" w:firstRow="1" w:lastRow="0" w:firstColumn="1" w:lastColumn="0" w:noHBand="0" w:noVBand="1"/>
      </w:tblPr>
      <w:tblGrid>
        <w:gridCol w:w="2100"/>
        <w:gridCol w:w="960"/>
        <w:gridCol w:w="960"/>
        <w:gridCol w:w="960"/>
        <w:gridCol w:w="960"/>
        <w:gridCol w:w="960"/>
        <w:gridCol w:w="960"/>
      </w:tblGrid>
      <w:tr w:rsidR="00C24569" w:rsidRPr="00806B7F" w14:paraId="369186E9" w14:textId="77777777" w:rsidTr="00A369A1">
        <w:trPr>
          <w:trHeight w:val="1130"/>
        </w:trPr>
        <w:tc>
          <w:tcPr>
            <w:tcW w:w="210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448F924" w14:textId="77777777" w:rsidR="00C24569" w:rsidRPr="00806B7F" w:rsidRDefault="00C24569" w:rsidP="00A369A1">
            <w:pPr>
              <w:rPr>
                <w:rFonts w:ascii="Arial" w:hAnsi="Arial" w:cs="Arial"/>
                <w:sz w:val="20"/>
              </w:rPr>
            </w:pPr>
            <w:r w:rsidRPr="00806B7F">
              <w:rPr>
                <w:rFonts w:ascii="Arial" w:hAnsi="Arial" w:cs="Arial"/>
                <w:sz w:val="20"/>
              </w:rPr>
              <w:t> </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E8AD213" w14:textId="77777777" w:rsidR="00C24569" w:rsidRPr="00806B7F" w:rsidRDefault="00C24569" w:rsidP="00A369A1">
            <w:pPr>
              <w:jc w:val="center"/>
              <w:rPr>
                <w:rFonts w:ascii="Arial" w:hAnsi="Arial" w:cs="Arial"/>
                <w:sz w:val="20"/>
              </w:rPr>
            </w:pPr>
            <w:r w:rsidRPr="00806B7F">
              <w:rPr>
                <w:rFonts w:ascii="Arial" w:hAnsi="Arial" w:cs="Arial"/>
                <w:sz w:val="20"/>
              </w:rPr>
              <w:t>Bank Rate %</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AA0BF5" w14:textId="77777777" w:rsidR="00C24569" w:rsidRPr="00806B7F" w:rsidRDefault="00C24569" w:rsidP="00A369A1">
            <w:pPr>
              <w:jc w:val="center"/>
              <w:rPr>
                <w:rFonts w:ascii="Arial" w:hAnsi="Arial" w:cs="Arial"/>
                <w:sz w:val="20"/>
              </w:rPr>
            </w:pPr>
            <w:proofErr w:type="gramStart"/>
            <w:r w:rsidRPr="00806B7F">
              <w:rPr>
                <w:rFonts w:ascii="Arial" w:hAnsi="Arial" w:cs="Arial"/>
                <w:sz w:val="20"/>
              </w:rPr>
              <w:t>3 month</w:t>
            </w:r>
            <w:proofErr w:type="gramEnd"/>
            <w:r w:rsidRPr="00806B7F">
              <w:rPr>
                <w:rFonts w:ascii="Arial" w:hAnsi="Arial" w:cs="Arial"/>
                <w:sz w:val="20"/>
              </w:rPr>
              <w:t xml:space="preserve"> money market rate%</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995C72" w14:textId="77777777" w:rsidR="00C24569" w:rsidRPr="00806B7F" w:rsidRDefault="00C24569" w:rsidP="00A369A1">
            <w:pPr>
              <w:jc w:val="center"/>
              <w:rPr>
                <w:rFonts w:ascii="Arial" w:hAnsi="Arial" w:cs="Arial"/>
                <w:sz w:val="20"/>
              </w:rPr>
            </w:pPr>
            <w:proofErr w:type="gramStart"/>
            <w:r w:rsidRPr="00806B7F">
              <w:rPr>
                <w:rFonts w:ascii="Arial" w:hAnsi="Arial" w:cs="Arial"/>
                <w:sz w:val="20"/>
              </w:rPr>
              <w:t>5 year</w:t>
            </w:r>
            <w:proofErr w:type="gramEnd"/>
            <w:r w:rsidRPr="00806B7F">
              <w:rPr>
                <w:rFonts w:ascii="Arial" w:hAnsi="Arial" w:cs="Arial"/>
                <w:sz w:val="20"/>
              </w:rPr>
              <w:t xml:space="preserve"> gilt yield %</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7C3BDC" w14:textId="77777777" w:rsidR="00C24569" w:rsidRPr="00806B7F" w:rsidRDefault="00C24569" w:rsidP="00A369A1">
            <w:pPr>
              <w:jc w:val="center"/>
              <w:rPr>
                <w:rFonts w:ascii="Arial" w:hAnsi="Arial" w:cs="Arial"/>
                <w:sz w:val="20"/>
              </w:rPr>
            </w:pPr>
            <w:proofErr w:type="gramStart"/>
            <w:r w:rsidRPr="00806B7F">
              <w:rPr>
                <w:rFonts w:ascii="Arial" w:hAnsi="Arial" w:cs="Arial"/>
                <w:sz w:val="20"/>
              </w:rPr>
              <w:t>10 year</w:t>
            </w:r>
            <w:proofErr w:type="gramEnd"/>
            <w:r w:rsidRPr="00806B7F">
              <w:rPr>
                <w:rFonts w:ascii="Arial" w:hAnsi="Arial" w:cs="Arial"/>
                <w:sz w:val="20"/>
              </w:rPr>
              <w:t xml:space="preserve"> gilt yield %</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113479" w14:textId="77777777" w:rsidR="00C24569" w:rsidRPr="00806B7F" w:rsidRDefault="00C24569" w:rsidP="00A369A1">
            <w:pPr>
              <w:jc w:val="center"/>
              <w:rPr>
                <w:rFonts w:ascii="Arial" w:hAnsi="Arial" w:cs="Arial"/>
                <w:sz w:val="20"/>
              </w:rPr>
            </w:pPr>
            <w:proofErr w:type="gramStart"/>
            <w:r w:rsidRPr="00806B7F">
              <w:rPr>
                <w:rFonts w:ascii="Arial" w:hAnsi="Arial" w:cs="Arial"/>
                <w:sz w:val="20"/>
              </w:rPr>
              <w:t>20 year</w:t>
            </w:r>
            <w:proofErr w:type="gramEnd"/>
            <w:r w:rsidRPr="00806B7F">
              <w:rPr>
                <w:rFonts w:ascii="Arial" w:hAnsi="Arial" w:cs="Arial"/>
                <w:sz w:val="20"/>
              </w:rPr>
              <w:t xml:space="preserve"> gilt yield %</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16DFBA" w14:textId="77777777" w:rsidR="00C24569" w:rsidRPr="00806B7F" w:rsidRDefault="00C24569" w:rsidP="00A369A1">
            <w:pPr>
              <w:jc w:val="center"/>
              <w:rPr>
                <w:rFonts w:ascii="Arial" w:hAnsi="Arial" w:cs="Arial"/>
                <w:sz w:val="20"/>
              </w:rPr>
            </w:pPr>
            <w:proofErr w:type="gramStart"/>
            <w:r w:rsidRPr="00806B7F">
              <w:rPr>
                <w:rFonts w:ascii="Arial" w:hAnsi="Arial" w:cs="Arial"/>
                <w:sz w:val="20"/>
              </w:rPr>
              <w:t>50 year</w:t>
            </w:r>
            <w:proofErr w:type="gramEnd"/>
            <w:r w:rsidRPr="00806B7F">
              <w:rPr>
                <w:rFonts w:ascii="Arial" w:hAnsi="Arial" w:cs="Arial"/>
                <w:sz w:val="20"/>
              </w:rPr>
              <w:t xml:space="preserve"> gilt yield %</w:t>
            </w:r>
          </w:p>
        </w:tc>
      </w:tr>
      <w:tr w:rsidR="00C24569" w:rsidRPr="00806B7F" w14:paraId="7B12EECE"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7F17629" w14:textId="77777777" w:rsidR="00C24569" w:rsidRPr="00806B7F" w:rsidRDefault="00C24569" w:rsidP="00A369A1">
            <w:pPr>
              <w:jc w:val="center"/>
              <w:rPr>
                <w:rFonts w:ascii="Arial" w:hAnsi="Arial" w:cs="Arial"/>
                <w:sz w:val="20"/>
              </w:rPr>
            </w:pPr>
            <w:r w:rsidRPr="00806B7F">
              <w:rPr>
                <w:rFonts w:ascii="Arial" w:hAnsi="Arial" w:cs="Arial"/>
                <w:sz w:val="20"/>
              </w:rPr>
              <w:t>Dec-22</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4EAA61"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EB40E0" w14:textId="77777777" w:rsidR="00C24569" w:rsidRPr="00806B7F" w:rsidRDefault="00C24569" w:rsidP="00A369A1">
            <w:pPr>
              <w:jc w:val="center"/>
              <w:rPr>
                <w:rFonts w:ascii="Arial" w:hAnsi="Arial" w:cs="Arial"/>
                <w:sz w:val="20"/>
              </w:rPr>
            </w:pPr>
            <w:r w:rsidRPr="00806B7F">
              <w:rPr>
                <w:rFonts w:ascii="Arial" w:hAnsi="Arial" w:cs="Arial"/>
                <w:sz w:val="20"/>
              </w:rPr>
              <w:t>3.00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24B1F5" w14:textId="77777777" w:rsidR="00C24569" w:rsidRPr="00806B7F" w:rsidRDefault="00C24569" w:rsidP="00A369A1">
            <w:pPr>
              <w:jc w:val="center"/>
              <w:rPr>
                <w:rFonts w:ascii="Arial" w:hAnsi="Arial" w:cs="Arial"/>
                <w:sz w:val="20"/>
              </w:rPr>
            </w:pPr>
            <w:r w:rsidRPr="00806B7F">
              <w:rPr>
                <w:rFonts w:ascii="Arial" w:hAnsi="Arial" w:cs="Arial"/>
                <w:sz w:val="20"/>
              </w:rPr>
              <w:t>3.43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CBE304" w14:textId="77777777" w:rsidR="00C24569" w:rsidRPr="00806B7F" w:rsidRDefault="00C24569" w:rsidP="00A369A1">
            <w:pPr>
              <w:jc w:val="center"/>
              <w:rPr>
                <w:rFonts w:ascii="Arial" w:hAnsi="Arial" w:cs="Arial"/>
                <w:sz w:val="20"/>
              </w:rPr>
            </w:pPr>
            <w:r w:rsidRPr="00806B7F">
              <w:rPr>
                <w:rFonts w:ascii="Arial" w:hAnsi="Arial" w:cs="Arial"/>
                <w:sz w:val="20"/>
              </w:rPr>
              <w:t>3.47</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D0D038" w14:textId="77777777" w:rsidR="00C24569" w:rsidRPr="00806B7F" w:rsidRDefault="00C24569" w:rsidP="00A369A1">
            <w:pPr>
              <w:jc w:val="center"/>
              <w:rPr>
                <w:rFonts w:ascii="Arial" w:hAnsi="Arial" w:cs="Arial"/>
                <w:sz w:val="20"/>
              </w:rPr>
            </w:pPr>
            <w:r w:rsidRPr="00806B7F">
              <w:rPr>
                <w:rFonts w:ascii="Arial" w:hAnsi="Arial" w:cs="Arial"/>
                <w:sz w:val="20"/>
              </w:rPr>
              <w:t>3.86</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8D0BDEC" w14:textId="77777777" w:rsidR="00C24569" w:rsidRPr="00806B7F" w:rsidRDefault="00C24569" w:rsidP="00A369A1">
            <w:pPr>
              <w:jc w:val="center"/>
              <w:rPr>
                <w:rFonts w:ascii="Arial" w:hAnsi="Arial" w:cs="Arial"/>
                <w:sz w:val="20"/>
              </w:rPr>
            </w:pPr>
            <w:r w:rsidRPr="00806B7F">
              <w:rPr>
                <w:rFonts w:ascii="Arial" w:hAnsi="Arial" w:cs="Arial"/>
                <w:sz w:val="20"/>
              </w:rPr>
              <w:t>3.46</w:t>
            </w:r>
          </w:p>
        </w:tc>
      </w:tr>
      <w:tr w:rsidR="00C24569" w:rsidRPr="00806B7F" w14:paraId="7D980389"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0606094" w14:textId="77777777" w:rsidR="00C24569" w:rsidRPr="00806B7F" w:rsidRDefault="00C24569" w:rsidP="00A369A1">
            <w:pPr>
              <w:jc w:val="center"/>
              <w:rPr>
                <w:rFonts w:ascii="Arial" w:hAnsi="Arial" w:cs="Arial"/>
                <w:sz w:val="20"/>
              </w:rPr>
            </w:pPr>
            <w:r w:rsidRPr="00806B7F">
              <w:rPr>
                <w:rFonts w:ascii="Arial" w:hAnsi="Arial" w:cs="Arial"/>
                <w:sz w:val="20"/>
              </w:rPr>
              <w:t>Mar-23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65DE77" w14:textId="77777777" w:rsidR="00C24569" w:rsidRPr="00806B7F" w:rsidRDefault="00C24569" w:rsidP="00A369A1">
            <w:pPr>
              <w:jc w:val="center"/>
              <w:rPr>
                <w:rFonts w:ascii="Arial" w:hAnsi="Arial" w:cs="Arial"/>
                <w:sz w:val="20"/>
              </w:rPr>
            </w:pPr>
            <w:r w:rsidRPr="00806B7F">
              <w:rPr>
                <w:rFonts w:ascii="Arial" w:hAnsi="Arial" w:cs="Arial"/>
                <w:sz w:val="20"/>
              </w:rPr>
              <w:t>4.00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1446C2" w14:textId="77777777" w:rsidR="00C24569" w:rsidRPr="00806B7F" w:rsidRDefault="00C24569" w:rsidP="00A369A1">
            <w:pPr>
              <w:jc w:val="center"/>
              <w:rPr>
                <w:rFonts w:ascii="Arial" w:hAnsi="Arial" w:cs="Arial"/>
                <w:sz w:val="20"/>
              </w:rPr>
            </w:pPr>
            <w:r w:rsidRPr="00806B7F">
              <w:rPr>
                <w:rFonts w:ascii="Arial" w:hAnsi="Arial" w:cs="Arial"/>
                <w:sz w:val="20"/>
              </w:rPr>
              <w:t>4.40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3EB5DEA"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77EA0E3"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EF1E38"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6750EB"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177D6E02"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BCC9980" w14:textId="77777777" w:rsidR="00C24569" w:rsidRPr="00806B7F" w:rsidRDefault="00C24569" w:rsidP="00A369A1">
            <w:pPr>
              <w:jc w:val="center"/>
              <w:rPr>
                <w:rFonts w:ascii="Arial" w:hAnsi="Arial" w:cs="Arial"/>
                <w:sz w:val="20"/>
              </w:rPr>
            </w:pPr>
            <w:r w:rsidRPr="00806B7F">
              <w:rPr>
                <w:rFonts w:ascii="Arial" w:hAnsi="Arial" w:cs="Arial"/>
                <w:sz w:val="20"/>
              </w:rPr>
              <w:t>Jun-23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29B1B9" w14:textId="77777777" w:rsidR="00C24569" w:rsidRPr="00806B7F" w:rsidRDefault="00C24569" w:rsidP="00A369A1">
            <w:pPr>
              <w:jc w:val="center"/>
              <w:rPr>
                <w:rFonts w:ascii="Arial" w:hAnsi="Arial" w:cs="Arial"/>
                <w:sz w:val="20"/>
              </w:rPr>
            </w:pPr>
            <w:r w:rsidRPr="00806B7F">
              <w:rPr>
                <w:rFonts w:ascii="Arial" w:hAnsi="Arial" w:cs="Arial"/>
                <w:sz w:val="20"/>
              </w:rPr>
              <w:t>4.25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93C119" w14:textId="77777777" w:rsidR="00C24569" w:rsidRPr="00806B7F" w:rsidRDefault="00C24569" w:rsidP="00A369A1">
            <w:pPr>
              <w:jc w:val="center"/>
              <w:rPr>
                <w:rFonts w:ascii="Arial" w:hAnsi="Arial" w:cs="Arial"/>
                <w:sz w:val="20"/>
              </w:rPr>
            </w:pPr>
            <w:r w:rsidRPr="00806B7F">
              <w:rPr>
                <w:rFonts w:ascii="Arial" w:hAnsi="Arial" w:cs="Arial"/>
                <w:sz w:val="20"/>
              </w:rPr>
              <w:t>4.40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C63D372" w14:textId="77777777" w:rsidR="00C24569" w:rsidRPr="00806B7F" w:rsidRDefault="00C24569" w:rsidP="00A369A1">
            <w:pPr>
              <w:jc w:val="center"/>
              <w:rPr>
                <w:rFonts w:ascii="Arial" w:hAnsi="Arial" w:cs="Arial"/>
                <w:sz w:val="20"/>
              </w:rPr>
            </w:pPr>
            <w:r w:rsidRPr="00806B7F">
              <w:rPr>
                <w:rFonts w:ascii="Arial" w:hAnsi="Arial" w:cs="Arial"/>
                <w:sz w:val="20"/>
              </w:rPr>
              <w:t>3.80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B39475"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531065"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A89589"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6C56DC3B"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1F1FE47" w14:textId="77777777" w:rsidR="00C24569" w:rsidRPr="00806B7F" w:rsidRDefault="00C24569" w:rsidP="00A369A1">
            <w:pPr>
              <w:jc w:val="center"/>
              <w:rPr>
                <w:rFonts w:ascii="Arial" w:hAnsi="Arial" w:cs="Arial"/>
                <w:sz w:val="20"/>
              </w:rPr>
            </w:pPr>
            <w:r w:rsidRPr="00806B7F">
              <w:rPr>
                <w:rFonts w:ascii="Arial" w:hAnsi="Arial" w:cs="Arial"/>
                <w:sz w:val="20"/>
              </w:rPr>
              <w:t>Sep-23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B4B4A0" w14:textId="77777777" w:rsidR="00C24569" w:rsidRPr="00806B7F" w:rsidRDefault="00C24569" w:rsidP="00A369A1">
            <w:pPr>
              <w:jc w:val="center"/>
              <w:rPr>
                <w:rFonts w:ascii="Arial" w:hAnsi="Arial" w:cs="Arial"/>
                <w:sz w:val="20"/>
              </w:rPr>
            </w:pPr>
            <w:r w:rsidRPr="00806B7F">
              <w:rPr>
                <w:rFonts w:ascii="Arial" w:hAnsi="Arial" w:cs="Arial"/>
                <w:sz w:val="20"/>
              </w:rPr>
              <w:t>4.25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E825170" w14:textId="77777777" w:rsidR="00C24569" w:rsidRPr="00806B7F" w:rsidRDefault="00C24569" w:rsidP="00A369A1">
            <w:pPr>
              <w:jc w:val="center"/>
              <w:rPr>
                <w:rFonts w:ascii="Arial" w:hAnsi="Arial" w:cs="Arial"/>
                <w:sz w:val="20"/>
              </w:rPr>
            </w:pPr>
            <w:r w:rsidRPr="00806B7F">
              <w:rPr>
                <w:rFonts w:ascii="Arial" w:hAnsi="Arial" w:cs="Arial"/>
                <w:sz w:val="20"/>
              </w:rPr>
              <w:t>4.40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7B2482" w14:textId="77777777" w:rsidR="00C24569" w:rsidRPr="00806B7F" w:rsidRDefault="00C24569" w:rsidP="00A369A1">
            <w:pPr>
              <w:jc w:val="center"/>
              <w:rPr>
                <w:rFonts w:ascii="Arial" w:hAnsi="Arial" w:cs="Arial"/>
                <w:sz w:val="20"/>
              </w:rPr>
            </w:pPr>
            <w:r w:rsidRPr="00806B7F">
              <w:rPr>
                <w:rFonts w:ascii="Arial" w:hAnsi="Arial" w:cs="Arial"/>
                <w:sz w:val="20"/>
              </w:rPr>
              <w:t>3.80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345B81"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A73A41"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072BA04"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31D91EA0"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B4BA6CA" w14:textId="77777777" w:rsidR="00C24569" w:rsidRPr="00806B7F" w:rsidRDefault="00C24569" w:rsidP="00A369A1">
            <w:pPr>
              <w:jc w:val="center"/>
              <w:rPr>
                <w:rFonts w:ascii="Arial" w:hAnsi="Arial" w:cs="Arial"/>
                <w:sz w:val="20"/>
              </w:rPr>
            </w:pPr>
            <w:r w:rsidRPr="00806B7F">
              <w:rPr>
                <w:rFonts w:ascii="Arial" w:hAnsi="Arial" w:cs="Arial"/>
                <w:sz w:val="20"/>
              </w:rPr>
              <w:t>Dec-23</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4A67D5" w14:textId="77777777" w:rsidR="00C24569" w:rsidRPr="00806B7F" w:rsidRDefault="00C24569" w:rsidP="00A369A1">
            <w:pPr>
              <w:jc w:val="center"/>
              <w:rPr>
                <w:rFonts w:ascii="Arial" w:hAnsi="Arial" w:cs="Arial"/>
                <w:sz w:val="20"/>
              </w:rPr>
            </w:pPr>
            <w:r w:rsidRPr="00806B7F">
              <w:rPr>
                <w:rFonts w:ascii="Arial" w:hAnsi="Arial" w:cs="Arial"/>
                <w:sz w:val="20"/>
              </w:rPr>
              <w:t>4.25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7DFEB1" w14:textId="77777777" w:rsidR="00C24569" w:rsidRPr="00806B7F" w:rsidRDefault="00C24569" w:rsidP="00A369A1">
            <w:pPr>
              <w:jc w:val="center"/>
              <w:rPr>
                <w:rFonts w:ascii="Arial" w:hAnsi="Arial" w:cs="Arial"/>
                <w:sz w:val="20"/>
              </w:rPr>
            </w:pPr>
            <w:r w:rsidRPr="00806B7F">
              <w:rPr>
                <w:rFonts w:ascii="Arial" w:hAnsi="Arial" w:cs="Arial"/>
                <w:sz w:val="20"/>
              </w:rPr>
              <w:t>4.35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9A09B81" w14:textId="77777777" w:rsidR="00C24569" w:rsidRPr="00806B7F" w:rsidRDefault="00C24569" w:rsidP="00A369A1">
            <w:pPr>
              <w:jc w:val="center"/>
              <w:rPr>
                <w:rFonts w:ascii="Arial" w:hAnsi="Arial" w:cs="Arial"/>
                <w:sz w:val="20"/>
              </w:rPr>
            </w:pPr>
            <w:r w:rsidRPr="00806B7F">
              <w:rPr>
                <w:rFonts w:ascii="Arial" w:hAnsi="Arial" w:cs="Arial"/>
                <w:sz w:val="20"/>
              </w:rPr>
              <w:t>3.80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7A6580"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94BDD7"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8438884"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0FEE6DB0"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1789E76" w14:textId="77777777" w:rsidR="00C24569" w:rsidRPr="00806B7F" w:rsidRDefault="00C24569" w:rsidP="00A369A1">
            <w:pPr>
              <w:jc w:val="center"/>
              <w:rPr>
                <w:rFonts w:ascii="Arial" w:hAnsi="Arial" w:cs="Arial"/>
                <w:sz w:val="20"/>
              </w:rPr>
            </w:pPr>
            <w:r w:rsidRPr="00806B7F">
              <w:rPr>
                <w:rFonts w:ascii="Arial" w:hAnsi="Arial" w:cs="Arial"/>
                <w:sz w:val="20"/>
              </w:rPr>
              <w:t>Mar-24</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6419DE" w14:textId="77777777" w:rsidR="00C24569" w:rsidRPr="00806B7F" w:rsidRDefault="00C24569" w:rsidP="00A369A1">
            <w:pPr>
              <w:jc w:val="center"/>
              <w:rPr>
                <w:rFonts w:ascii="Arial" w:hAnsi="Arial" w:cs="Arial"/>
                <w:sz w:val="20"/>
              </w:rPr>
            </w:pPr>
            <w:r w:rsidRPr="00806B7F">
              <w:rPr>
                <w:rFonts w:ascii="Arial" w:hAnsi="Arial" w:cs="Arial"/>
                <w:sz w:val="20"/>
              </w:rPr>
              <w:t>4.25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411D03" w14:textId="77777777" w:rsidR="00C24569" w:rsidRPr="00806B7F" w:rsidRDefault="00C24569" w:rsidP="00A369A1">
            <w:pPr>
              <w:jc w:val="center"/>
              <w:rPr>
                <w:rFonts w:ascii="Arial" w:hAnsi="Arial" w:cs="Arial"/>
                <w:sz w:val="20"/>
              </w:rPr>
            </w:pPr>
            <w:r w:rsidRPr="00806B7F">
              <w:rPr>
                <w:rFonts w:ascii="Arial" w:hAnsi="Arial" w:cs="Arial"/>
                <w:sz w:val="20"/>
              </w:rPr>
              <w:t>4.30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02BAE0" w14:textId="77777777" w:rsidR="00C24569" w:rsidRPr="00806B7F" w:rsidRDefault="00C24569" w:rsidP="00A369A1">
            <w:pPr>
              <w:jc w:val="center"/>
              <w:rPr>
                <w:rFonts w:ascii="Arial" w:hAnsi="Arial" w:cs="Arial"/>
                <w:sz w:val="20"/>
              </w:rPr>
            </w:pPr>
            <w:r w:rsidRPr="00806B7F">
              <w:rPr>
                <w:rFonts w:ascii="Arial" w:hAnsi="Arial" w:cs="Arial"/>
                <w:sz w:val="20"/>
              </w:rPr>
              <w:t>3.70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C82BD2"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45E849"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ED1FEB"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36227DA6"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8F2C151" w14:textId="77777777" w:rsidR="00C24569" w:rsidRPr="00806B7F" w:rsidRDefault="00C24569" w:rsidP="00A369A1">
            <w:pPr>
              <w:jc w:val="center"/>
              <w:rPr>
                <w:rFonts w:ascii="Arial" w:hAnsi="Arial" w:cs="Arial"/>
                <w:sz w:val="20"/>
              </w:rPr>
            </w:pPr>
            <w:r w:rsidRPr="00806B7F">
              <w:rPr>
                <w:rFonts w:ascii="Arial" w:hAnsi="Arial" w:cs="Arial"/>
                <w:sz w:val="20"/>
              </w:rPr>
              <w:t>Jun-24</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EF2C1A" w14:textId="77777777" w:rsidR="00C24569" w:rsidRPr="00806B7F" w:rsidRDefault="00C24569" w:rsidP="00A369A1">
            <w:pPr>
              <w:jc w:val="center"/>
              <w:rPr>
                <w:rFonts w:ascii="Arial" w:hAnsi="Arial" w:cs="Arial"/>
                <w:sz w:val="20"/>
              </w:rPr>
            </w:pPr>
            <w:r w:rsidRPr="00806B7F">
              <w:rPr>
                <w:rFonts w:ascii="Arial" w:hAnsi="Arial" w:cs="Arial"/>
                <w:sz w:val="20"/>
              </w:rPr>
              <w:t>4.00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7B9599" w14:textId="77777777" w:rsidR="00C24569" w:rsidRPr="00806B7F" w:rsidRDefault="00C24569" w:rsidP="00A369A1">
            <w:pPr>
              <w:jc w:val="center"/>
              <w:rPr>
                <w:rFonts w:ascii="Arial" w:hAnsi="Arial" w:cs="Arial"/>
                <w:sz w:val="20"/>
              </w:rPr>
            </w:pPr>
            <w:r w:rsidRPr="00806B7F">
              <w:rPr>
                <w:rFonts w:ascii="Arial" w:hAnsi="Arial" w:cs="Arial"/>
                <w:sz w:val="20"/>
              </w:rPr>
              <w:t>4.25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26D23F" w14:textId="77777777" w:rsidR="00C24569" w:rsidRPr="00806B7F" w:rsidRDefault="00C24569" w:rsidP="00A369A1">
            <w:pPr>
              <w:jc w:val="center"/>
              <w:rPr>
                <w:rFonts w:ascii="Arial" w:hAnsi="Arial" w:cs="Arial"/>
                <w:sz w:val="20"/>
              </w:rPr>
            </w:pPr>
            <w:r w:rsidRPr="00806B7F">
              <w:rPr>
                <w:rFonts w:ascii="Arial" w:hAnsi="Arial" w:cs="Arial"/>
                <w:sz w:val="20"/>
              </w:rPr>
              <w:t>3.60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5C6F30"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225609"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4B69B1"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3E9D6C7C"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43B14AE" w14:textId="77777777" w:rsidR="00C24569" w:rsidRPr="00806B7F" w:rsidRDefault="00C24569" w:rsidP="00A369A1">
            <w:pPr>
              <w:jc w:val="center"/>
              <w:rPr>
                <w:rFonts w:ascii="Arial" w:hAnsi="Arial" w:cs="Arial"/>
                <w:sz w:val="20"/>
              </w:rPr>
            </w:pPr>
            <w:r w:rsidRPr="00806B7F">
              <w:rPr>
                <w:rFonts w:ascii="Arial" w:hAnsi="Arial" w:cs="Arial"/>
                <w:sz w:val="20"/>
              </w:rPr>
              <w:t>Sep-24</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9954D13" w14:textId="77777777" w:rsidR="00C24569" w:rsidRPr="00806B7F" w:rsidRDefault="00C24569" w:rsidP="00A369A1">
            <w:pPr>
              <w:jc w:val="center"/>
              <w:rPr>
                <w:rFonts w:ascii="Arial" w:hAnsi="Arial" w:cs="Arial"/>
                <w:sz w:val="20"/>
              </w:rPr>
            </w:pPr>
            <w:r w:rsidRPr="00806B7F">
              <w:rPr>
                <w:rFonts w:ascii="Arial" w:hAnsi="Arial" w:cs="Arial"/>
                <w:sz w:val="20"/>
              </w:rPr>
              <w:t>3.75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BAA106" w14:textId="77777777" w:rsidR="00C24569" w:rsidRPr="00806B7F" w:rsidRDefault="00C24569" w:rsidP="00A369A1">
            <w:pPr>
              <w:jc w:val="center"/>
              <w:rPr>
                <w:rFonts w:ascii="Arial" w:hAnsi="Arial" w:cs="Arial"/>
                <w:sz w:val="20"/>
              </w:rPr>
            </w:pPr>
            <w:r w:rsidRPr="00806B7F">
              <w:rPr>
                <w:rFonts w:ascii="Arial" w:hAnsi="Arial" w:cs="Arial"/>
                <w:sz w:val="20"/>
              </w:rPr>
              <w:t>4.00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C05C31"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F9D84C4"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FB1930"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0212F0"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3ED0D276"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857AF15" w14:textId="77777777" w:rsidR="00C24569" w:rsidRPr="00806B7F" w:rsidRDefault="00C24569" w:rsidP="00A369A1">
            <w:pPr>
              <w:jc w:val="center"/>
              <w:rPr>
                <w:rFonts w:ascii="Arial" w:hAnsi="Arial" w:cs="Arial"/>
                <w:sz w:val="20"/>
              </w:rPr>
            </w:pPr>
            <w:r w:rsidRPr="00806B7F">
              <w:rPr>
                <w:rFonts w:ascii="Arial" w:hAnsi="Arial" w:cs="Arial"/>
                <w:sz w:val="20"/>
              </w:rPr>
              <w:t>Dec-24</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E490E6"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9779FB" w14:textId="77777777" w:rsidR="00C24569" w:rsidRPr="00806B7F" w:rsidRDefault="00C24569" w:rsidP="00A369A1">
            <w:pPr>
              <w:jc w:val="center"/>
              <w:rPr>
                <w:rFonts w:ascii="Arial" w:hAnsi="Arial" w:cs="Arial"/>
                <w:sz w:val="20"/>
              </w:rPr>
            </w:pPr>
            <w:r w:rsidRPr="00806B7F">
              <w:rPr>
                <w:rFonts w:ascii="Arial" w:hAnsi="Arial" w:cs="Arial"/>
                <w:sz w:val="20"/>
              </w:rPr>
              <w:t>3.75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2F7564" w14:textId="77777777" w:rsidR="00C24569" w:rsidRPr="00806B7F" w:rsidRDefault="00C24569" w:rsidP="00A369A1">
            <w:pPr>
              <w:jc w:val="center"/>
              <w:rPr>
                <w:rFonts w:ascii="Arial" w:hAnsi="Arial" w:cs="Arial"/>
                <w:sz w:val="20"/>
              </w:rPr>
            </w:pPr>
            <w:r w:rsidRPr="00806B7F">
              <w:rPr>
                <w:rFonts w:ascii="Arial" w:hAnsi="Arial" w:cs="Arial"/>
                <w:sz w:val="20"/>
              </w:rPr>
              <w:t>3.40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B743AF"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AC7FEC"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FB43136"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0181CFB1"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C26DDCB" w14:textId="77777777" w:rsidR="00C24569" w:rsidRPr="00806B7F" w:rsidRDefault="00C24569" w:rsidP="00A369A1">
            <w:pPr>
              <w:jc w:val="center"/>
              <w:rPr>
                <w:rFonts w:ascii="Arial" w:hAnsi="Arial" w:cs="Arial"/>
                <w:sz w:val="20"/>
              </w:rPr>
            </w:pPr>
            <w:r w:rsidRPr="00806B7F">
              <w:rPr>
                <w:rFonts w:ascii="Arial" w:hAnsi="Arial" w:cs="Arial"/>
                <w:sz w:val="20"/>
              </w:rPr>
              <w:t>Mar-25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17A84A" w14:textId="77777777" w:rsidR="00C24569" w:rsidRPr="00806B7F" w:rsidRDefault="00C24569" w:rsidP="00A369A1">
            <w:pPr>
              <w:jc w:val="center"/>
              <w:rPr>
                <w:rFonts w:ascii="Arial" w:hAnsi="Arial" w:cs="Arial"/>
                <w:sz w:val="20"/>
              </w:rPr>
            </w:pPr>
            <w:r w:rsidRPr="00806B7F">
              <w:rPr>
                <w:rFonts w:ascii="Arial" w:hAnsi="Arial" w:cs="Arial"/>
                <w:sz w:val="20"/>
              </w:rPr>
              <w:t>3.25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89FD5F4"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DFDEE3" w14:textId="77777777" w:rsidR="00C24569" w:rsidRPr="00806B7F" w:rsidRDefault="00C24569" w:rsidP="00A369A1">
            <w:pPr>
              <w:jc w:val="center"/>
              <w:rPr>
                <w:rFonts w:ascii="Arial" w:hAnsi="Arial" w:cs="Arial"/>
                <w:sz w:val="20"/>
              </w:rPr>
            </w:pPr>
            <w:r w:rsidRPr="00806B7F">
              <w:rPr>
                <w:rFonts w:ascii="Arial" w:hAnsi="Arial" w:cs="Arial"/>
                <w:sz w:val="20"/>
              </w:rPr>
              <w:t>3.30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767DDC"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C74122"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1A7185"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7A7A4AED"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C095AA4" w14:textId="77777777" w:rsidR="00C24569" w:rsidRPr="00806B7F" w:rsidRDefault="00C24569" w:rsidP="00A369A1">
            <w:pPr>
              <w:jc w:val="center"/>
              <w:rPr>
                <w:rFonts w:ascii="Arial" w:hAnsi="Arial" w:cs="Arial"/>
                <w:sz w:val="20"/>
              </w:rPr>
            </w:pPr>
            <w:r w:rsidRPr="00806B7F">
              <w:rPr>
                <w:rFonts w:ascii="Arial" w:hAnsi="Arial" w:cs="Arial"/>
                <w:sz w:val="20"/>
              </w:rPr>
              <w:t>Jun-25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E73F43" w14:textId="77777777" w:rsidR="00C24569" w:rsidRPr="00806B7F" w:rsidRDefault="00C24569" w:rsidP="00A369A1">
            <w:pPr>
              <w:jc w:val="center"/>
              <w:rPr>
                <w:rFonts w:ascii="Arial" w:hAnsi="Arial" w:cs="Arial"/>
                <w:sz w:val="20"/>
              </w:rPr>
            </w:pPr>
            <w:r w:rsidRPr="00806B7F">
              <w:rPr>
                <w:rFonts w:ascii="Arial" w:hAnsi="Arial" w:cs="Arial"/>
                <w:sz w:val="20"/>
              </w:rPr>
              <w:t>3.25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72D21E" w14:textId="77777777" w:rsidR="00C24569" w:rsidRPr="00806B7F" w:rsidRDefault="00C24569" w:rsidP="00A369A1">
            <w:pPr>
              <w:jc w:val="center"/>
              <w:rPr>
                <w:rFonts w:ascii="Arial" w:hAnsi="Arial" w:cs="Arial"/>
                <w:sz w:val="20"/>
              </w:rPr>
            </w:pPr>
            <w:r w:rsidRPr="00806B7F">
              <w:rPr>
                <w:rFonts w:ascii="Arial" w:hAnsi="Arial" w:cs="Arial"/>
                <w:sz w:val="20"/>
              </w:rPr>
              <w:t>3.40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F3AE81" w14:textId="77777777" w:rsidR="00C24569" w:rsidRPr="00806B7F" w:rsidRDefault="00C24569" w:rsidP="00A369A1">
            <w:pPr>
              <w:jc w:val="center"/>
              <w:rPr>
                <w:rFonts w:ascii="Arial" w:hAnsi="Arial" w:cs="Arial"/>
                <w:sz w:val="20"/>
              </w:rPr>
            </w:pPr>
            <w:r w:rsidRPr="00806B7F">
              <w:rPr>
                <w:rFonts w:ascii="Arial" w:hAnsi="Arial" w:cs="Arial"/>
                <w:sz w:val="20"/>
              </w:rPr>
              <w:t>3.30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7A4A07"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76CD1A"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BA74121"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5D782892" w14:textId="77777777" w:rsidTr="00A369A1">
        <w:trPr>
          <w:trHeight w:val="300"/>
        </w:trPr>
        <w:tc>
          <w:tcPr>
            <w:tcW w:w="210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099724A" w14:textId="77777777" w:rsidR="00C24569" w:rsidRPr="00806B7F" w:rsidRDefault="00C24569" w:rsidP="00A369A1">
            <w:pPr>
              <w:jc w:val="center"/>
              <w:rPr>
                <w:rFonts w:ascii="Arial" w:hAnsi="Arial" w:cs="Arial"/>
                <w:sz w:val="20"/>
              </w:rPr>
            </w:pPr>
            <w:r w:rsidRPr="00806B7F">
              <w:rPr>
                <w:rFonts w:ascii="Arial" w:hAnsi="Arial" w:cs="Arial"/>
                <w:sz w:val="20"/>
              </w:rPr>
              <w:t>Sep-25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C25507" w14:textId="77777777" w:rsidR="00C24569" w:rsidRPr="00806B7F" w:rsidRDefault="00C24569" w:rsidP="00A369A1">
            <w:pPr>
              <w:jc w:val="center"/>
              <w:rPr>
                <w:rFonts w:ascii="Arial" w:hAnsi="Arial" w:cs="Arial"/>
                <w:sz w:val="20"/>
              </w:rPr>
            </w:pPr>
            <w:r w:rsidRPr="00806B7F">
              <w:rPr>
                <w:rFonts w:ascii="Arial" w:hAnsi="Arial" w:cs="Arial"/>
                <w:sz w:val="20"/>
              </w:rPr>
              <w:t>3.25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44C6B6" w14:textId="77777777" w:rsidR="00C24569" w:rsidRPr="00806B7F" w:rsidRDefault="00C24569" w:rsidP="00A369A1">
            <w:pPr>
              <w:jc w:val="center"/>
              <w:rPr>
                <w:rFonts w:ascii="Arial" w:hAnsi="Arial" w:cs="Arial"/>
                <w:sz w:val="20"/>
              </w:rPr>
            </w:pPr>
            <w:r w:rsidRPr="00806B7F">
              <w:rPr>
                <w:rFonts w:ascii="Arial" w:hAnsi="Arial" w:cs="Arial"/>
                <w:sz w:val="20"/>
              </w:rPr>
              <w:t>3.40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87ED70" w14:textId="77777777" w:rsidR="00C24569" w:rsidRPr="00806B7F" w:rsidRDefault="00C24569" w:rsidP="00A369A1">
            <w:pPr>
              <w:jc w:val="center"/>
              <w:rPr>
                <w:rFonts w:ascii="Arial" w:hAnsi="Arial" w:cs="Arial"/>
                <w:sz w:val="20"/>
              </w:rPr>
            </w:pPr>
            <w:r w:rsidRPr="00806B7F">
              <w:rPr>
                <w:rFonts w:ascii="Arial" w:hAnsi="Arial" w:cs="Arial"/>
                <w:sz w:val="20"/>
              </w:rPr>
              <w:t>3.30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ACB9CD"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60DEB1"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4BF162"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r w:rsidR="00C24569" w:rsidRPr="00806B7F" w14:paraId="0D9D5484" w14:textId="77777777" w:rsidTr="00A369A1">
        <w:trPr>
          <w:trHeight w:val="300"/>
        </w:trPr>
        <w:tc>
          <w:tcPr>
            <w:tcW w:w="2100" w:type="dxa"/>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5B95F6C" w14:textId="77777777" w:rsidR="00C24569" w:rsidRPr="00806B7F" w:rsidRDefault="00C24569" w:rsidP="00A369A1">
            <w:pPr>
              <w:jc w:val="center"/>
              <w:rPr>
                <w:rFonts w:ascii="Arial" w:hAnsi="Arial" w:cs="Arial"/>
                <w:sz w:val="20"/>
              </w:rPr>
            </w:pPr>
            <w:r w:rsidRPr="00806B7F">
              <w:rPr>
                <w:rFonts w:ascii="Arial" w:hAnsi="Arial" w:cs="Arial"/>
                <w:sz w:val="20"/>
              </w:rPr>
              <w:t>Dec-25</w:t>
            </w:r>
          </w:p>
        </w:tc>
        <w:tc>
          <w:tcPr>
            <w:tcW w:w="9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138EB224" w14:textId="77777777" w:rsidR="00C24569" w:rsidRPr="00806B7F" w:rsidRDefault="00C24569" w:rsidP="00A369A1">
            <w:pPr>
              <w:jc w:val="center"/>
              <w:rPr>
                <w:rFonts w:ascii="Arial" w:hAnsi="Arial" w:cs="Arial"/>
                <w:sz w:val="20"/>
              </w:rPr>
            </w:pPr>
            <w:r w:rsidRPr="00806B7F">
              <w:rPr>
                <w:rFonts w:ascii="Arial" w:hAnsi="Arial" w:cs="Arial"/>
                <w:sz w:val="20"/>
              </w:rPr>
              <w:t>3.25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54C4E0" w14:textId="77777777" w:rsidR="00C24569" w:rsidRPr="00806B7F" w:rsidRDefault="00C24569" w:rsidP="00A369A1">
            <w:pPr>
              <w:jc w:val="center"/>
              <w:rPr>
                <w:rFonts w:ascii="Arial" w:hAnsi="Arial" w:cs="Arial"/>
                <w:sz w:val="20"/>
              </w:rPr>
            </w:pPr>
            <w:r w:rsidRPr="00806B7F">
              <w:rPr>
                <w:rFonts w:ascii="Arial" w:hAnsi="Arial" w:cs="Arial"/>
                <w:sz w:val="20"/>
              </w:rPr>
              <w:t>3.40</w:t>
            </w:r>
          </w:p>
        </w:tc>
        <w:tc>
          <w:tcPr>
            <w:tcW w:w="9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2311AF40" w14:textId="77777777" w:rsidR="00C24569" w:rsidRPr="00806B7F" w:rsidRDefault="00C24569" w:rsidP="00A369A1">
            <w:pPr>
              <w:jc w:val="center"/>
              <w:rPr>
                <w:rFonts w:ascii="Arial" w:hAnsi="Arial" w:cs="Arial"/>
                <w:sz w:val="20"/>
              </w:rPr>
            </w:pPr>
            <w:r w:rsidRPr="00806B7F">
              <w:rPr>
                <w:rFonts w:ascii="Arial" w:hAnsi="Arial" w:cs="Arial"/>
                <w:sz w:val="20"/>
              </w:rPr>
              <w:t>3.30</w:t>
            </w:r>
          </w:p>
        </w:tc>
        <w:tc>
          <w:tcPr>
            <w:tcW w:w="960" w:type="dxa"/>
            <w:tcBorders>
              <w:top w:val="nil"/>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787CF6F9" w14:textId="77777777" w:rsidR="00C24569" w:rsidRPr="00806B7F" w:rsidRDefault="00C24569" w:rsidP="00A369A1">
            <w:pPr>
              <w:jc w:val="center"/>
              <w:rPr>
                <w:rFonts w:ascii="Arial" w:hAnsi="Arial" w:cs="Arial"/>
                <w:sz w:val="20"/>
              </w:rPr>
            </w:pPr>
            <w:r w:rsidRPr="00806B7F">
              <w:rPr>
                <w:rFonts w:ascii="Arial" w:hAnsi="Arial" w:cs="Arial"/>
                <w:sz w:val="20"/>
              </w:rPr>
              <w:t>3.50</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1BAEA8" w14:textId="77777777" w:rsidR="00C24569" w:rsidRPr="00806B7F" w:rsidRDefault="00C24569" w:rsidP="00A369A1">
            <w:pPr>
              <w:jc w:val="center"/>
              <w:rPr>
                <w:rFonts w:ascii="Arial" w:hAnsi="Arial" w:cs="Arial"/>
                <w:sz w:val="20"/>
              </w:rPr>
            </w:pPr>
            <w:r w:rsidRPr="00806B7F">
              <w:rPr>
                <w:rFonts w:ascii="Arial" w:hAnsi="Arial" w:cs="Arial"/>
                <w:sz w:val="20"/>
              </w:rPr>
              <w:t>3.85</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085B24" w14:textId="77777777" w:rsidR="00C24569" w:rsidRPr="00806B7F" w:rsidRDefault="00C24569" w:rsidP="00A369A1">
            <w:pPr>
              <w:jc w:val="center"/>
              <w:rPr>
                <w:rFonts w:ascii="Arial" w:hAnsi="Arial" w:cs="Arial"/>
                <w:sz w:val="20"/>
              </w:rPr>
            </w:pPr>
            <w:r w:rsidRPr="00806B7F">
              <w:rPr>
                <w:rFonts w:ascii="Arial" w:hAnsi="Arial" w:cs="Arial"/>
                <w:sz w:val="20"/>
              </w:rPr>
              <w:t>3.60</w:t>
            </w:r>
          </w:p>
        </w:tc>
      </w:tr>
    </w:tbl>
    <w:p w14:paraId="67BFF6A9" w14:textId="77777777" w:rsidR="00C24569" w:rsidRPr="00806B7F" w:rsidRDefault="00C24569" w:rsidP="00C24569">
      <w:pPr>
        <w:pStyle w:val="BodyText"/>
        <w:rPr>
          <w:rFonts w:ascii="Arial" w:hAnsi="Arial" w:cs="Arial"/>
          <w:sz w:val="20"/>
          <w:highlight w:val="yellow"/>
        </w:rPr>
      </w:pPr>
    </w:p>
    <w:p w14:paraId="4A669FC3" w14:textId="77777777" w:rsidR="00C24569" w:rsidRPr="00806B7F" w:rsidRDefault="00C24569" w:rsidP="00C24569">
      <w:pPr>
        <w:pStyle w:val="BodyText"/>
        <w:jc w:val="both"/>
        <w:rPr>
          <w:rFonts w:ascii="Arial" w:hAnsi="Arial" w:cs="Arial"/>
          <w:sz w:val="20"/>
        </w:rPr>
      </w:pPr>
      <w:bookmarkStart w:id="3" w:name="_Hlk92366905"/>
      <w:r w:rsidRPr="00806B7F">
        <w:rPr>
          <w:rFonts w:ascii="Arial" w:hAnsi="Arial" w:cs="Arial"/>
          <w:sz w:val="20"/>
        </w:rPr>
        <w:t xml:space="preserve">In the above table 'bank rate' refers to the policy rate of the Bank of England. PWLB borrowing rates are based on 'Gilt Yield' and so this is a forecast of </w:t>
      </w:r>
      <w:proofErr w:type="gramStart"/>
      <w:r w:rsidRPr="00806B7F">
        <w:rPr>
          <w:rFonts w:ascii="Arial" w:hAnsi="Arial" w:cs="Arial"/>
          <w:sz w:val="20"/>
        </w:rPr>
        <w:t>long term</w:t>
      </w:r>
      <w:proofErr w:type="gramEnd"/>
      <w:r w:rsidRPr="00806B7F">
        <w:rPr>
          <w:rFonts w:ascii="Arial" w:hAnsi="Arial" w:cs="Arial"/>
          <w:sz w:val="20"/>
        </w:rPr>
        <w:t xml:space="preserve"> interest rates. The Authority can borrow at 80 basis points above the gilt yield, so for example a fixed interest rate to borrow PWLB money for 10 years would be 4.27%, 3.47% plus 0.80%.</w:t>
      </w:r>
    </w:p>
    <w:bookmarkEnd w:id="3"/>
    <w:p w14:paraId="5E0BEB08" w14:textId="77777777" w:rsidR="00C24569" w:rsidRPr="00806B7F" w:rsidRDefault="00C24569" w:rsidP="00C24569">
      <w:pPr>
        <w:pStyle w:val="BodyText"/>
        <w:jc w:val="both"/>
        <w:rPr>
          <w:rFonts w:ascii="Arial" w:hAnsi="Arial" w:cs="Arial"/>
          <w:sz w:val="20"/>
          <w:highlight w:val="yellow"/>
        </w:rPr>
      </w:pPr>
      <w:r w:rsidRPr="00806B7F">
        <w:rPr>
          <w:rFonts w:ascii="Arial" w:hAnsi="Arial" w:cs="Arial"/>
          <w:sz w:val="20"/>
          <w:highlight w:val="yellow"/>
        </w:rPr>
        <w:t xml:space="preserve"> </w:t>
      </w:r>
    </w:p>
    <w:p w14:paraId="0A448107" w14:textId="77777777" w:rsidR="00C24569" w:rsidRPr="00806B7F" w:rsidRDefault="00C24569" w:rsidP="00C24569">
      <w:pPr>
        <w:spacing w:after="160" w:line="259" w:lineRule="auto"/>
        <w:rPr>
          <w:rFonts w:ascii="Arial" w:hAnsi="Arial" w:cs="Arial"/>
          <w:b/>
          <w:sz w:val="20"/>
        </w:rPr>
      </w:pPr>
      <w:r w:rsidRPr="00806B7F">
        <w:rPr>
          <w:rFonts w:ascii="Arial" w:hAnsi="Arial" w:cs="Arial"/>
          <w:b/>
          <w:sz w:val="20"/>
        </w:rPr>
        <w:t xml:space="preserve">Current Treasury Portfolio Position </w:t>
      </w:r>
    </w:p>
    <w:p w14:paraId="0116AB56" w14:textId="77777777" w:rsidR="00C24569" w:rsidRPr="00806B7F" w:rsidRDefault="00C24569" w:rsidP="00C24569">
      <w:pPr>
        <w:spacing w:line="259" w:lineRule="auto"/>
        <w:rPr>
          <w:rFonts w:ascii="Arial" w:hAnsi="Arial" w:cs="Arial"/>
          <w:sz w:val="20"/>
        </w:rPr>
      </w:pPr>
      <w:r w:rsidRPr="00806B7F">
        <w:rPr>
          <w:rFonts w:ascii="Arial" w:hAnsi="Arial" w:cs="Arial"/>
          <w:sz w:val="20"/>
        </w:rPr>
        <w:t>At the 31 December 2022 the debt and investments balances were:</w:t>
      </w:r>
      <w:r w:rsidRPr="00806B7F" w:rsidDel="00D05AEC">
        <w:rPr>
          <w:rFonts w:ascii="Arial" w:hAnsi="Arial" w:cs="Arial"/>
          <w:sz w:val="20"/>
        </w:rPr>
        <w:t xml:space="preserve"> </w:t>
      </w:r>
      <w:r w:rsidRPr="00806B7F">
        <w:rPr>
          <w:rFonts w:ascii="Arial" w:hAnsi="Arial" w:cs="Arial"/>
          <w:sz w:val="20"/>
        </w:rPr>
        <w:t xml:space="preserve">- </w:t>
      </w:r>
    </w:p>
    <w:p w14:paraId="5DB7A1C9" w14:textId="77777777" w:rsidR="00C24569" w:rsidRPr="00806B7F" w:rsidRDefault="00C24569" w:rsidP="00C24569">
      <w:pPr>
        <w:rPr>
          <w:rFonts w:ascii="Arial" w:hAnsi="Arial" w:cs="Arial"/>
          <w:sz w:val="20"/>
        </w:rPr>
      </w:pPr>
      <w:r w:rsidRPr="00806B7F">
        <w:rPr>
          <w:rFonts w:ascii="Arial" w:hAnsi="Arial" w:cs="Arial"/>
          <w:sz w:val="20"/>
        </w:rPr>
        <w:t xml:space="preserve">  </w:t>
      </w:r>
    </w:p>
    <w:p w14:paraId="68C687EA"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4 Debt and Investments balances</w:t>
      </w:r>
    </w:p>
    <w:tbl>
      <w:tblPr>
        <w:tblW w:w="9440" w:type="dxa"/>
        <w:tblCellMar>
          <w:left w:w="0" w:type="dxa"/>
          <w:right w:w="0" w:type="dxa"/>
        </w:tblCellMar>
        <w:tblLook w:val="04A0" w:firstRow="1" w:lastRow="0" w:firstColumn="1" w:lastColumn="0" w:noHBand="0" w:noVBand="1"/>
      </w:tblPr>
      <w:tblGrid>
        <w:gridCol w:w="6280"/>
        <w:gridCol w:w="1760"/>
        <w:gridCol w:w="1400"/>
      </w:tblGrid>
      <w:tr w:rsidR="00C24569" w:rsidRPr="00806B7F" w14:paraId="034CBA43" w14:textId="77777777" w:rsidTr="00A369A1">
        <w:trPr>
          <w:trHeight w:val="300"/>
        </w:trPr>
        <w:tc>
          <w:tcPr>
            <w:tcW w:w="628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235916E4" w14:textId="77777777" w:rsidR="00C24569" w:rsidRPr="00806B7F" w:rsidRDefault="00C24569" w:rsidP="00A369A1">
            <w:pPr>
              <w:rPr>
                <w:rFonts w:ascii="Arial" w:hAnsi="Arial" w:cs="Arial"/>
                <w:b/>
                <w:bCs/>
                <w:sz w:val="20"/>
              </w:rPr>
            </w:pPr>
            <w:r w:rsidRPr="00806B7F">
              <w:rPr>
                <w:rFonts w:ascii="Arial" w:hAnsi="Arial" w:cs="Arial"/>
                <w:b/>
                <w:bCs/>
                <w:sz w:val="20"/>
              </w:rPr>
              <w:t>Debt</w:t>
            </w:r>
            <w:r w:rsidRPr="00806B7F">
              <w:rPr>
                <w:rFonts w:ascii="Arial" w:hAnsi="Arial" w:cs="Arial"/>
                <w:sz w:val="20"/>
              </w:rPr>
              <w:t xml:space="preserve"> </w:t>
            </w:r>
          </w:p>
        </w:tc>
        <w:tc>
          <w:tcPr>
            <w:tcW w:w="1760" w:type="dxa"/>
            <w:tcBorders>
              <w:top w:val="single" w:sz="8" w:space="0" w:color="000000"/>
              <w:left w:val="nil"/>
              <w:bottom w:val="nil"/>
              <w:right w:val="single" w:sz="8" w:space="0" w:color="000000"/>
            </w:tcBorders>
            <w:shd w:val="clear" w:color="000000" w:fill="FFFFFF"/>
            <w:vAlign w:val="center"/>
            <w:hideMark/>
          </w:tcPr>
          <w:p w14:paraId="2BCFFE79" w14:textId="77777777" w:rsidR="00C24569" w:rsidRPr="00806B7F" w:rsidRDefault="00C24569" w:rsidP="00A369A1">
            <w:pPr>
              <w:jc w:val="center"/>
              <w:rPr>
                <w:rFonts w:ascii="Arial" w:hAnsi="Arial" w:cs="Arial"/>
                <w:sz w:val="20"/>
              </w:rPr>
            </w:pPr>
            <w:r w:rsidRPr="00806B7F">
              <w:rPr>
                <w:rFonts w:ascii="Arial" w:hAnsi="Arial" w:cs="Arial"/>
                <w:sz w:val="20"/>
              </w:rPr>
              <w:t>Principal</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5623309" w14:textId="77777777" w:rsidR="00C24569" w:rsidRPr="00806B7F" w:rsidRDefault="00C24569" w:rsidP="00A369A1">
            <w:pPr>
              <w:jc w:val="center"/>
              <w:rPr>
                <w:rFonts w:ascii="Arial" w:hAnsi="Arial" w:cs="Arial"/>
                <w:sz w:val="20"/>
              </w:rPr>
            </w:pPr>
            <w:r w:rsidRPr="00806B7F">
              <w:rPr>
                <w:rFonts w:ascii="Arial" w:hAnsi="Arial" w:cs="Arial"/>
                <w:sz w:val="20"/>
              </w:rPr>
              <w:t>%</w:t>
            </w:r>
          </w:p>
        </w:tc>
      </w:tr>
      <w:tr w:rsidR="00C24569" w:rsidRPr="00806B7F" w14:paraId="330DAA98" w14:textId="77777777" w:rsidTr="00A369A1">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925596" w14:textId="77777777" w:rsidR="00C24569" w:rsidRPr="00806B7F" w:rsidRDefault="00C24569" w:rsidP="00A369A1">
            <w:pPr>
              <w:rPr>
                <w:rFonts w:ascii="Arial" w:hAnsi="Arial" w:cs="Arial"/>
                <w:b/>
                <w:bCs/>
                <w:sz w:val="20"/>
              </w:rPr>
            </w:pPr>
          </w:p>
        </w:tc>
        <w:tc>
          <w:tcPr>
            <w:tcW w:w="1760" w:type="dxa"/>
            <w:tcBorders>
              <w:top w:val="nil"/>
              <w:left w:val="nil"/>
              <w:bottom w:val="single" w:sz="8" w:space="0" w:color="000000"/>
              <w:right w:val="single" w:sz="8" w:space="0" w:color="000000"/>
            </w:tcBorders>
            <w:shd w:val="clear" w:color="000000" w:fill="FFFFFF"/>
            <w:vAlign w:val="center"/>
            <w:hideMark/>
          </w:tcPr>
          <w:p w14:paraId="55EA2CA4" w14:textId="77777777" w:rsidR="00C24569" w:rsidRPr="00806B7F" w:rsidRDefault="00C24569" w:rsidP="00A369A1">
            <w:pPr>
              <w:jc w:val="center"/>
              <w:rPr>
                <w:rFonts w:ascii="Arial" w:hAnsi="Arial" w:cs="Arial"/>
                <w:sz w:val="20"/>
              </w:rPr>
            </w:pPr>
            <w:r w:rsidRPr="00806B7F">
              <w:rPr>
                <w:rFonts w:ascii="Arial" w:hAnsi="Arial" w:cs="Arial"/>
                <w:sz w:val="20"/>
              </w:rPr>
              <w:t>£m</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BF758F" w14:textId="77777777" w:rsidR="00C24569" w:rsidRPr="00806B7F" w:rsidRDefault="00C24569" w:rsidP="00A369A1">
            <w:pPr>
              <w:rPr>
                <w:rFonts w:ascii="Arial" w:hAnsi="Arial" w:cs="Arial"/>
                <w:sz w:val="20"/>
              </w:rPr>
            </w:pPr>
          </w:p>
        </w:tc>
      </w:tr>
      <w:tr w:rsidR="00C24569" w:rsidRPr="00806B7F" w14:paraId="596B77E8" w14:textId="77777777" w:rsidTr="00A369A1">
        <w:trPr>
          <w:trHeight w:val="315"/>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2E56532D" w14:textId="77777777" w:rsidR="00C24569" w:rsidRPr="00806B7F" w:rsidRDefault="00C24569" w:rsidP="00A369A1">
            <w:pPr>
              <w:rPr>
                <w:rFonts w:ascii="Arial" w:hAnsi="Arial" w:cs="Arial"/>
                <w:sz w:val="20"/>
              </w:rPr>
            </w:pPr>
            <w:r w:rsidRPr="00806B7F">
              <w:rPr>
                <w:rFonts w:ascii="Arial" w:hAnsi="Arial" w:cs="Arial"/>
                <w:sz w:val="20"/>
              </w:rPr>
              <w:t xml:space="preserve">Fixed rate loans from the Public Works Loan Board </w:t>
            </w:r>
          </w:p>
        </w:tc>
        <w:tc>
          <w:tcPr>
            <w:tcW w:w="1760" w:type="dxa"/>
            <w:tcBorders>
              <w:top w:val="nil"/>
              <w:left w:val="nil"/>
              <w:bottom w:val="single" w:sz="8" w:space="0" w:color="000000"/>
              <w:right w:val="single" w:sz="8" w:space="0" w:color="000000"/>
            </w:tcBorders>
            <w:shd w:val="clear" w:color="000000" w:fill="FFFFFF"/>
            <w:vAlign w:val="center"/>
            <w:hideMark/>
          </w:tcPr>
          <w:p w14:paraId="40C1A38A"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400" w:type="dxa"/>
            <w:tcBorders>
              <w:top w:val="nil"/>
              <w:left w:val="nil"/>
              <w:bottom w:val="single" w:sz="8" w:space="0" w:color="000000"/>
              <w:right w:val="single" w:sz="8" w:space="0" w:color="000000"/>
            </w:tcBorders>
            <w:shd w:val="clear" w:color="000000" w:fill="FFFFFF"/>
            <w:vAlign w:val="center"/>
            <w:hideMark/>
          </w:tcPr>
          <w:p w14:paraId="5FABB5D4" w14:textId="77777777" w:rsidR="00C24569" w:rsidRPr="00806B7F" w:rsidRDefault="00C24569" w:rsidP="00A369A1">
            <w:pPr>
              <w:jc w:val="center"/>
              <w:rPr>
                <w:rFonts w:ascii="Arial" w:hAnsi="Arial" w:cs="Arial"/>
                <w:sz w:val="20"/>
              </w:rPr>
            </w:pPr>
            <w:r w:rsidRPr="00806B7F">
              <w:rPr>
                <w:rFonts w:ascii="Arial" w:hAnsi="Arial" w:cs="Arial"/>
                <w:sz w:val="20"/>
              </w:rPr>
              <w:t>100</w:t>
            </w:r>
          </w:p>
        </w:tc>
      </w:tr>
      <w:tr w:rsidR="00C24569" w:rsidRPr="00806B7F" w14:paraId="151CBAF1" w14:textId="77777777" w:rsidTr="00A369A1">
        <w:trPr>
          <w:trHeight w:val="32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0AE3DCB8" w14:textId="77777777" w:rsidR="00C24569" w:rsidRPr="00806B7F" w:rsidRDefault="00C24569" w:rsidP="00A369A1">
            <w:pPr>
              <w:rPr>
                <w:rFonts w:ascii="Arial" w:hAnsi="Arial" w:cs="Arial"/>
                <w:sz w:val="20"/>
              </w:rPr>
            </w:pPr>
            <w:r w:rsidRPr="00806B7F">
              <w:rPr>
                <w:rFonts w:ascii="Arial" w:hAnsi="Arial" w:cs="Arial"/>
                <w:sz w:val="20"/>
              </w:rPr>
              <w:t xml:space="preserve">Variable rate loans </w:t>
            </w:r>
          </w:p>
        </w:tc>
        <w:tc>
          <w:tcPr>
            <w:tcW w:w="1760" w:type="dxa"/>
            <w:tcBorders>
              <w:top w:val="nil"/>
              <w:left w:val="nil"/>
              <w:bottom w:val="single" w:sz="8" w:space="0" w:color="000000"/>
              <w:right w:val="single" w:sz="8" w:space="0" w:color="000000"/>
            </w:tcBorders>
            <w:shd w:val="clear" w:color="000000" w:fill="FFFFFF"/>
            <w:vAlign w:val="center"/>
            <w:hideMark/>
          </w:tcPr>
          <w:p w14:paraId="629745B9" w14:textId="77777777" w:rsidR="00C24569" w:rsidRPr="00806B7F" w:rsidRDefault="00C24569" w:rsidP="00A369A1">
            <w:pPr>
              <w:jc w:val="center"/>
              <w:rPr>
                <w:rFonts w:ascii="Arial" w:hAnsi="Arial" w:cs="Arial"/>
                <w:sz w:val="20"/>
              </w:rPr>
            </w:pPr>
            <w:r w:rsidRPr="00806B7F">
              <w:rPr>
                <w:rFonts w:ascii="Arial" w:hAnsi="Arial" w:cs="Arial"/>
                <w:sz w:val="20"/>
              </w:rPr>
              <w:t> </w:t>
            </w:r>
          </w:p>
        </w:tc>
        <w:tc>
          <w:tcPr>
            <w:tcW w:w="1400" w:type="dxa"/>
            <w:tcBorders>
              <w:top w:val="nil"/>
              <w:left w:val="nil"/>
              <w:bottom w:val="single" w:sz="8" w:space="0" w:color="000000"/>
              <w:right w:val="single" w:sz="8" w:space="0" w:color="000000"/>
            </w:tcBorders>
            <w:shd w:val="clear" w:color="000000" w:fill="FFFFFF"/>
            <w:vAlign w:val="center"/>
            <w:hideMark/>
          </w:tcPr>
          <w:p w14:paraId="605AC3F7" w14:textId="77777777" w:rsidR="00C24569" w:rsidRPr="00806B7F" w:rsidRDefault="00C24569" w:rsidP="00A369A1">
            <w:pPr>
              <w:jc w:val="center"/>
              <w:rPr>
                <w:rFonts w:ascii="Arial" w:hAnsi="Arial" w:cs="Arial"/>
                <w:sz w:val="20"/>
              </w:rPr>
            </w:pPr>
            <w:r w:rsidRPr="00806B7F">
              <w:rPr>
                <w:rFonts w:ascii="Arial" w:hAnsi="Arial" w:cs="Arial"/>
                <w:sz w:val="20"/>
              </w:rPr>
              <w:t>-</w:t>
            </w:r>
          </w:p>
        </w:tc>
      </w:tr>
      <w:tr w:rsidR="00C24569" w:rsidRPr="00806B7F" w14:paraId="2811FA42" w14:textId="77777777" w:rsidTr="00A369A1">
        <w:trPr>
          <w:trHeight w:val="32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0A3C6BB9" w14:textId="77777777" w:rsidR="00C24569" w:rsidRPr="00806B7F" w:rsidRDefault="00C24569" w:rsidP="00A369A1">
            <w:pPr>
              <w:rPr>
                <w:rFonts w:ascii="Arial" w:hAnsi="Arial" w:cs="Arial"/>
                <w:sz w:val="20"/>
              </w:rPr>
            </w:pPr>
            <w:r w:rsidRPr="00806B7F">
              <w:rPr>
                <w:rFonts w:ascii="Arial" w:hAnsi="Arial" w:cs="Arial"/>
                <w:sz w:val="20"/>
              </w:rPr>
              <w:t xml:space="preserve"> </w:t>
            </w:r>
          </w:p>
        </w:tc>
        <w:tc>
          <w:tcPr>
            <w:tcW w:w="1760" w:type="dxa"/>
            <w:tcBorders>
              <w:top w:val="nil"/>
              <w:left w:val="nil"/>
              <w:bottom w:val="single" w:sz="8" w:space="0" w:color="000000"/>
              <w:right w:val="single" w:sz="8" w:space="0" w:color="000000"/>
            </w:tcBorders>
            <w:shd w:val="clear" w:color="000000" w:fill="FFFFFF"/>
            <w:vAlign w:val="center"/>
            <w:hideMark/>
          </w:tcPr>
          <w:p w14:paraId="4AFD4636"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400" w:type="dxa"/>
            <w:tcBorders>
              <w:top w:val="nil"/>
              <w:left w:val="nil"/>
              <w:bottom w:val="single" w:sz="8" w:space="0" w:color="000000"/>
              <w:right w:val="single" w:sz="8" w:space="0" w:color="000000"/>
            </w:tcBorders>
            <w:shd w:val="clear" w:color="000000" w:fill="FFFFFF"/>
            <w:vAlign w:val="center"/>
            <w:hideMark/>
          </w:tcPr>
          <w:p w14:paraId="717B73AF" w14:textId="77777777" w:rsidR="00C24569" w:rsidRPr="00806B7F" w:rsidRDefault="00C24569" w:rsidP="00A369A1">
            <w:pPr>
              <w:jc w:val="center"/>
              <w:rPr>
                <w:rFonts w:ascii="Arial" w:hAnsi="Arial" w:cs="Arial"/>
                <w:sz w:val="20"/>
              </w:rPr>
            </w:pPr>
            <w:r w:rsidRPr="00806B7F">
              <w:rPr>
                <w:rFonts w:ascii="Arial" w:hAnsi="Arial" w:cs="Arial"/>
                <w:sz w:val="20"/>
              </w:rPr>
              <w:t>100</w:t>
            </w:r>
          </w:p>
        </w:tc>
      </w:tr>
      <w:tr w:rsidR="00C24569" w:rsidRPr="00806B7F" w14:paraId="790DD10F" w14:textId="77777777" w:rsidTr="00A369A1">
        <w:trPr>
          <w:trHeight w:val="32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54BA8F37" w14:textId="77777777" w:rsidR="00C24569" w:rsidRPr="00806B7F" w:rsidRDefault="00C24569" w:rsidP="00A369A1">
            <w:pPr>
              <w:rPr>
                <w:rFonts w:ascii="Arial" w:hAnsi="Arial" w:cs="Arial"/>
                <w:b/>
                <w:bCs/>
                <w:sz w:val="20"/>
              </w:rPr>
            </w:pPr>
            <w:r w:rsidRPr="00806B7F">
              <w:rPr>
                <w:rFonts w:ascii="Arial" w:hAnsi="Arial" w:cs="Arial"/>
                <w:b/>
                <w:bCs/>
                <w:sz w:val="20"/>
              </w:rPr>
              <w:t>Investments</w:t>
            </w:r>
            <w:r w:rsidRPr="00806B7F">
              <w:rPr>
                <w:rFonts w:ascii="Arial" w:hAnsi="Arial" w:cs="Arial"/>
                <w:sz w:val="20"/>
              </w:rPr>
              <w:t xml:space="preserve"> </w:t>
            </w:r>
          </w:p>
        </w:tc>
        <w:tc>
          <w:tcPr>
            <w:tcW w:w="1760" w:type="dxa"/>
            <w:tcBorders>
              <w:top w:val="nil"/>
              <w:left w:val="nil"/>
              <w:bottom w:val="single" w:sz="8" w:space="0" w:color="000000"/>
              <w:right w:val="single" w:sz="8" w:space="0" w:color="000000"/>
            </w:tcBorders>
            <w:shd w:val="clear" w:color="000000" w:fill="FFFFFF"/>
            <w:vAlign w:val="center"/>
            <w:hideMark/>
          </w:tcPr>
          <w:p w14:paraId="141517A3" w14:textId="77777777" w:rsidR="00C24569" w:rsidRPr="00806B7F" w:rsidRDefault="00C24569" w:rsidP="00A369A1">
            <w:pPr>
              <w:jc w:val="center"/>
              <w:rPr>
                <w:rFonts w:ascii="Arial" w:hAnsi="Arial" w:cs="Arial"/>
                <w:sz w:val="20"/>
              </w:rPr>
            </w:pPr>
            <w:r w:rsidRPr="00806B7F">
              <w:rPr>
                <w:rFonts w:ascii="Arial" w:hAnsi="Arial" w:cs="Arial"/>
                <w:sz w:val="20"/>
              </w:rPr>
              <w:t> </w:t>
            </w:r>
          </w:p>
        </w:tc>
        <w:tc>
          <w:tcPr>
            <w:tcW w:w="1400" w:type="dxa"/>
            <w:tcBorders>
              <w:top w:val="nil"/>
              <w:left w:val="nil"/>
              <w:bottom w:val="single" w:sz="8" w:space="0" w:color="000000"/>
              <w:right w:val="single" w:sz="8" w:space="0" w:color="000000"/>
            </w:tcBorders>
            <w:shd w:val="clear" w:color="000000" w:fill="FFFFFF"/>
            <w:vAlign w:val="center"/>
            <w:hideMark/>
          </w:tcPr>
          <w:p w14:paraId="083875DA" w14:textId="77777777" w:rsidR="00C24569" w:rsidRPr="00806B7F" w:rsidRDefault="00C24569" w:rsidP="00A369A1">
            <w:pPr>
              <w:jc w:val="center"/>
              <w:rPr>
                <w:rFonts w:ascii="Arial" w:hAnsi="Arial" w:cs="Arial"/>
                <w:sz w:val="20"/>
              </w:rPr>
            </w:pPr>
            <w:r w:rsidRPr="00806B7F">
              <w:rPr>
                <w:rFonts w:ascii="Arial" w:hAnsi="Arial" w:cs="Arial"/>
                <w:sz w:val="20"/>
              </w:rPr>
              <w:t> </w:t>
            </w:r>
          </w:p>
        </w:tc>
      </w:tr>
      <w:tr w:rsidR="00C24569" w:rsidRPr="00806B7F" w14:paraId="56E87B0E" w14:textId="77777777" w:rsidTr="00A369A1">
        <w:trPr>
          <w:trHeight w:val="63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221A1460" w14:textId="77777777" w:rsidR="00C24569" w:rsidRPr="00806B7F" w:rsidRDefault="00C24569" w:rsidP="00A369A1">
            <w:pPr>
              <w:rPr>
                <w:rFonts w:ascii="Arial" w:hAnsi="Arial" w:cs="Arial"/>
                <w:sz w:val="20"/>
              </w:rPr>
            </w:pPr>
            <w:r w:rsidRPr="00806B7F">
              <w:rPr>
                <w:rFonts w:ascii="Arial" w:hAnsi="Arial" w:cs="Arial"/>
                <w:sz w:val="20"/>
              </w:rPr>
              <w:t xml:space="preserve">Variable rate investments with Lancashire County Council </w:t>
            </w:r>
          </w:p>
        </w:tc>
        <w:tc>
          <w:tcPr>
            <w:tcW w:w="1760" w:type="dxa"/>
            <w:tcBorders>
              <w:top w:val="nil"/>
              <w:left w:val="nil"/>
              <w:bottom w:val="single" w:sz="8" w:space="0" w:color="000000"/>
              <w:right w:val="single" w:sz="8" w:space="0" w:color="000000"/>
            </w:tcBorders>
            <w:shd w:val="clear" w:color="000000" w:fill="FFFFFF"/>
            <w:vAlign w:val="center"/>
            <w:hideMark/>
          </w:tcPr>
          <w:p w14:paraId="5D8C7E51" w14:textId="77777777" w:rsidR="00C24569" w:rsidRPr="00806B7F" w:rsidRDefault="00C24569" w:rsidP="00A369A1">
            <w:pPr>
              <w:jc w:val="center"/>
              <w:rPr>
                <w:rFonts w:ascii="Arial" w:hAnsi="Arial" w:cs="Arial"/>
                <w:sz w:val="20"/>
              </w:rPr>
            </w:pPr>
            <w:r w:rsidRPr="00806B7F">
              <w:rPr>
                <w:rFonts w:ascii="Arial" w:hAnsi="Arial" w:cs="Arial"/>
                <w:sz w:val="20"/>
              </w:rPr>
              <w:t>20.730</w:t>
            </w:r>
          </w:p>
        </w:tc>
        <w:tc>
          <w:tcPr>
            <w:tcW w:w="1400" w:type="dxa"/>
            <w:tcBorders>
              <w:top w:val="nil"/>
              <w:left w:val="nil"/>
              <w:bottom w:val="single" w:sz="8" w:space="0" w:color="000000"/>
              <w:right w:val="single" w:sz="8" w:space="0" w:color="000000"/>
            </w:tcBorders>
            <w:shd w:val="clear" w:color="000000" w:fill="FFFFFF"/>
            <w:vAlign w:val="center"/>
            <w:hideMark/>
          </w:tcPr>
          <w:p w14:paraId="71D6C24A" w14:textId="77777777" w:rsidR="00C24569" w:rsidRPr="00806B7F" w:rsidRDefault="00C24569" w:rsidP="00A369A1">
            <w:pPr>
              <w:jc w:val="center"/>
              <w:rPr>
                <w:rFonts w:ascii="Arial" w:hAnsi="Arial" w:cs="Arial"/>
                <w:sz w:val="20"/>
              </w:rPr>
            </w:pPr>
            <w:r w:rsidRPr="00806B7F">
              <w:rPr>
                <w:rFonts w:ascii="Arial" w:hAnsi="Arial" w:cs="Arial"/>
                <w:sz w:val="20"/>
              </w:rPr>
              <w:t>58.0</w:t>
            </w:r>
          </w:p>
        </w:tc>
      </w:tr>
      <w:tr w:rsidR="00C24569" w:rsidRPr="00806B7F" w14:paraId="4AE79560" w14:textId="77777777" w:rsidTr="00A369A1">
        <w:trPr>
          <w:trHeight w:val="32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2FC5B0C3" w14:textId="77777777" w:rsidR="00C24569" w:rsidRPr="00806B7F" w:rsidRDefault="00C24569" w:rsidP="00A369A1">
            <w:pPr>
              <w:rPr>
                <w:rFonts w:ascii="Arial" w:hAnsi="Arial" w:cs="Arial"/>
                <w:sz w:val="20"/>
              </w:rPr>
            </w:pPr>
            <w:r w:rsidRPr="00806B7F">
              <w:rPr>
                <w:rFonts w:ascii="Arial" w:hAnsi="Arial" w:cs="Arial"/>
                <w:sz w:val="20"/>
              </w:rPr>
              <w:t>Fixed rate investments</w:t>
            </w:r>
          </w:p>
        </w:tc>
        <w:tc>
          <w:tcPr>
            <w:tcW w:w="1760" w:type="dxa"/>
            <w:tcBorders>
              <w:top w:val="nil"/>
              <w:left w:val="nil"/>
              <w:bottom w:val="single" w:sz="8" w:space="0" w:color="000000"/>
              <w:right w:val="single" w:sz="8" w:space="0" w:color="000000"/>
            </w:tcBorders>
            <w:shd w:val="clear" w:color="000000" w:fill="FFFFFF"/>
            <w:vAlign w:val="center"/>
            <w:hideMark/>
          </w:tcPr>
          <w:p w14:paraId="4E1AF92A" w14:textId="77777777" w:rsidR="00C24569" w:rsidRPr="00806B7F" w:rsidRDefault="00C24569" w:rsidP="00A369A1">
            <w:pPr>
              <w:jc w:val="center"/>
              <w:rPr>
                <w:rFonts w:ascii="Arial" w:hAnsi="Arial" w:cs="Arial"/>
                <w:sz w:val="20"/>
              </w:rPr>
            </w:pPr>
            <w:r w:rsidRPr="00806B7F">
              <w:rPr>
                <w:rFonts w:ascii="Arial" w:hAnsi="Arial" w:cs="Arial"/>
                <w:sz w:val="20"/>
              </w:rPr>
              <w:t>15.000</w:t>
            </w:r>
          </w:p>
        </w:tc>
        <w:tc>
          <w:tcPr>
            <w:tcW w:w="1400" w:type="dxa"/>
            <w:tcBorders>
              <w:top w:val="nil"/>
              <w:left w:val="nil"/>
              <w:bottom w:val="single" w:sz="8" w:space="0" w:color="000000"/>
              <w:right w:val="single" w:sz="8" w:space="0" w:color="000000"/>
            </w:tcBorders>
            <w:shd w:val="clear" w:color="000000" w:fill="FFFFFF"/>
            <w:vAlign w:val="center"/>
            <w:hideMark/>
          </w:tcPr>
          <w:p w14:paraId="7BD58F4E" w14:textId="77777777" w:rsidR="00C24569" w:rsidRPr="00806B7F" w:rsidRDefault="00C24569" w:rsidP="00A369A1">
            <w:pPr>
              <w:jc w:val="center"/>
              <w:rPr>
                <w:rFonts w:ascii="Arial" w:hAnsi="Arial" w:cs="Arial"/>
                <w:sz w:val="20"/>
              </w:rPr>
            </w:pPr>
            <w:r w:rsidRPr="00806B7F">
              <w:rPr>
                <w:rFonts w:ascii="Arial" w:hAnsi="Arial" w:cs="Arial"/>
                <w:sz w:val="20"/>
              </w:rPr>
              <w:t>42.0</w:t>
            </w:r>
          </w:p>
        </w:tc>
      </w:tr>
      <w:tr w:rsidR="00C24569" w:rsidRPr="00806B7F" w14:paraId="4256F81A" w14:textId="77777777" w:rsidTr="00A369A1">
        <w:trPr>
          <w:trHeight w:val="320"/>
        </w:trPr>
        <w:tc>
          <w:tcPr>
            <w:tcW w:w="6280" w:type="dxa"/>
            <w:tcBorders>
              <w:top w:val="nil"/>
              <w:left w:val="single" w:sz="8" w:space="0" w:color="000000"/>
              <w:bottom w:val="single" w:sz="8" w:space="0" w:color="000000"/>
              <w:right w:val="single" w:sz="8" w:space="0" w:color="000000"/>
            </w:tcBorders>
            <w:shd w:val="clear" w:color="000000" w:fill="FFFFFF"/>
            <w:vAlign w:val="center"/>
            <w:hideMark/>
          </w:tcPr>
          <w:p w14:paraId="315A6F66" w14:textId="77777777" w:rsidR="00C24569" w:rsidRPr="00806B7F" w:rsidRDefault="00C24569" w:rsidP="00A369A1">
            <w:pPr>
              <w:rPr>
                <w:rFonts w:ascii="Arial" w:hAnsi="Arial" w:cs="Arial"/>
                <w:sz w:val="20"/>
              </w:rPr>
            </w:pPr>
            <w:r w:rsidRPr="00806B7F">
              <w:rPr>
                <w:rFonts w:ascii="Arial" w:hAnsi="Arial" w:cs="Arial"/>
                <w:sz w:val="20"/>
              </w:rPr>
              <w:t xml:space="preserve"> </w:t>
            </w:r>
          </w:p>
        </w:tc>
        <w:tc>
          <w:tcPr>
            <w:tcW w:w="1760" w:type="dxa"/>
            <w:tcBorders>
              <w:top w:val="nil"/>
              <w:left w:val="nil"/>
              <w:bottom w:val="single" w:sz="8" w:space="0" w:color="000000"/>
              <w:right w:val="single" w:sz="8" w:space="0" w:color="000000"/>
            </w:tcBorders>
            <w:shd w:val="clear" w:color="000000" w:fill="FFFFFF"/>
            <w:vAlign w:val="center"/>
            <w:hideMark/>
          </w:tcPr>
          <w:p w14:paraId="757068A1" w14:textId="77777777" w:rsidR="00C24569" w:rsidRPr="00806B7F" w:rsidRDefault="00C24569" w:rsidP="00A369A1">
            <w:pPr>
              <w:jc w:val="center"/>
              <w:rPr>
                <w:rFonts w:ascii="Arial" w:hAnsi="Arial" w:cs="Arial"/>
                <w:sz w:val="20"/>
              </w:rPr>
            </w:pPr>
            <w:r w:rsidRPr="00806B7F">
              <w:rPr>
                <w:rFonts w:ascii="Arial" w:hAnsi="Arial" w:cs="Arial"/>
                <w:sz w:val="20"/>
              </w:rPr>
              <w:t>35.730</w:t>
            </w:r>
          </w:p>
        </w:tc>
        <w:tc>
          <w:tcPr>
            <w:tcW w:w="1400" w:type="dxa"/>
            <w:tcBorders>
              <w:top w:val="nil"/>
              <w:left w:val="nil"/>
              <w:bottom w:val="single" w:sz="8" w:space="0" w:color="000000"/>
              <w:right w:val="single" w:sz="8" w:space="0" w:color="000000"/>
            </w:tcBorders>
            <w:shd w:val="clear" w:color="000000" w:fill="FFFFFF"/>
            <w:vAlign w:val="center"/>
            <w:hideMark/>
          </w:tcPr>
          <w:p w14:paraId="746ADAC0" w14:textId="77777777" w:rsidR="00C24569" w:rsidRPr="00806B7F" w:rsidRDefault="00C24569" w:rsidP="00A369A1">
            <w:pPr>
              <w:jc w:val="center"/>
              <w:rPr>
                <w:rFonts w:ascii="Arial" w:hAnsi="Arial" w:cs="Arial"/>
                <w:sz w:val="20"/>
              </w:rPr>
            </w:pPr>
            <w:r w:rsidRPr="00806B7F">
              <w:rPr>
                <w:rFonts w:ascii="Arial" w:hAnsi="Arial" w:cs="Arial"/>
                <w:sz w:val="20"/>
              </w:rPr>
              <w:t>100</w:t>
            </w:r>
          </w:p>
        </w:tc>
      </w:tr>
    </w:tbl>
    <w:p w14:paraId="1D78DD22" w14:textId="77777777" w:rsidR="00C24569" w:rsidRPr="00806B7F" w:rsidRDefault="00C24569" w:rsidP="00C24569">
      <w:pPr>
        <w:rPr>
          <w:rFonts w:ascii="Arial" w:hAnsi="Arial" w:cs="Arial"/>
          <w:sz w:val="20"/>
        </w:rPr>
      </w:pPr>
    </w:p>
    <w:p w14:paraId="5691BDA9" w14:textId="23B7C24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The level of investments represents the Authority’s cumulative surplus on the General Fund, the balances on other cash-backed earmarked reserves and a cash-flow balance generated by a surplus of creditors over debtors and by grant receipts in advance of payments. There is a net investment figure of £34m.</w:t>
      </w:r>
    </w:p>
    <w:p w14:paraId="3025E7D8" w14:textId="77777777" w:rsidR="00C24569" w:rsidRPr="00806B7F" w:rsidRDefault="00C24569" w:rsidP="003C3CC6">
      <w:pPr>
        <w:spacing w:line="259" w:lineRule="auto"/>
        <w:ind w:left="34"/>
        <w:jc w:val="both"/>
        <w:rPr>
          <w:rFonts w:ascii="Arial" w:hAnsi="Arial" w:cs="Arial"/>
          <w:sz w:val="20"/>
          <w:highlight w:val="yellow"/>
        </w:rPr>
      </w:pPr>
    </w:p>
    <w:p w14:paraId="393C0F14" w14:textId="77777777" w:rsidR="00C24569" w:rsidRPr="00806B7F" w:rsidRDefault="00C24569" w:rsidP="003C3CC6">
      <w:pPr>
        <w:pStyle w:val="Heading1"/>
        <w:ind w:left="29"/>
        <w:rPr>
          <w:rFonts w:ascii="Arial" w:hAnsi="Arial" w:cs="Arial"/>
          <w:sz w:val="20"/>
        </w:rPr>
      </w:pPr>
      <w:r w:rsidRPr="00806B7F">
        <w:rPr>
          <w:rFonts w:ascii="Arial" w:hAnsi="Arial" w:cs="Arial"/>
          <w:sz w:val="20"/>
        </w:rPr>
        <w:t xml:space="preserve">Borrowing and Investment Requirement </w:t>
      </w:r>
    </w:p>
    <w:p w14:paraId="501B424A" w14:textId="77777777" w:rsidR="00C24569" w:rsidRPr="00806B7F" w:rsidRDefault="00C24569" w:rsidP="003C3CC6">
      <w:pPr>
        <w:jc w:val="both"/>
        <w:rPr>
          <w:rFonts w:ascii="Arial" w:hAnsi="Arial" w:cs="Arial"/>
          <w:sz w:val="20"/>
        </w:rPr>
      </w:pPr>
    </w:p>
    <w:p w14:paraId="40CAEA6C" w14:textId="77777777" w:rsidR="00C24569" w:rsidRPr="00806B7F" w:rsidRDefault="00C24569" w:rsidP="003C3CC6">
      <w:pPr>
        <w:jc w:val="both"/>
        <w:rPr>
          <w:rFonts w:ascii="Arial" w:hAnsi="Arial" w:cs="Arial"/>
          <w:bCs/>
          <w:sz w:val="20"/>
        </w:rPr>
      </w:pPr>
      <w:r w:rsidRPr="00806B7F">
        <w:rPr>
          <w:rFonts w:ascii="Arial" w:hAnsi="Arial" w:cs="Arial"/>
          <w:bCs/>
          <w:sz w:val="20"/>
        </w:rPr>
        <w:t>In the medium term LCFA borrows for capital purposes only. The underlying need to borrow for capital purposes is measured by the Capital Financing Requirement (CFR), while usable reserves and working capital are the underlying resources available for investment. The table below compares the estimated CFR to the debt which currently exists, this gives an indication of the borrowing required. It also shows the estimated resources available for investment. An option is to use these balances to finance the expenditure rather than investing, often referred to as internal borrowing. The table gives an indication of the minimum borrowing or investment requirement through the period.</w:t>
      </w:r>
    </w:p>
    <w:p w14:paraId="43900D65" w14:textId="77777777" w:rsidR="00C24569" w:rsidRPr="00806B7F" w:rsidRDefault="00C24569" w:rsidP="003C3CC6">
      <w:pPr>
        <w:jc w:val="both"/>
        <w:rPr>
          <w:rFonts w:ascii="Arial" w:hAnsi="Arial" w:cs="Arial"/>
          <w:bCs/>
          <w:sz w:val="20"/>
        </w:rPr>
      </w:pPr>
    </w:p>
    <w:p w14:paraId="085EC592" w14:textId="77777777" w:rsidR="00C24569" w:rsidRPr="00806B7F" w:rsidRDefault="00C24569" w:rsidP="003C3CC6">
      <w:pPr>
        <w:jc w:val="both"/>
        <w:rPr>
          <w:rFonts w:ascii="Arial" w:hAnsi="Arial" w:cs="Arial"/>
          <w:bCs/>
          <w:sz w:val="20"/>
        </w:rPr>
      </w:pPr>
      <w:r w:rsidRPr="00806B7F">
        <w:rPr>
          <w:rFonts w:ascii="Arial" w:hAnsi="Arial" w:cs="Arial"/>
          <w:bCs/>
          <w:sz w:val="20"/>
        </w:rPr>
        <w:t xml:space="preserve">The CFR forecast includes the impact of the latest forecast of the funding of the Capital Programme which currently assumes that there will be no borrowing until 2026/27. A voluntary MRP was made in 2019/20 to take the future loans element of the MRP to nil. </w:t>
      </w:r>
    </w:p>
    <w:p w14:paraId="36CE1867" w14:textId="77777777" w:rsidR="00C24569" w:rsidRPr="00806B7F" w:rsidRDefault="00C24569" w:rsidP="003C3CC6">
      <w:pPr>
        <w:jc w:val="both"/>
        <w:rPr>
          <w:rFonts w:ascii="Arial" w:eastAsia="Calibri" w:hAnsi="Arial" w:cs="Arial"/>
          <w:i/>
          <w:iCs/>
          <w:color w:val="44546A"/>
          <w:sz w:val="20"/>
          <w:lang w:eastAsia="en-US"/>
        </w:rPr>
      </w:pPr>
    </w:p>
    <w:p w14:paraId="1B8B0142"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5 Borrowing/Investment Need</w:t>
      </w:r>
    </w:p>
    <w:tbl>
      <w:tblPr>
        <w:tblW w:w="9670" w:type="dxa"/>
        <w:tblLook w:val="04A0" w:firstRow="1" w:lastRow="0" w:firstColumn="1" w:lastColumn="0" w:noHBand="0" w:noVBand="1"/>
      </w:tblPr>
      <w:tblGrid>
        <w:gridCol w:w="4526"/>
        <w:gridCol w:w="1286"/>
        <w:gridCol w:w="1286"/>
        <w:gridCol w:w="1286"/>
        <w:gridCol w:w="1286"/>
      </w:tblGrid>
      <w:tr w:rsidR="00C24569" w:rsidRPr="00806B7F" w14:paraId="0CB5C7B2" w14:textId="77777777" w:rsidTr="00A369A1">
        <w:trPr>
          <w:trHeight w:val="311"/>
        </w:trPr>
        <w:tc>
          <w:tcPr>
            <w:tcW w:w="45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BC12A6" w14:textId="77777777" w:rsidR="00C24569" w:rsidRPr="00806B7F" w:rsidRDefault="00C24569" w:rsidP="00A369A1">
            <w:pPr>
              <w:rPr>
                <w:rFonts w:ascii="Arial" w:hAnsi="Arial" w:cs="Arial"/>
                <w:sz w:val="20"/>
              </w:rPr>
            </w:pPr>
            <w:r w:rsidRPr="00806B7F">
              <w:rPr>
                <w:rFonts w:ascii="Arial" w:hAnsi="Arial" w:cs="Arial"/>
                <w:sz w:val="20"/>
              </w:rPr>
              <w:t> </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502443B2" w14:textId="77777777" w:rsidR="00C24569" w:rsidRPr="00806B7F" w:rsidRDefault="00C24569" w:rsidP="00A369A1">
            <w:pPr>
              <w:jc w:val="center"/>
              <w:rPr>
                <w:rFonts w:ascii="Arial" w:hAnsi="Arial" w:cs="Arial"/>
                <w:sz w:val="20"/>
              </w:rPr>
            </w:pPr>
            <w:r w:rsidRPr="00806B7F">
              <w:rPr>
                <w:rFonts w:ascii="Arial" w:hAnsi="Arial" w:cs="Arial"/>
                <w:sz w:val="20"/>
              </w:rPr>
              <w:t>31/03/2022</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1A45D1E4" w14:textId="77777777" w:rsidR="00C24569" w:rsidRPr="00806B7F" w:rsidRDefault="00C24569" w:rsidP="00A369A1">
            <w:pPr>
              <w:jc w:val="center"/>
              <w:rPr>
                <w:rFonts w:ascii="Arial" w:hAnsi="Arial" w:cs="Arial"/>
                <w:sz w:val="20"/>
              </w:rPr>
            </w:pPr>
            <w:r w:rsidRPr="00806B7F">
              <w:rPr>
                <w:rFonts w:ascii="Arial" w:hAnsi="Arial" w:cs="Arial"/>
                <w:sz w:val="20"/>
              </w:rPr>
              <w:t>31/03/2023</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0391E396" w14:textId="77777777" w:rsidR="00C24569" w:rsidRPr="00806B7F" w:rsidRDefault="00C24569" w:rsidP="00A369A1">
            <w:pPr>
              <w:jc w:val="center"/>
              <w:rPr>
                <w:rFonts w:ascii="Arial" w:hAnsi="Arial" w:cs="Arial"/>
                <w:sz w:val="20"/>
              </w:rPr>
            </w:pPr>
            <w:r w:rsidRPr="00806B7F">
              <w:rPr>
                <w:rFonts w:ascii="Arial" w:hAnsi="Arial" w:cs="Arial"/>
                <w:sz w:val="20"/>
              </w:rPr>
              <w:t>31/03/2024</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14:paraId="0ED4971C" w14:textId="77777777" w:rsidR="00C24569" w:rsidRPr="00806B7F" w:rsidRDefault="00C24569" w:rsidP="00A369A1">
            <w:pPr>
              <w:jc w:val="center"/>
              <w:rPr>
                <w:rFonts w:ascii="Arial" w:hAnsi="Arial" w:cs="Arial"/>
                <w:sz w:val="20"/>
              </w:rPr>
            </w:pPr>
            <w:r w:rsidRPr="00806B7F">
              <w:rPr>
                <w:rFonts w:ascii="Arial" w:hAnsi="Arial" w:cs="Arial"/>
                <w:sz w:val="20"/>
              </w:rPr>
              <w:t>31/03/2025</w:t>
            </w:r>
          </w:p>
        </w:tc>
      </w:tr>
      <w:tr w:rsidR="00C24569" w:rsidRPr="00806B7F" w14:paraId="02831AC3" w14:textId="77777777" w:rsidTr="00A369A1">
        <w:trPr>
          <w:trHeight w:val="311"/>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34BAA5D2" w14:textId="77777777" w:rsidR="00C24569" w:rsidRPr="00806B7F" w:rsidRDefault="00C24569" w:rsidP="00A369A1">
            <w:pPr>
              <w:rPr>
                <w:rFonts w:ascii="Arial" w:hAnsi="Arial" w:cs="Arial"/>
                <w:sz w:val="20"/>
              </w:rPr>
            </w:pPr>
            <w:r w:rsidRPr="00806B7F">
              <w:rPr>
                <w:rFonts w:ascii="Arial" w:hAnsi="Arial" w:cs="Arial"/>
                <w:sz w:val="20"/>
              </w:rPr>
              <w:t> </w:t>
            </w:r>
          </w:p>
        </w:tc>
        <w:tc>
          <w:tcPr>
            <w:tcW w:w="1286" w:type="dxa"/>
            <w:tcBorders>
              <w:top w:val="nil"/>
              <w:left w:val="nil"/>
              <w:bottom w:val="single" w:sz="8" w:space="0" w:color="auto"/>
              <w:right w:val="single" w:sz="8" w:space="0" w:color="auto"/>
            </w:tcBorders>
            <w:shd w:val="clear" w:color="auto" w:fill="auto"/>
            <w:vAlign w:val="center"/>
            <w:hideMark/>
          </w:tcPr>
          <w:p w14:paraId="77783EEE" w14:textId="77777777" w:rsidR="00C24569" w:rsidRPr="00806B7F" w:rsidRDefault="00C24569" w:rsidP="00A369A1">
            <w:pPr>
              <w:jc w:val="center"/>
              <w:rPr>
                <w:rFonts w:ascii="Arial" w:hAnsi="Arial" w:cs="Arial"/>
                <w:sz w:val="20"/>
              </w:rPr>
            </w:pPr>
            <w:r w:rsidRPr="00806B7F">
              <w:rPr>
                <w:rFonts w:ascii="Arial" w:hAnsi="Arial" w:cs="Arial"/>
                <w:sz w:val="20"/>
              </w:rPr>
              <w:t>£m</w:t>
            </w:r>
          </w:p>
        </w:tc>
        <w:tc>
          <w:tcPr>
            <w:tcW w:w="1286" w:type="dxa"/>
            <w:tcBorders>
              <w:top w:val="nil"/>
              <w:left w:val="nil"/>
              <w:bottom w:val="single" w:sz="8" w:space="0" w:color="auto"/>
              <w:right w:val="single" w:sz="8" w:space="0" w:color="auto"/>
            </w:tcBorders>
            <w:shd w:val="clear" w:color="auto" w:fill="auto"/>
            <w:vAlign w:val="center"/>
            <w:hideMark/>
          </w:tcPr>
          <w:p w14:paraId="5B1321E7" w14:textId="77777777" w:rsidR="00C24569" w:rsidRPr="00806B7F" w:rsidRDefault="00C24569" w:rsidP="00A369A1">
            <w:pPr>
              <w:jc w:val="center"/>
              <w:rPr>
                <w:rFonts w:ascii="Arial" w:hAnsi="Arial" w:cs="Arial"/>
                <w:sz w:val="20"/>
              </w:rPr>
            </w:pPr>
            <w:r w:rsidRPr="00806B7F">
              <w:rPr>
                <w:rFonts w:ascii="Arial" w:hAnsi="Arial" w:cs="Arial"/>
                <w:sz w:val="20"/>
              </w:rPr>
              <w:t>£m</w:t>
            </w:r>
          </w:p>
        </w:tc>
        <w:tc>
          <w:tcPr>
            <w:tcW w:w="1286" w:type="dxa"/>
            <w:tcBorders>
              <w:top w:val="nil"/>
              <w:left w:val="nil"/>
              <w:bottom w:val="single" w:sz="8" w:space="0" w:color="auto"/>
              <w:right w:val="single" w:sz="8" w:space="0" w:color="auto"/>
            </w:tcBorders>
            <w:shd w:val="clear" w:color="auto" w:fill="auto"/>
            <w:vAlign w:val="center"/>
            <w:hideMark/>
          </w:tcPr>
          <w:p w14:paraId="0808750F" w14:textId="77777777" w:rsidR="00C24569" w:rsidRPr="00806B7F" w:rsidRDefault="00C24569" w:rsidP="00A369A1">
            <w:pPr>
              <w:jc w:val="center"/>
              <w:rPr>
                <w:rFonts w:ascii="Arial" w:hAnsi="Arial" w:cs="Arial"/>
                <w:sz w:val="20"/>
              </w:rPr>
            </w:pPr>
            <w:r w:rsidRPr="00806B7F">
              <w:rPr>
                <w:rFonts w:ascii="Arial" w:hAnsi="Arial" w:cs="Arial"/>
                <w:sz w:val="20"/>
              </w:rPr>
              <w:t>£m</w:t>
            </w:r>
          </w:p>
        </w:tc>
        <w:tc>
          <w:tcPr>
            <w:tcW w:w="1286" w:type="dxa"/>
            <w:tcBorders>
              <w:top w:val="nil"/>
              <w:left w:val="nil"/>
              <w:bottom w:val="single" w:sz="8" w:space="0" w:color="auto"/>
              <w:right w:val="single" w:sz="8" w:space="0" w:color="auto"/>
            </w:tcBorders>
            <w:shd w:val="clear" w:color="auto" w:fill="auto"/>
            <w:vAlign w:val="center"/>
            <w:hideMark/>
          </w:tcPr>
          <w:p w14:paraId="477F87A2" w14:textId="77777777" w:rsidR="00C24569" w:rsidRPr="00806B7F" w:rsidRDefault="00C24569" w:rsidP="00A369A1">
            <w:pPr>
              <w:jc w:val="center"/>
              <w:rPr>
                <w:rFonts w:ascii="Arial" w:hAnsi="Arial" w:cs="Arial"/>
                <w:sz w:val="20"/>
              </w:rPr>
            </w:pPr>
            <w:r w:rsidRPr="00806B7F">
              <w:rPr>
                <w:rFonts w:ascii="Arial" w:hAnsi="Arial" w:cs="Arial"/>
                <w:sz w:val="20"/>
              </w:rPr>
              <w:t>£m</w:t>
            </w:r>
          </w:p>
        </w:tc>
      </w:tr>
      <w:tr w:rsidR="00C24569" w:rsidRPr="00806B7F" w14:paraId="0949A7E0" w14:textId="77777777" w:rsidTr="00A369A1">
        <w:trPr>
          <w:trHeight w:val="311"/>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7AA65432" w14:textId="77777777" w:rsidR="00C24569" w:rsidRPr="00806B7F" w:rsidRDefault="00C24569" w:rsidP="00A369A1">
            <w:pPr>
              <w:rPr>
                <w:rFonts w:ascii="Arial" w:hAnsi="Arial" w:cs="Arial"/>
                <w:sz w:val="20"/>
              </w:rPr>
            </w:pPr>
            <w:r w:rsidRPr="00806B7F">
              <w:rPr>
                <w:rFonts w:ascii="Arial" w:hAnsi="Arial" w:cs="Arial"/>
                <w:sz w:val="20"/>
              </w:rPr>
              <w:t xml:space="preserve">Capital Financing Requirement </w:t>
            </w:r>
          </w:p>
        </w:tc>
        <w:tc>
          <w:tcPr>
            <w:tcW w:w="1286" w:type="dxa"/>
            <w:tcBorders>
              <w:top w:val="nil"/>
              <w:left w:val="nil"/>
              <w:bottom w:val="single" w:sz="8" w:space="0" w:color="auto"/>
              <w:right w:val="single" w:sz="8" w:space="0" w:color="auto"/>
            </w:tcBorders>
            <w:shd w:val="clear" w:color="auto" w:fill="auto"/>
            <w:vAlign w:val="center"/>
            <w:hideMark/>
          </w:tcPr>
          <w:p w14:paraId="59F90C8F" w14:textId="77777777" w:rsidR="00C24569" w:rsidRPr="00806B7F" w:rsidRDefault="00C24569" w:rsidP="00A369A1">
            <w:pPr>
              <w:jc w:val="center"/>
              <w:rPr>
                <w:rFonts w:ascii="Arial" w:hAnsi="Arial" w:cs="Arial"/>
                <w:sz w:val="20"/>
              </w:rPr>
            </w:pPr>
            <w:r w:rsidRPr="00806B7F">
              <w:rPr>
                <w:rFonts w:ascii="Arial" w:hAnsi="Arial" w:cs="Arial"/>
                <w:sz w:val="20"/>
              </w:rPr>
              <w:t>12.795</w:t>
            </w:r>
          </w:p>
        </w:tc>
        <w:tc>
          <w:tcPr>
            <w:tcW w:w="1286" w:type="dxa"/>
            <w:tcBorders>
              <w:top w:val="nil"/>
              <w:left w:val="nil"/>
              <w:bottom w:val="single" w:sz="8" w:space="0" w:color="auto"/>
              <w:right w:val="single" w:sz="8" w:space="0" w:color="auto"/>
            </w:tcBorders>
            <w:shd w:val="clear" w:color="auto" w:fill="auto"/>
            <w:vAlign w:val="center"/>
            <w:hideMark/>
          </w:tcPr>
          <w:p w14:paraId="4263A73C" w14:textId="77777777" w:rsidR="00C24569" w:rsidRPr="00806B7F" w:rsidRDefault="00C24569" w:rsidP="00A369A1">
            <w:pPr>
              <w:jc w:val="center"/>
              <w:rPr>
                <w:rFonts w:ascii="Arial" w:hAnsi="Arial" w:cs="Arial"/>
                <w:sz w:val="20"/>
              </w:rPr>
            </w:pPr>
            <w:r w:rsidRPr="00806B7F">
              <w:rPr>
                <w:rFonts w:ascii="Arial" w:hAnsi="Arial" w:cs="Arial"/>
                <w:sz w:val="20"/>
              </w:rPr>
              <w:t>12.351</w:t>
            </w:r>
          </w:p>
        </w:tc>
        <w:tc>
          <w:tcPr>
            <w:tcW w:w="1286" w:type="dxa"/>
            <w:tcBorders>
              <w:top w:val="nil"/>
              <w:left w:val="nil"/>
              <w:bottom w:val="single" w:sz="8" w:space="0" w:color="auto"/>
              <w:right w:val="single" w:sz="8" w:space="0" w:color="auto"/>
            </w:tcBorders>
            <w:shd w:val="clear" w:color="auto" w:fill="auto"/>
            <w:vAlign w:val="center"/>
            <w:hideMark/>
          </w:tcPr>
          <w:p w14:paraId="0413881C" w14:textId="77777777" w:rsidR="00C24569" w:rsidRPr="00806B7F" w:rsidRDefault="00C24569" w:rsidP="00A369A1">
            <w:pPr>
              <w:jc w:val="center"/>
              <w:rPr>
                <w:rFonts w:ascii="Arial" w:hAnsi="Arial" w:cs="Arial"/>
                <w:sz w:val="20"/>
              </w:rPr>
            </w:pPr>
            <w:r w:rsidRPr="00806B7F">
              <w:rPr>
                <w:rFonts w:ascii="Arial" w:hAnsi="Arial" w:cs="Arial"/>
                <w:sz w:val="20"/>
              </w:rPr>
              <w:t>11.868</w:t>
            </w:r>
          </w:p>
        </w:tc>
        <w:tc>
          <w:tcPr>
            <w:tcW w:w="1286" w:type="dxa"/>
            <w:tcBorders>
              <w:top w:val="nil"/>
              <w:left w:val="nil"/>
              <w:bottom w:val="single" w:sz="8" w:space="0" w:color="auto"/>
              <w:right w:val="single" w:sz="8" w:space="0" w:color="auto"/>
            </w:tcBorders>
            <w:shd w:val="clear" w:color="auto" w:fill="auto"/>
            <w:vAlign w:val="center"/>
            <w:hideMark/>
          </w:tcPr>
          <w:p w14:paraId="7C594F71" w14:textId="77777777" w:rsidR="00C24569" w:rsidRPr="00806B7F" w:rsidRDefault="00C24569" w:rsidP="00A369A1">
            <w:pPr>
              <w:jc w:val="center"/>
              <w:rPr>
                <w:rFonts w:ascii="Arial" w:hAnsi="Arial" w:cs="Arial"/>
                <w:sz w:val="20"/>
              </w:rPr>
            </w:pPr>
            <w:r w:rsidRPr="00806B7F">
              <w:rPr>
                <w:rFonts w:ascii="Arial" w:hAnsi="Arial" w:cs="Arial"/>
                <w:sz w:val="20"/>
              </w:rPr>
              <w:t>11.339</w:t>
            </w:r>
          </w:p>
        </w:tc>
      </w:tr>
      <w:tr w:rsidR="00C24569" w:rsidRPr="00806B7F" w14:paraId="1F7E81FE" w14:textId="77777777" w:rsidTr="00A369A1">
        <w:trPr>
          <w:trHeight w:val="613"/>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69B9FFBC" w14:textId="77777777" w:rsidR="00C24569" w:rsidRPr="00806B7F" w:rsidRDefault="00C24569" w:rsidP="00A369A1">
            <w:pPr>
              <w:rPr>
                <w:rFonts w:ascii="Arial" w:hAnsi="Arial" w:cs="Arial"/>
                <w:i/>
                <w:iCs/>
                <w:sz w:val="20"/>
              </w:rPr>
            </w:pPr>
            <w:r w:rsidRPr="00806B7F">
              <w:rPr>
                <w:rFonts w:ascii="Arial" w:hAnsi="Arial" w:cs="Arial"/>
                <w:i/>
                <w:iCs/>
                <w:sz w:val="20"/>
              </w:rPr>
              <w:t xml:space="preserve">Less </w:t>
            </w:r>
            <w:proofErr w:type="gramStart"/>
            <w:r w:rsidRPr="00806B7F">
              <w:rPr>
                <w:rFonts w:ascii="Arial" w:hAnsi="Arial" w:cs="Arial"/>
                <w:i/>
                <w:iCs/>
                <w:sz w:val="20"/>
              </w:rPr>
              <w:t>long term</w:t>
            </w:r>
            <w:proofErr w:type="gramEnd"/>
            <w:r w:rsidRPr="00806B7F">
              <w:rPr>
                <w:rFonts w:ascii="Arial" w:hAnsi="Arial" w:cs="Arial"/>
                <w:sz w:val="20"/>
              </w:rPr>
              <w:t> </w:t>
            </w:r>
            <w:r w:rsidRPr="00806B7F">
              <w:rPr>
                <w:rFonts w:ascii="Arial" w:hAnsi="Arial" w:cs="Arial"/>
                <w:i/>
                <w:iCs/>
                <w:sz w:val="20"/>
              </w:rPr>
              <w:t xml:space="preserve"> liabilities (PFI and finance leases)</w:t>
            </w:r>
          </w:p>
        </w:tc>
        <w:tc>
          <w:tcPr>
            <w:tcW w:w="1286" w:type="dxa"/>
            <w:tcBorders>
              <w:top w:val="nil"/>
              <w:left w:val="nil"/>
              <w:bottom w:val="single" w:sz="8" w:space="0" w:color="auto"/>
              <w:right w:val="single" w:sz="8" w:space="0" w:color="auto"/>
            </w:tcBorders>
            <w:shd w:val="clear" w:color="auto" w:fill="auto"/>
            <w:vAlign w:val="center"/>
            <w:hideMark/>
          </w:tcPr>
          <w:p w14:paraId="1F94B474" w14:textId="77777777" w:rsidR="00C24569" w:rsidRPr="00806B7F" w:rsidRDefault="00C24569" w:rsidP="00A369A1">
            <w:pPr>
              <w:jc w:val="center"/>
              <w:rPr>
                <w:rFonts w:ascii="Arial" w:hAnsi="Arial" w:cs="Arial"/>
                <w:sz w:val="20"/>
              </w:rPr>
            </w:pPr>
            <w:r w:rsidRPr="00806B7F">
              <w:rPr>
                <w:rFonts w:ascii="Arial" w:hAnsi="Arial" w:cs="Arial"/>
                <w:sz w:val="20"/>
              </w:rPr>
              <w:t>-12.795</w:t>
            </w:r>
          </w:p>
        </w:tc>
        <w:tc>
          <w:tcPr>
            <w:tcW w:w="1286" w:type="dxa"/>
            <w:tcBorders>
              <w:top w:val="nil"/>
              <w:left w:val="nil"/>
              <w:bottom w:val="single" w:sz="8" w:space="0" w:color="auto"/>
              <w:right w:val="single" w:sz="8" w:space="0" w:color="auto"/>
            </w:tcBorders>
            <w:shd w:val="clear" w:color="auto" w:fill="auto"/>
            <w:vAlign w:val="center"/>
            <w:hideMark/>
          </w:tcPr>
          <w:p w14:paraId="26DB81DC" w14:textId="77777777" w:rsidR="00C24569" w:rsidRPr="00806B7F" w:rsidRDefault="00C24569" w:rsidP="00A369A1">
            <w:pPr>
              <w:jc w:val="center"/>
              <w:rPr>
                <w:rFonts w:ascii="Arial" w:hAnsi="Arial" w:cs="Arial"/>
                <w:sz w:val="20"/>
              </w:rPr>
            </w:pPr>
            <w:r w:rsidRPr="00806B7F">
              <w:rPr>
                <w:rFonts w:ascii="Arial" w:hAnsi="Arial" w:cs="Arial"/>
                <w:sz w:val="20"/>
              </w:rPr>
              <w:t>-12.351</w:t>
            </w:r>
          </w:p>
        </w:tc>
        <w:tc>
          <w:tcPr>
            <w:tcW w:w="1286" w:type="dxa"/>
            <w:tcBorders>
              <w:top w:val="nil"/>
              <w:left w:val="nil"/>
              <w:bottom w:val="single" w:sz="8" w:space="0" w:color="auto"/>
              <w:right w:val="single" w:sz="8" w:space="0" w:color="auto"/>
            </w:tcBorders>
            <w:shd w:val="clear" w:color="auto" w:fill="auto"/>
            <w:vAlign w:val="center"/>
            <w:hideMark/>
          </w:tcPr>
          <w:p w14:paraId="4E11A5D8" w14:textId="77777777" w:rsidR="00C24569" w:rsidRPr="00806B7F" w:rsidRDefault="00C24569" w:rsidP="00A369A1">
            <w:pPr>
              <w:jc w:val="center"/>
              <w:rPr>
                <w:rFonts w:ascii="Arial" w:hAnsi="Arial" w:cs="Arial"/>
                <w:sz w:val="20"/>
              </w:rPr>
            </w:pPr>
            <w:r w:rsidRPr="00806B7F">
              <w:rPr>
                <w:rFonts w:ascii="Arial" w:hAnsi="Arial" w:cs="Arial"/>
                <w:sz w:val="20"/>
              </w:rPr>
              <w:t>-11.868</w:t>
            </w:r>
          </w:p>
        </w:tc>
        <w:tc>
          <w:tcPr>
            <w:tcW w:w="1286" w:type="dxa"/>
            <w:tcBorders>
              <w:top w:val="nil"/>
              <w:left w:val="nil"/>
              <w:bottom w:val="single" w:sz="8" w:space="0" w:color="auto"/>
              <w:right w:val="single" w:sz="8" w:space="0" w:color="auto"/>
            </w:tcBorders>
            <w:shd w:val="clear" w:color="auto" w:fill="auto"/>
            <w:vAlign w:val="center"/>
            <w:hideMark/>
          </w:tcPr>
          <w:p w14:paraId="16142FE8" w14:textId="77777777" w:rsidR="00C24569" w:rsidRPr="00806B7F" w:rsidRDefault="00C24569" w:rsidP="00A369A1">
            <w:pPr>
              <w:jc w:val="center"/>
              <w:rPr>
                <w:rFonts w:ascii="Arial" w:hAnsi="Arial" w:cs="Arial"/>
                <w:sz w:val="20"/>
              </w:rPr>
            </w:pPr>
            <w:r w:rsidRPr="00806B7F">
              <w:rPr>
                <w:rFonts w:ascii="Arial" w:hAnsi="Arial" w:cs="Arial"/>
                <w:sz w:val="20"/>
              </w:rPr>
              <w:t>-11.339</w:t>
            </w:r>
          </w:p>
        </w:tc>
      </w:tr>
      <w:tr w:rsidR="00C24569" w:rsidRPr="00806B7F" w14:paraId="7E3A631E" w14:textId="77777777" w:rsidTr="00A369A1">
        <w:trPr>
          <w:trHeight w:val="311"/>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534DB547" w14:textId="77777777" w:rsidR="00C24569" w:rsidRPr="00806B7F" w:rsidRDefault="00C24569" w:rsidP="00A369A1">
            <w:pPr>
              <w:rPr>
                <w:rFonts w:ascii="Arial" w:hAnsi="Arial" w:cs="Arial"/>
                <w:i/>
                <w:iCs/>
                <w:sz w:val="20"/>
              </w:rPr>
            </w:pPr>
            <w:r w:rsidRPr="00806B7F">
              <w:rPr>
                <w:rFonts w:ascii="Arial" w:hAnsi="Arial" w:cs="Arial"/>
                <w:i/>
                <w:iCs/>
                <w:sz w:val="20"/>
              </w:rPr>
              <w:t xml:space="preserve">Less </w:t>
            </w:r>
            <w:r w:rsidRPr="00806B7F">
              <w:rPr>
                <w:rFonts w:ascii="Arial" w:hAnsi="Arial" w:cs="Arial"/>
                <w:sz w:val="20"/>
              </w:rPr>
              <w:t>external borrowing</w:t>
            </w:r>
          </w:p>
        </w:tc>
        <w:tc>
          <w:tcPr>
            <w:tcW w:w="1286" w:type="dxa"/>
            <w:tcBorders>
              <w:top w:val="nil"/>
              <w:left w:val="nil"/>
              <w:bottom w:val="single" w:sz="8" w:space="0" w:color="auto"/>
              <w:right w:val="single" w:sz="8" w:space="0" w:color="auto"/>
            </w:tcBorders>
            <w:shd w:val="clear" w:color="auto" w:fill="auto"/>
            <w:vAlign w:val="center"/>
            <w:hideMark/>
          </w:tcPr>
          <w:p w14:paraId="673053FC"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auto" w:fill="auto"/>
            <w:vAlign w:val="center"/>
            <w:hideMark/>
          </w:tcPr>
          <w:p w14:paraId="4412D9AA"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auto" w:fill="auto"/>
            <w:vAlign w:val="center"/>
            <w:hideMark/>
          </w:tcPr>
          <w:p w14:paraId="223536E9"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auto" w:fill="auto"/>
            <w:vAlign w:val="center"/>
            <w:hideMark/>
          </w:tcPr>
          <w:p w14:paraId="6E884E8D" w14:textId="77777777" w:rsidR="00C24569" w:rsidRPr="00806B7F" w:rsidRDefault="00C24569" w:rsidP="00A369A1">
            <w:pPr>
              <w:jc w:val="center"/>
              <w:rPr>
                <w:rFonts w:ascii="Arial" w:hAnsi="Arial" w:cs="Arial"/>
                <w:sz w:val="20"/>
              </w:rPr>
            </w:pPr>
            <w:r w:rsidRPr="00806B7F">
              <w:rPr>
                <w:rFonts w:ascii="Arial" w:hAnsi="Arial" w:cs="Arial"/>
                <w:sz w:val="20"/>
              </w:rPr>
              <w:t>-2.000</w:t>
            </w:r>
          </w:p>
        </w:tc>
      </w:tr>
      <w:tr w:rsidR="00C24569" w:rsidRPr="00806B7F" w14:paraId="23DBAF67" w14:textId="77777777" w:rsidTr="00A369A1">
        <w:trPr>
          <w:trHeight w:val="311"/>
        </w:trPr>
        <w:tc>
          <w:tcPr>
            <w:tcW w:w="4526" w:type="dxa"/>
            <w:tcBorders>
              <w:top w:val="nil"/>
              <w:left w:val="single" w:sz="8" w:space="0" w:color="auto"/>
              <w:bottom w:val="single" w:sz="8" w:space="0" w:color="auto"/>
              <w:right w:val="single" w:sz="8" w:space="0" w:color="auto"/>
            </w:tcBorders>
            <w:shd w:val="clear" w:color="000000" w:fill="DEEAF6"/>
            <w:vAlign w:val="center"/>
            <w:hideMark/>
          </w:tcPr>
          <w:p w14:paraId="20F96552" w14:textId="77777777" w:rsidR="00C24569" w:rsidRPr="00806B7F" w:rsidRDefault="00C24569" w:rsidP="00A369A1">
            <w:pPr>
              <w:rPr>
                <w:rFonts w:ascii="Arial" w:hAnsi="Arial" w:cs="Arial"/>
                <w:sz w:val="20"/>
              </w:rPr>
            </w:pPr>
            <w:r w:rsidRPr="00806B7F">
              <w:rPr>
                <w:rFonts w:ascii="Arial" w:hAnsi="Arial" w:cs="Arial"/>
                <w:sz w:val="20"/>
              </w:rPr>
              <w:t>Borrowing requirement</w:t>
            </w:r>
          </w:p>
        </w:tc>
        <w:tc>
          <w:tcPr>
            <w:tcW w:w="1286" w:type="dxa"/>
            <w:tcBorders>
              <w:top w:val="nil"/>
              <w:left w:val="nil"/>
              <w:bottom w:val="single" w:sz="8" w:space="0" w:color="auto"/>
              <w:right w:val="single" w:sz="8" w:space="0" w:color="auto"/>
            </w:tcBorders>
            <w:shd w:val="clear" w:color="000000" w:fill="DEEAF6"/>
            <w:vAlign w:val="center"/>
            <w:hideMark/>
          </w:tcPr>
          <w:p w14:paraId="1AB0B22A"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000000" w:fill="DEEAF6"/>
            <w:vAlign w:val="center"/>
            <w:hideMark/>
          </w:tcPr>
          <w:p w14:paraId="07AFB1A7"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000000" w:fill="DEEAF6"/>
            <w:vAlign w:val="center"/>
            <w:hideMark/>
          </w:tcPr>
          <w:p w14:paraId="7A3F1693" w14:textId="77777777" w:rsidR="00C24569" w:rsidRPr="00806B7F" w:rsidRDefault="00C24569" w:rsidP="00A369A1">
            <w:pPr>
              <w:jc w:val="center"/>
              <w:rPr>
                <w:rFonts w:ascii="Arial" w:hAnsi="Arial" w:cs="Arial"/>
                <w:sz w:val="20"/>
              </w:rPr>
            </w:pPr>
            <w:r w:rsidRPr="00806B7F">
              <w:rPr>
                <w:rFonts w:ascii="Arial" w:hAnsi="Arial" w:cs="Arial"/>
                <w:sz w:val="20"/>
              </w:rPr>
              <w:t>-2.000</w:t>
            </w:r>
          </w:p>
        </w:tc>
        <w:tc>
          <w:tcPr>
            <w:tcW w:w="1286" w:type="dxa"/>
            <w:tcBorders>
              <w:top w:val="nil"/>
              <w:left w:val="nil"/>
              <w:bottom w:val="single" w:sz="8" w:space="0" w:color="auto"/>
              <w:right w:val="single" w:sz="8" w:space="0" w:color="auto"/>
            </w:tcBorders>
            <w:shd w:val="clear" w:color="000000" w:fill="DEEAF6"/>
            <w:vAlign w:val="center"/>
            <w:hideMark/>
          </w:tcPr>
          <w:p w14:paraId="61520D78" w14:textId="77777777" w:rsidR="00C24569" w:rsidRPr="00806B7F" w:rsidRDefault="00C24569" w:rsidP="00A369A1">
            <w:pPr>
              <w:jc w:val="center"/>
              <w:rPr>
                <w:rFonts w:ascii="Arial" w:hAnsi="Arial" w:cs="Arial"/>
                <w:sz w:val="20"/>
              </w:rPr>
            </w:pPr>
            <w:r w:rsidRPr="00806B7F">
              <w:rPr>
                <w:rFonts w:ascii="Arial" w:hAnsi="Arial" w:cs="Arial"/>
                <w:sz w:val="20"/>
              </w:rPr>
              <w:t>-2.000</w:t>
            </w:r>
          </w:p>
        </w:tc>
      </w:tr>
      <w:tr w:rsidR="00C24569" w:rsidRPr="00806B7F" w14:paraId="0F53650D" w14:textId="77777777" w:rsidTr="00A369A1">
        <w:trPr>
          <w:trHeight w:val="311"/>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3DE4D118" w14:textId="77777777" w:rsidR="00C24569" w:rsidRPr="00806B7F" w:rsidRDefault="00C24569" w:rsidP="00A369A1">
            <w:pPr>
              <w:rPr>
                <w:rFonts w:ascii="Arial" w:hAnsi="Arial" w:cs="Arial"/>
                <w:sz w:val="20"/>
              </w:rPr>
            </w:pPr>
            <w:r w:rsidRPr="00806B7F">
              <w:rPr>
                <w:rFonts w:ascii="Arial" w:hAnsi="Arial" w:cs="Arial"/>
                <w:sz w:val="20"/>
              </w:rPr>
              <w:t> </w:t>
            </w:r>
          </w:p>
        </w:tc>
        <w:tc>
          <w:tcPr>
            <w:tcW w:w="1286" w:type="dxa"/>
            <w:tcBorders>
              <w:top w:val="nil"/>
              <w:left w:val="nil"/>
              <w:bottom w:val="single" w:sz="8" w:space="0" w:color="auto"/>
              <w:right w:val="single" w:sz="8" w:space="0" w:color="auto"/>
            </w:tcBorders>
            <w:shd w:val="clear" w:color="auto" w:fill="auto"/>
            <w:vAlign w:val="center"/>
            <w:hideMark/>
          </w:tcPr>
          <w:p w14:paraId="0E3654EC" w14:textId="77777777" w:rsidR="00C24569" w:rsidRPr="00806B7F" w:rsidRDefault="00C24569" w:rsidP="00A369A1">
            <w:pPr>
              <w:jc w:val="center"/>
              <w:rPr>
                <w:rFonts w:ascii="Arial" w:hAnsi="Arial" w:cs="Arial"/>
                <w:sz w:val="20"/>
              </w:rPr>
            </w:pPr>
            <w:r w:rsidRPr="00806B7F">
              <w:rPr>
                <w:rFonts w:ascii="Arial" w:hAnsi="Arial" w:cs="Arial"/>
                <w:sz w:val="20"/>
              </w:rPr>
              <w:t> </w:t>
            </w:r>
          </w:p>
        </w:tc>
        <w:tc>
          <w:tcPr>
            <w:tcW w:w="1286" w:type="dxa"/>
            <w:tcBorders>
              <w:top w:val="nil"/>
              <w:left w:val="nil"/>
              <w:bottom w:val="single" w:sz="8" w:space="0" w:color="auto"/>
              <w:right w:val="single" w:sz="8" w:space="0" w:color="auto"/>
            </w:tcBorders>
            <w:shd w:val="clear" w:color="auto" w:fill="auto"/>
            <w:vAlign w:val="center"/>
            <w:hideMark/>
          </w:tcPr>
          <w:p w14:paraId="556494FC" w14:textId="77777777" w:rsidR="00C24569" w:rsidRPr="00806B7F" w:rsidRDefault="00C24569" w:rsidP="00A369A1">
            <w:pPr>
              <w:jc w:val="center"/>
              <w:rPr>
                <w:rFonts w:ascii="Arial" w:hAnsi="Arial" w:cs="Arial"/>
                <w:sz w:val="20"/>
              </w:rPr>
            </w:pPr>
            <w:r w:rsidRPr="00806B7F">
              <w:rPr>
                <w:rFonts w:ascii="Arial" w:hAnsi="Arial" w:cs="Arial"/>
                <w:sz w:val="20"/>
              </w:rPr>
              <w:t> </w:t>
            </w:r>
          </w:p>
        </w:tc>
        <w:tc>
          <w:tcPr>
            <w:tcW w:w="1286" w:type="dxa"/>
            <w:tcBorders>
              <w:top w:val="nil"/>
              <w:left w:val="nil"/>
              <w:bottom w:val="single" w:sz="8" w:space="0" w:color="auto"/>
              <w:right w:val="single" w:sz="8" w:space="0" w:color="auto"/>
            </w:tcBorders>
            <w:shd w:val="clear" w:color="auto" w:fill="auto"/>
            <w:vAlign w:val="center"/>
            <w:hideMark/>
          </w:tcPr>
          <w:p w14:paraId="0EB46AAE" w14:textId="77777777" w:rsidR="00C24569" w:rsidRPr="00806B7F" w:rsidRDefault="00C24569" w:rsidP="00A369A1">
            <w:pPr>
              <w:jc w:val="center"/>
              <w:rPr>
                <w:rFonts w:ascii="Arial" w:hAnsi="Arial" w:cs="Arial"/>
                <w:sz w:val="20"/>
              </w:rPr>
            </w:pPr>
            <w:r w:rsidRPr="00806B7F">
              <w:rPr>
                <w:rFonts w:ascii="Arial" w:hAnsi="Arial" w:cs="Arial"/>
                <w:sz w:val="20"/>
              </w:rPr>
              <w:t> </w:t>
            </w:r>
          </w:p>
        </w:tc>
        <w:tc>
          <w:tcPr>
            <w:tcW w:w="1286" w:type="dxa"/>
            <w:tcBorders>
              <w:top w:val="nil"/>
              <w:left w:val="nil"/>
              <w:bottom w:val="single" w:sz="8" w:space="0" w:color="auto"/>
              <w:right w:val="single" w:sz="8" w:space="0" w:color="auto"/>
            </w:tcBorders>
            <w:shd w:val="clear" w:color="auto" w:fill="auto"/>
            <w:vAlign w:val="center"/>
            <w:hideMark/>
          </w:tcPr>
          <w:p w14:paraId="3A6D549A" w14:textId="77777777" w:rsidR="00C24569" w:rsidRPr="00806B7F" w:rsidRDefault="00C24569" w:rsidP="00A369A1">
            <w:pPr>
              <w:jc w:val="center"/>
              <w:rPr>
                <w:rFonts w:ascii="Arial" w:hAnsi="Arial" w:cs="Arial"/>
                <w:sz w:val="20"/>
              </w:rPr>
            </w:pPr>
            <w:r w:rsidRPr="00806B7F">
              <w:rPr>
                <w:rFonts w:ascii="Arial" w:hAnsi="Arial" w:cs="Arial"/>
                <w:sz w:val="20"/>
              </w:rPr>
              <w:t> </w:t>
            </w:r>
          </w:p>
        </w:tc>
      </w:tr>
      <w:tr w:rsidR="00C24569" w:rsidRPr="00806B7F" w14:paraId="0511DA9F" w14:textId="77777777" w:rsidTr="00A369A1">
        <w:trPr>
          <w:trHeight w:val="311"/>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0D5853AE" w14:textId="77777777" w:rsidR="00C24569" w:rsidRPr="00806B7F" w:rsidRDefault="00C24569" w:rsidP="00A369A1">
            <w:pPr>
              <w:rPr>
                <w:rFonts w:ascii="Arial" w:hAnsi="Arial" w:cs="Arial"/>
                <w:sz w:val="20"/>
              </w:rPr>
            </w:pPr>
            <w:r w:rsidRPr="00806B7F">
              <w:rPr>
                <w:rFonts w:ascii="Arial" w:hAnsi="Arial" w:cs="Arial"/>
                <w:sz w:val="20"/>
              </w:rPr>
              <w:t>Reserves and working  capital</w:t>
            </w:r>
          </w:p>
        </w:tc>
        <w:tc>
          <w:tcPr>
            <w:tcW w:w="1286" w:type="dxa"/>
            <w:tcBorders>
              <w:top w:val="nil"/>
              <w:left w:val="nil"/>
              <w:bottom w:val="single" w:sz="8" w:space="0" w:color="auto"/>
              <w:right w:val="single" w:sz="8" w:space="0" w:color="auto"/>
            </w:tcBorders>
            <w:shd w:val="clear" w:color="auto" w:fill="auto"/>
            <w:vAlign w:val="center"/>
            <w:hideMark/>
          </w:tcPr>
          <w:p w14:paraId="108EF748" w14:textId="77777777" w:rsidR="00C24569" w:rsidRPr="00806B7F" w:rsidRDefault="00C24569" w:rsidP="00A369A1">
            <w:pPr>
              <w:jc w:val="center"/>
              <w:rPr>
                <w:rFonts w:ascii="Arial" w:hAnsi="Arial" w:cs="Arial"/>
                <w:sz w:val="20"/>
              </w:rPr>
            </w:pPr>
            <w:r w:rsidRPr="00806B7F">
              <w:rPr>
                <w:rFonts w:ascii="Arial" w:hAnsi="Arial" w:cs="Arial"/>
                <w:sz w:val="20"/>
              </w:rPr>
              <w:t>31.571</w:t>
            </w:r>
          </w:p>
        </w:tc>
        <w:tc>
          <w:tcPr>
            <w:tcW w:w="1286" w:type="dxa"/>
            <w:tcBorders>
              <w:top w:val="nil"/>
              <w:left w:val="nil"/>
              <w:bottom w:val="single" w:sz="8" w:space="0" w:color="auto"/>
              <w:right w:val="single" w:sz="8" w:space="0" w:color="auto"/>
            </w:tcBorders>
            <w:shd w:val="clear" w:color="auto" w:fill="auto"/>
            <w:vAlign w:val="center"/>
            <w:hideMark/>
          </w:tcPr>
          <w:p w14:paraId="57B13A0E" w14:textId="77777777" w:rsidR="00C24569" w:rsidRPr="00806B7F" w:rsidRDefault="00C24569" w:rsidP="00A369A1">
            <w:pPr>
              <w:jc w:val="center"/>
              <w:rPr>
                <w:rFonts w:ascii="Arial" w:hAnsi="Arial" w:cs="Arial"/>
                <w:sz w:val="20"/>
              </w:rPr>
            </w:pPr>
            <w:r w:rsidRPr="00806B7F">
              <w:rPr>
                <w:rFonts w:ascii="Arial" w:hAnsi="Arial" w:cs="Arial"/>
                <w:sz w:val="20"/>
              </w:rPr>
              <w:t>28.771</w:t>
            </w:r>
          </w:p>
        </w:tc>
        <w:tc>
          <w:tcPr>
            <w:tcW w:w="1286" w:type="dxa"/>
            <w:tcBorders>
              <w:top w:val="nil"/>
              <w:left w:val="nil"/>
              <w:bottom w:val="single" w:sz="8" w:space="0" w:color="auto"/>
              <w:right w:val="single" w:sz="8" w:space="0" w:color="auto"/>
            </w:tcBorders>
            <w:shd w:val="clear" w:color="auto" w:fill="auto"/>
            <w:vAlign w:val="center"/>
            <w:hideMark/>
          </w:tcPr>
          <w:p w14:paraId="450D0E11" w14:textId="77777777" w:rsidR="00C24569" w:rsidRPr="00806B7F" w:rsidRDefault="00C24569" w:rsidP="00A369A1">
            <w:pPr>
              <w:jc w:val="center"/>
              <w:rPr>
                <w:rFonts w:ascii="Arial" w:hAnsi="Arial" w:cs="Arial"/>
                <w:sz w:val="20"/>
              </w:rPr>
            </w:pPr>
            <w:r w:rsidRPr="00806B7F">
              <w:rPr>
                <w:rFonts w:ascii="Arial" w:hAnsi="Arial" w:cs="Arial"/>
                <w:sz w:val="20"/>
              </w:rPr>
              <w:t>22.971</w:t>
            </w:r>
          </w:p>
        </w:tc>
        <w:tc>
          <w:tcPr>
            <w:tcW w:w="1286" w:type="dxa"/>
            <w:tcBorders>
              <w:top w:val="nil"/>
              <w:left w:val="nil"/>
              <w:bottom w:val="single" w:sz="8" w:space="0" w:color="auto"/>
              <w:right w:val="single" w:sz="8" w:space="0" w:color="auto"/>
            </w:tcBorders>
            <w:shd w:val="clear" w:color="auto" w:fill="auto"/>
            <w:vAlign w:val="center"/>
            <w:hideMark/>
          </w:tcPr>
          <w:p w14:paraId="20E179FE" w14:textId="77777777" w:rsidR="00C24569" w:rsidRPr="00806B7F" w:rsidRDefault="00C24569" w:rsidP="00A369A1">
            <w:pPr>
              <w:jc w:val="center"/>
              <w:rPr>
                <w:rFonts w:ascii="Arial" w:hAnsi="Arial" w:cs="Arial"/>
                <w:sz w:val="20"/>
              </w:rPr>
            </w:pPr>
            <w:r w:rsidRPr="00806B7F">
              <w:rPr>
                <w:rFonts w:ascii="Arial" w:hAnsi="Arial" w:cs="Arial"/>
                <w:sz w:val="20"/>
              </w:rPr>
              <w:t>15.871</w:t>
            </w:r>
          </w:p>
        </w:tc>
      </w:tr>
      <w:tr w:rsidR="00C24569" w:rsidRPr="00806B7F" w14:paraId="5D0D58CF" w14:textId="77777777" w:rsidTr="00A369A1">
        <w:trPr>
          <w:trHeight w:val="311"/>
        </w:trPr>
        <w:tc>
          <w:tcPr>
            <w:tcW w:w="4526" w:type="dxa"/>
            <w:tcBorders>
              <w:top w:val="nil"/>
              <w:left w:val="single" w:sz="8" w:space="0" w:color="auto"/>
              <w:bottom w:val="single" w:sz="8" w:space="0" w:color="auto"/>
              <w:right w:val="single" w:sz="8" w:space="0" w:color="auto"/>
            </w:tcBorders>
            <w:shd w:val="clear" w:color="000000" w:fill="DEEAF6"/>
            <w:vAlign w:val="center"/>
            <w:hideMark/>
          </w:tcPr>
          <w:p w14:paraId="18FCB4F8" w14:textId="77777777" w:rsidR="00C24569" w:rsidRPr="00806B7F" w:rsidRDefault="00C24569" w:rsidP="00A369A1">
            <w:pPr>
              <w:rPr>
                <w:rFonts w:ascii="Arial" w:hAnsi="Arial" w:cs="Arial"/>
                <w:sz w:val="20"/>
              </w:rPr>
            </w:pPr>
            <w:r w:rsidRPr="00806B7F">
              <w:rPr>
                <w:rFonts w:ascii="Arial" w:hAnsi="Arial" w:cs="Arial"/>
                <w:sz w:val="20"/>
              </w:rPr>
              <w:t>Borrowing/(Investment) need</w:t>
            </w:r>
          </w:p>
        </w:tc>
        <w:tc>
          <w:tcPr>
            <w:tcW w:w="1286" w:type="dxa"/>
            <w:tcBorders>
              <w:top w:val="nil"/>
              <w:left w:val="nil"/>
              <w:bottom w:val="single" w:sz="8" w:space="0" w:color="auto"/>
              <w:right w:val="single" w:sz="8" w:space="0" w:color="auto"/>
            </w:tcBorders>
            <w:shd w:val="clear" w:color="000000" w:fill="DEEAF6"/>
            <w:vAlign w:val="center"/>
            <w:hideMark/>
          </w:tcPr>
          <w:p w14:paraId="31B75234" w14:textId="77777777" w:rsidR="00C24569" w:rsidRPr="00806B7F" w:rsidRDefault="00C24569" w:rsidP="00A369A1">
            <w:pPr>
              <w:jc w:val="center"/>
              <w:rPr>
                <w:rFonts w:ascii="Arial" w:hAnsi="Arial" w:cs="Arial"/>
                <w:sz w:val="20"/>
              </w:rPr>
            </w:pPr>
            <w:r w:rsidRPr="00806B7F">
              <w:rPr>
                <w:rFonts w:ascii="Arial" w:hAnsi="Arial" w:cs="Arial"/>
                <w:sz w:val="20"/>
              </w:rPr>
              <w:t>33.571</w:t>
            </w:r>
          </w:p>
        </w:tc>
        <w:tc>
          <w:tcPr>
            <w:tcW w:w="1286" w:type="dxa"/>
            <w:tcBorders>
              <w:top w:val="nil"/>
              <w:left w:val="nil"/>
              <w:bottom w:val="single" w:sz="8" w:space="0" w:color="auto"/>
              <w:right w:val="single" w:sz="8" w:space="0" w:color="auto"/>
            </w:tcBorders>
            <w:shd w:val="clear" w:color="000000" w:fill="DEEAF6"/>
            <w:vAlign w:val="center"/>
            <w:hideMark/>
          </w:tcPr>
          <w:p w14:paraId="60D97300" w14:textId="77777777" w:rsidR="00C24569" w:rsidRPr="00806B7F" w:rsidRDefault="00C24569" w:rsidP="00A369A1">
            <w:pPr>
              <w:jc w:val="center"/>
              <w:rPr>
                <w:rFonts w:ascii="Arial" w:hAnsi="Arial" w:cs="Arial"/>
                <w:sz w:val="20"/>
              </w:rPr>
            </w:pPr>
            <w:r w:rsidRPr="00806B7F">
              <w:rPr>
                <w:rFonts w:ascii="Arial" w:hAnsi="Arial" w:cs="Arial"/>
                <w:sz w:val="20"/>
              </w:rPr>
              <w:t>30.771</w:t>
            </w:r>
          </w:p>
        </w:tc>
        <w:tc>
          <w:tcPr>
            <w:tcW w:w="1286" w:type="dxa"/>
            <w:tcBorders>
              <w:top w:val="nil"/>
              <w:left w:val="nil"/>
              <w:bottom w:val="single" w:sz="8" w:space="0" w:color="auto"/>
              <w:right w:val="single" w:sz="8" w:space="0" w:color="auto"/>
            </w:tcBorders>
            <w:shd w:val="clear" w:color="000000" w:fill="DEEAF6"/>
            <w:vAlign w:val="center"/>
            <w:hideMark/>
          </w:tcPr>
          <w:p w14:paraId="111DA63D" w14:textId="77777777" w:rsidR="00C24569" w:rsidRPr="00806B7F" w:rsidRDefault="00C24569" w:rsidP="00A369A1">
            <w:pPr>
              <w:jc w:val="center"/>
              <w:rPr>
                <w:rFonts w:ascii="Arial" w:hAnsi="Arial" w:cs="Arial"/>
                <w:sz w:val="20"/>
              </w:rPr>
            </w:pPr>
            <w:r w:rsidRPr="00806B7F">
              <w:rPr>
                <w:rFonts w:ascii="Arial" w:hAnsi="Arial" w:cs="Arial"/>
                <w:sz w:val="20"/>
              </w:rPr>
              <w:t>24.971</w:t>
            </w:r>
          </w:p>
        </w:tc>
        <w:tc>
          <w:tcPr>
            <w:tcW w:w="1286" w:type="dxa"/>
            <w:tcBorders>
              <w:top w:val="nil"/>
              <w:left w:val="nil"/>
              <w:bottom w:val="single" w:sz="8" w:space="0" w:color="auto"/>
              <w:right w:val="single" w:sz="8" w:space="0" w:color="auto"/>
            </w:tcBorders>
            <w:shd w:val="clear" w:color="000000" w:fill="DEEAF6"/>
            <w:vAlign w:val="center"/>
            <w:hideMark/>
          </w:tcPr>
          <w:p w14:paraId="397F2077" w14:textId="77777777" w:rsidR="00C24569" w:rsidRPr="00806B7F" w:rsidRDefault="00C24569" w:rsidP="00A369A1">
            <w:pPr>
              <w:jc w:val="center"/>
              <w:rPr>
                <w:rFonts w:ascii="Arial" w:hAnsi="Arial" w:cs="Arial"/>
                <w:sz w:val="20"/>
              </w:rPr>
            </w:pPr>
            <w:r w:rsidRPr="00806B7F">
              <w:rPr>
                <w:rFonts w:ascii="Arial" w:hAnsi="Arial" w:cs="Arial"/>
                <w:sz w:val="20"/>
              </w:rPr>
              <w:t>17.871</w:t>
            </w:r>
          </w:p>
        </w:tc>
      </w:tr>
    </w:tbl>
    <w:p w14:paraId="6414E666" w14:textId="77777777" w:rsidR="00C24569" w:rsidRPr="00806B7F" w:rsidRDefault="00C24569" w:rsidP="00C24569">
      <w:pPr>
        <w:rPr>
          <w:rFonts w:ascii="Arial" w:hAnsi="Arial" w:cs="Arial"/>
          <w:sz w:val="20"/>
        </w:rPr>
      </w:pPr>
    </w:p>
    <w:p w14:paraId="10D7B1CC" w14:textId="77777777" w:rsidR="00C24569" w:rsidRPr="00806B7F" w:rsidRDefault="00C24569" w:rsidP="00C24569">
      <w:pPr>
        <w:rPr>
          <w:rFonts w:ascii="Arial" w:hAnsi="Arial" w:cs="Arial"/>
          <w:sz w:val="20"/>
        </w:rPr>
      </w:pPr>
    </w:p>
    <w:p w14:paraId="3DCC9150" w14:textId="77777777" w:rsidR="00C24569" w:rsidRPr="00806B7F" w:rsidRDefault="00C24569" w:rsidP="003C3CC6">
      <w:pPr>
        <w:jc w:val="both"/>
        <w:rPr>
          <w:rFonts w:ascii="Arial" w:hAnsi="Arial" w:cs="Arial"/>
          <w:sz w:val="20"/>
        </w:rPr>
      </w:pPr>
      <w:r w:rsidRPr="00806B7F">
        <w:rPr>
          <w:rFonts w:ascii="Arial" w:hAnsi="Arial" w:cs="Arial"/>
          <w:sz w:val="20"/>
        </w:rPr>
        <w:t xml:space="preserve">CIPFA’s Prudential Code for Capital Finance in Local Authorities recommends that the Authority’s total debt should be lower than its highest forecast CFR over the next three years. However, the table above shows that the level of loans was above the CFR at 31/3/22. This was the result of the Authority adopting a policy of setting aside additional Minimum Revenue Provision (MRP) </w:t>
      </w:r>
      <w:proofErr w:type="gramStart"/>
      <w:r w:rsidRPr="00806B7F">
        <w:rPr>
          <w:rFonts w:ascii="Arial" w:hAnsi="Arial" w:cs="Arial"/>
          <w:sz w:val="20"/>
        </w:rPr>
        <w:t>in order to</w:t>
      </w:r>
      <w:proofErr w:type="gramEnd"/>
      <w:r w:rsidRPr="00806B7F">
        <w:rPr>
          <w:rFonts w:ascii="Arial" w:hAnsi="Arial" w:cs="Arial"/>
          <w:sz w:val="20"/>
        </w:rPr>
        <w:t xml:space="preserve"> generate the cash to repay loans either on maturity or as an early repayment. </w:t>
      </w:r>
    </w:p>
    <w:p w14:paraId="6BEF785C" w14:textId="77777777" w:rsidR="00C24569" w:rsidRPr="00806B7F" w:rsidRDefault="00C24569" w:rsidP="003C3CC6">
      <w:pPr>
        <w:jc w:val="both"/>
        <w:rPr>
          <w:rFonts w:ascii="Arial" w:hAnsi="Arial" w:cs="Arial"/>
          <w:sz w:val="20"/>
        </w:rPr>
      </w:pPr>
    </w:p>
    <w:p w14:paraId="5CE95A81" w14:textId="77777777" w:rsidR="00C24569" w:rsidRPr="00806B7F" w:rsidRDefault="00C24569" w:rsidP="003C3CC6">
      <w:pPr>
        <w:jc w:val="both"/>
        <w:rPr>
          <w:rFonts w:ascii="Arial" w:hAnsi="Arial" w:cs="Arial"/>
          <w:sz w:val="20"/>
        </w:rPr>
      </w:pPr>
      <w:r w:rsidRPr="00806B7F">
        <w:rPr>
          <w:rFonts w:ascii="Arial" w:hAnsi="Arial" w:cs="Arial"/>
          <w:sz w:val="20"/>
        </w:rPr>
        <w:t>The table above indicates that rather than having a need for borrowing it is estimated that the authority has an underlying need to invest although the available balances are forecast to reduce.</w:t>
      </w:r>
    </w:p>
    <w:p w14:paraId="7F41F514" w14:textId="77777777" w:rsidR="00C24569" w:rsidRPr="00806B7F" w:rsidRDefault="00C24569" w:rsidP="003C3CC6">
      <w:pPr>
        <w:jc w:val="both"/>
        <w:rPr>
          <w:rFonts w:ascii="Arial" w:hAnsi="Arial" w:cs="Arial"/>
          <w:sz w:val="20"/>
        </w:rPr>
      </w:pPr>
    </w:p>
    <w:p w14:paraId="206407E3" w14:textId="77777777" w:rsidR="00C24569" w:rsidRPr="00806B7F" w:rsidRDefault="00C24569" w:rsidP="003C3CC6">
      <w:pPr>
        <w:jc w:val="both"/>
        <w:rPr>
          <w:rFonts w:ascii="Arial" w:hAnsi="Arial" w:cs="Arial"/>
          <w:sz w:val="20"/>
        </w:rPr>
      </w:pPr>
      <w:r w:rsidRPr="00806B7F">
        <w:rPr>
          <w:rFonts w:ascii="Arial" w:hAnsi="Arial" w:cs="Arial"/>
          <w:sz w:val="20"/>
        </w:rPr>
        <w:t>Although the Authority does not have plans for new borrowing until 2026/27 it does currently hold £2.0m of loans as part of its strategy for funding previous years' capital programmes.</w:t>
      </w:r>
    </w:p>
    <w:p w14:paraId="388F609D" w14:textId="77777777" w:rsidR="00C24569" w:rsidRPr="00806B7F" w:rsidRDefault="00C24569" w:rsidP="003C3CC6">
      <w:pPr>
        <w:spacing w:line="259" w:lineRule="auto"/>
        <w:jc w:val="both"/>
        <w:rPr>
          <w:rFonts w:ascii="Arial" w:hAnsi="Arial" w:cs="Arial"/>
          <w:sz w:val="20"/>
        </w:rPr>
      </w:pPr>
    </w:p>
    <w:p w14:paraId="6F7A3602" w14:textId="77777777" w:rsidR="00C24569" w:rsidRPr="00806B7F" w:rsidRDefault="00C24569" w:rsidP="003C3CC6">
      <w:pPr>
        <w:jc w:val="both"/>
        <w:rPr>
          <w:rFonts w:ascii="Arial" w:hAnsi="Arial" w:cs="Arial"/>
          <w:b/>
          <w:sz w:val="20"/>
        </w:rPr>
      </w:pPr>
      <w:bookmarkStart w:id="4" w:name="_Hlk92367015"/>
      <w:r w:rsidRPr="00806B7F">
        <w:rPr>
          <w:rFonts w:ascii="Arial" w:hAnsi="Arial" w:cs="Arial"/>
          <w:b/>
          <w:sz w:val="20"/>
        </w:rPr>
        <w:t>Liability benchmark</w:t>
      </w:r>
    </w:p>
    <w:p w14:paraId="3E76D5CD" w14:textId="77777777" w:rsidR="00C24569" w:rsidRPr="00806B7F" w:rsidRDefault="00C24569" w:rsidP="003C3CC6">
      <w:pPr>
        <w:jc w:val="both"/>
        <w:rPr>
          <w:rFonts w:ascii="Arial" w:hAnsi="Arial" w:cs="Arial"/>
          <w:b/>
          <w:sz w:val="20"/>
        </w:rPr>
      </w:pPr>
    </w:p>
    <w:p w14:paraId="6FF4E2AD" w14:textId="77777777" w:rsidR="00C24569" w:rsidRPr="00806B7F" w:rsidRDefault="00C24569" w:rsidP="003C3CC6">
      <w:pPr>
        <w:jc w:val="both"/>
        <w:rPr>
          <w:rFonts w:ascii="Arial" w:hAnsi="Arial" w:cs="Arial"/>
          <w:sz w:val="20"/>
        </w:rPr>
      </w:pPr>
      <w:r w:rsidRPr="00806B7F">
        <w:rPr>
          <w:rFonts w:ascii="Arial" w:hAnsi="Arial" w:cs="Arial"/>
          <w:sz w:val="20"/>
        </w:rPr>
        <w:t>The liability benchmark is an indicator required by  the CIPFA Code. It looks to compare the Council’s actual borrowing requirements against an alternative strategy, a liability benchmark, which shows the minimum level of borrowing. This assumes the same forecasts as the table above, but that cash and investment balances are kept to a minimum level of £10m at each year-end to maintain sufficient liquidity but minimise credit risk. In addition it reflects the latest Capital Programme information which shows a borrowing requirement in 2026/27 and 2027/28.The liability benchmark is shown in the graph below:</w:t>
      </w:r>
    </w:p>
    <w:bookmarkEnd w:id="4"/>
    <w:p w14:paraId="20A8F272" w14:textId="77777777" w:rsidR="00C24569" w:rsidRPr="00806B7F" w:rsidRDefault="00C24569" w:rsidP="003C3CC6">
      <w:pPr>
        <w:jc w:val="both"/>
        <w:rPr>
          <w:rFonts w:ascii="Arial" w:hAnsi="Arial" w:cs="Arial"/>
          <w:sz w:val="20"/>
          <w:highlight w:val="yellow"/>
        </w:rPr>
      </w:pPr>
    </w:p>
    <w:p w14:paraId="0C69D2F6" w14:textId="77777777" w:rsidR="00C24569" w:rsidRPr="00806B7F" w:rsidRDefault="00C24569" w:rsidP="003C3CC6">
      <w:pPr>
        <w:spacing w:line="259" w:lineRule="auto"/>
        <w:ind w:left="34"/>
        <w:jc w:val="both"/>
        <w:rPr>
          <w:rFonts w:ascii="Arial" w:eastAsia="Calibri" w:hAnsi="Arial" w:cs="Arial"/>
          <w:i/>
          <w:iCs/>
          <w:color w:val="44546A"/>
          <w:sz w:val="20"/>
          <w:lang w:eastAsia="en-US"/>
        </w:rPr>
      </w:pPr>
      <w:r w:rsidRPr="00806B7F">
        <w:rPr>
          <w:rFonts w:ascii="Arial" w:eastAsia="Calibri" w:hAnsi="Arial" w:cs="Arial"/>
          <w:i/>
          <w:iCs/>
          <w:color w:val="44546A"/>
          <w:sz w:val="20"/>
          <w:lang w:eastAsia="en-US"/>
        </w:rPr>
        <w:t>Graph 1 showing Liability Benchmark and Borrowing Scenarios</w:t>
      </w:r>
    </w:p>
    <w:p w14:paraId="52CEEF26" w14:textId="77777777" w:rsidR="00C24569" w:rsidRPr="00806B7F" w:rsidRDefault="00C24569" w:rsidP="003C3CC6">
      <w:pPr>
        <w:spacing w:line="259" w:lineRule="auto"/>
        <w:ind w:left="34"/>
        <w:jc w:val="both"/>
        <w:rPr>
          <w:rFonts w:ascii="Arial" w:eastAsia="Calibri" w:hAnsi="Arial" w:cs="Arial"/>
          <w:i/>
          <w:iCs/>
          <w:color w:val="44546A"/>
          <w:sz w:val="20"/>
          <w:lang w:eastAsia="en-US"/>
        </w:rPr>
      </w:pPr>
    </w:p>
    <w:p w14:paraId="67B95F17" w14:textId="77777777" w:rsidR="00C24569" w:rsidRPr="00806B7F" w:rsidRDefault="00C24569" w:rsidP="00C24569">
      <w:pPr>
        <w:spacing w:line="259" w:lineRule="auto"/>
        <w:ind w:left="34"/>
        <w:rPr>
          <w:rFonts w:ascii="Arial" w:hAnsi="Arial" w:cs="Arial"/>
          <w:sz w:val="20"/>
          <w:highlight w:val="yellow"/>
        </w:rPr>
      </w:pPr>
      <w:r w:rsidRPr="00806B7F">
        <w:rPr>
          <w:rFonts w:ascii="Arial" w:hAnsi="Arial" w:cs="Arial"/>
          <w:noProof/>
          <w:sz w:val="20"/>
        </w:rPr>
        <w:drawing>
          <wp:inline distT="0" distB="0" distL="0" distR="0" wp14:anchorId="6C197430" wp14:editId="278B3F50">
            <wp:extent cx="6179820" cy="3164840"/>
            <wp:effectExtent l="0" t="0" r="11430" b="16510"/>
            <wp:docPr id="6" name="Chart 6">
              <a:extLst xmlns:a="http://schemas.openxmlformats.org/drawingml/2006/main">
                <a:ext uri="{FF2B5EF4-FFF2-40B4-BE49-F238E27FC236}">
                  <a16:creationId xmlns:a16="http://schemas.microsoft.com/office/drawing/2014/main" id="{B76A75CB-D34C-4FFC-9A61-76DA78008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1F0D6" w14:textId="77777777" w:rsidR="00C24569" w:rsidRPr="00806B7F" w:rsidRDefault="00C24569" w:rsidP="00C24569">
      <w:pPr>
        <w:spacing w:line="259" w:lineRule="auto"/>
        <w:ind w:left="34"/>
        <w:rPr>
          <w:rFonts w:ascii="Arial" w:hAnsi="Arial" w:cs="Arial"/>
          <w:sz w:val="20"/>
          <w:highlight w:val="yellow"/>
        </w:rPr>
      </w:pPr>
    </w:p>
    <w:p w14:paraId="0D0128C6" w14:textId="77777777" w:rsidR="00C24569" w:rsidRPr="00806B7F" w:rsidRDefault="00C24569" w:rsidP="00C24569">
      <w:pPr>
        <w:spacing w:line="259" w:lineRule="auto"/>
        <w:ind w:left="34"/>
        <w:rPr>
          <w:rFonts w:ascii="Arial" w:hAnsi="Arial" w:cs="Arial"/>
          <w:sz w:val="20"/>
          <w:highlight w:val="yellow"/>
        </w:rPr>
      </w:pPr>
    </w:p>
    <w:p w14:paraId="0085DE0B" w14:textId="77777777" w:rsidR="00C24569" w:rsidRPr="00806B7F" w:rsidRDefault="00C24569" w:rsidP="00C24569">
      <w:pPr>
        <w:pStyle w:val="Heading1"/>
        <w:ind w:left="29"/>
        <w:rPr>
          <w:rFonts w:ascii="Arial" w:hAnsi="Arial" w:cs="Arial"/>
          <w:b w:val="0"/>
          <w:bCs/>
          <w:sz w:val="20"/>
          <w:highlight w:val="yellow"/>
        </w:rPr>
      </w:pPr>
    </w:p>
    <w:p w14:paraId="2AA4029F" w14:textId="77777777" w:rsidR="00C24569" w:rsidRPr="00806B7F" w:rsidRDefault="00C24569" w:rsidP="003C3CC6">
      <w:pPr>
        <w:pStyle w:val="Heading1"/>
        <w:ind w:left="29"/>
        <w:rPr>
          <w:rFonts w:ascii="Arial" w:hAnsi="Arial" w:cs="Arial"/>
          <w:b w:val="0"/>
          <w:bCs/>
          <w:sz w:val="20"/>
        </w:rPr>
      </w:pPr>
      <w:r w:rsidRPr="00806B7F">
        <w:rPr>
          <w:rFonts w:ascii="Arial" w:hAnsi="Arial" w:cs="Arial"/>
          <w:b w:val="0"/>
          <w:bCs/>
          <w:sz w:val="20"/>
        </w:rPr>
        <w:t xml:space="preserve">The benchmark shows that from 2026/27 there is likely to be a </w:t>
      </w:r>
      <w:proofErr w:type="gramStart"/>
      <w:r w:rsidRPr="00806B7F">
        <w:rPr>
          <w:rFonts w:ascii="Arial" w:hAnsi="Arial" w:cs="Arial"/>
          <w:b w:val="0"/>
          <w:bCs/>
          <w:sz w:val="20"/>
        </w:rPr>
        <w:t>long term</w:t>
      </w:r>
      <w:proofErr w:type="gramEnd"/>
      <w:r w:rsidRPr="00806B7F">
        <w:rPr>
          <w:rFonts w:ascii="Arial" w:hAnsi="Arial" w:cs="Arial"/>
          <w:b w:val="0"/>
          <w:bCs/>
          <w:sz w:val="20"/>
        </w:rPr>
        <w:t xml:space="preserve"> requirement to borrow but that this does not necessarily have to be at the level of the loans CFR, which represents the maximum borrowing. The borrowing requirement is also reducing over time which may influence the length and type of borrowing to be taken.</w:t>
      </w:r>
    </w:p>
    <w:p w14:paraId="71055132" w14:textId="77777777" w:rsidR="00C24569" w:rsidRPr="00806B7F" w:rsidRDefault="00C24569" w:rsidP="003C3CC6">
      <w:pPr>
        <w:jc w:val="both"/>
        <w:rPr>
          <w:rFonts w:ascii="Arial" w:hAnsi="Arial" w:cs="Arial"/>
          <w:sz w:val="20"/>
        </w:rPr>
      </w:pPr>
    </w:p>
    <w:p w14:paraId="7408E2C9" w14:textId="77777777" w:rsidR="00C24569" w:rsidRPr="00806B7F" w:rsidRDefault="00C24569" w:rsidP="003C3CC6">
      <w:pPr>
        <w:pStyle w:val="Heading1"/>
        <w:ind w:left="29"/>
        <w:rPr>
          <w:rFonts w:ascii="Arial" w:hAnsi="Arial" w:cs="Arial"/>
          <w:sz w:val="20"/>
        </w:rPr>
      </w:pPr>
      <w:r w:rsidRPr="00806B7F">
        <w:rPr>
          <w:rFonts w:ascii="Arial" w:hAnsi="Arial" w:cs="Arial"/>
          <w:sz w:val="20"/>
        </w:rPr>
        <w:t xml:space="preserve">Borrowing Strategy </w:t>
      </w:r>
    </w:p>
    <w:p w14:paraId="13F125BE" w14:textId="77777777" w:rsidR="00C24569" w:rsidRPr="00806B7F" w:rsidRDefault="00C24569" w:rsidP="003C3CC6">
      <w:pPr>
        <w:jc w:val="both"/>
        <w:rPr>
          <w:rFonts w:ascii="Arial" w:hAnsi="Arial" w:cs="Arial"/>
          <w:sz w:val="20"/>
          <w:highlight w:val="yellow"/>
        </w:rPr>
      </w:pPr>
    </w:p>
    <w:p w14:paraId="2541B315" w14:textId="77777777" w:rsidR="00C24569" w:rsidRPr="00806B7F" w:rsidRDefault="00C24569" w:rsidP="003C3CC6">
      <w:pPr>
        <w:ind w:left="29" w:right="53"/>
        <w:jc w:val="both"/>
        <w:rPr>
          <w:rFonts w:ascii="Arial" w:hAnsi="Arial" w:cs="Arial"/>
          <w:sz w:val="20"/>
        </w:rPr>
      </w:pPr>
      <w:r w:rsidRPr="00806B7F">
        <w:rPr>
          <w:rFonts w:ascii="Arial" w:hAnsi="Arial" w:cs="Arial"/>
          <w:sz w:val="20"/>
        </w:rPr>
        <w:t>The draft Capital Programme implies there may be a requirement to use borrowing to fund the capital programme in the later years. At this stage it is extremely unlikely that borrowing will be required in 2023/24. However, it is still best practice to approve a borrowing strategy and a policy on borrowing in advance of need.  In considering a borrowing strategy the Authority needs to make provision to borrow short term to cover unexpected cash flow shortages or to cover any change in the financing of its Capital Programme.</w:t>
      </w:r>
    </w:p>
    <w:p w14:paraId="647FE3ED" w14:textId="77777777" w:rsidR="00C24569" w:rsidRPr="00806B7F" w:rsidRDefault="00C24569" w:rsidP="003C3CC6">
      <w:pPr>
        <w:ind w:left="29" w:right="53"/>
        <w:jc w:val="both"/>
        <w:rPr>
          <w:rFonts w:ascii="Arial" w:hAnsi="Arial" w:cs="Arial"/>
          <w:sz w:val="20"/>
          <w:highlight w:val="yellow"/>
        </w:rPr>
      </w:pPr>
    </w:p>
    <w:p w14:paraId="1957D6E3"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In the past the Authority has raised </w:t>
      </w:r>
      <w:proofErr w:type="gramStart"/>
      <w:r w:rsidRPr="00806B7F">
        <w:rPr>
          <w:rFonts w:ascii="Arial" w:hAnsi="Arial" w:cs="Arial"/>
          <w:sz w:val="20"/>
        </w:rPr>
        <w:t>all of</w:t>
      </w:r>
      <w:proofErr w:type="gramEnd"/>
      <w:r w:rsidRPr="00806B7F">
        <w:rPr>
          <w:rFonts w:ascii="Arial" w:hAnsi="Arial" w:cs="Arial"/>
          <w:sz w:val="20"/>
        </w:rPr>
        <w:t xml:space="preserve"> its long-term borrowing from the Public Works Loan Board, but if long term borrowing was required other sources of finance, such as local authority loans, and bank loans, would be investigated that may be available at more favourable rates. </w:t>
      </w:r>
    </w:p>
    <w:p w14:paraId="59DB897F" w14:textId="77777777" w:rsidR="00C24569" w:rsidRPr="00806B7F" w:rsidRDefault="00C24569" w:rsidP="003C3CC6">
      <w:pPr>
        <w:ind w:left="29" w:right="53"/>
        <w:jc w:val="both"/>
        <w:rPr>
          <w:rFonts w:ascii="Arial" w:hAnsi="Arial" w:cs="Arial"/>
          <w:sz w:val="20"/>
          <w:highlight w:val="yellow"/>
        </w:rPr>
      </w:pPr>
    </w:p>
    <w:p w14:paraId="5636AE78" w14:textId="77777777" w:rsidR="00C24569" w:rsidRPr="00806B7F" w:rsidRDefault="00C24569" w:rsidP="003C3CC6">
      <w:pPr>
        <w:ind w:left="29" w:right="53"/>
        <w:jc w:val="both"/>
        <w:rPr>
          <w:rFonts w:ascii="Arial" w:hAnsi="Arial" w:cs="Arial"/>
          <w:sz w:val="20"/>
        </w:rPr>
      </w:pPr>
      <w:proofErr w:type="gramStart"/>
      <w:r w:rsidRPr="00806B7F">
        <w:rPr>
          <w:rFonts w:ascii="Arial" w:hAnsi="Arial" w:cs="Arial"/>
          <w:sz w:val="20"/>
        </w:rPr>
        <w:t>Short term</w:t>
      </w:r>
      <w:proofErr w:type="gramEnd"/>
      <w:r w:rsidRPr="00806B7F">
        <w:rPr>
          <w:rFonts w:ascii="Arial" w:hAnsi="Arial" w:cs="Arial"/>
          <w:sz w:val="20"/>
        </w:rPr>
        <w:t xml:space="preserve"> borrowing if required would most likely be taken from other local authorities.</w:t>
      </w:r>
    </w:p>
    <w:p w14:paraId="0AD00990"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6A0B963A"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Therefore, the approved sources of long-term and short-term borrowing are: </w:t>
      </w:r>
    </w:p>
    <w:p w14:paraId="598F22C2" w14:textId="77777777" w:rsidR="00C24569" w:rsidRPr="00806B7F" w:rsidRDefault="00C24569" w:rsidP="003C3CC6">
      <w:pPr>
        <w:spacing w:after="8" w:line="259" w:lineRule="auto"/>
        <w:ind w:left="34"/>
        <w:jc w:val="both"/>
        <w:rPr>
          <w:rFonts w:ascii="Arial" w:hAnsi="Arial" w:cs="Arial"/>
          <w:sz w:val="20"/>
        </w:rPr>
      </w:pPr>
      <w:r w:rsidRPr="00806B7F">
        <w:rPr>
          <w:rFonts w:ascii="Arial" w:hAnsi="Arial" w:cs="Arial"/>
          <w:sz w:val="20"/>
        </w:rPr>
        <w:t xml:space="preserve"> </w:t>
      </w:r>
    </w:p>
    <w:p w14:paraId="633557B2"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Public Works Loan Board </w:t>
      </w:r>
    </w:p>
    <w:p w14:paraId="10724519"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UK local authorities </w:t>
      </w:r>
    </w:p>
    <w:p w14:paraId="0AD1861C"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any institution approved for investments  </w:t>
      </w:r>
    </w:p>
    <w:p w14:paraId="2312923A"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any other bank or building society authorised by the Prudential Regulation Authority to operate in the UK </w:t>
      </w:r>
    </w:p>
    <w:p w14:paraId="1A807B70" w14:textId="77777777" w:rsidR="00C24569" w:rsidRPr="00806B7F" w:rsidRDefault="00C24569" w:rsidP="003C3CC6">
      <w:pPr>
        <w:numPr>
          <w:ilvl w:val="0"/>
          <w:numId w:val="13"/>
        </w:numPr>
        <w:spacing w:after="5" w:line="249" w:lineRule="auto"/>
        <w:ind w:right="53" w:hanging="360"/>
        <w:jc w:val="both"/>
        <w:rPr>
          <w:rFonts w:ascii="Arial" w:hAnsi="Arial" w:cs="Arial"/>
          <w:sz w:val="20"/>
        </w:rPr>
      </w:pPr>
      <w:r w:rsidRPr="00806B7F">
        <w:rPr>
          <w:rFonts w:ascii="Arial" w:hAnsi="Arial" w:cs="Arial"/>
          <w:sz w:val="20"/>
        </w:rPr>
        <w:t xml:space="preserve">UK public and private sector pension funds  </w:t>
      </w:r>
    </w:p>
    <w:p w14:paraId="4E0C2C49" w14:textId="77777777" w:rsidR="00C24569" w:rsidRPr="00806B7F" w:rsidRDefault="00C24569" w:rsidP="003C3CC6">
      <w:pPr>
        <w:jc w:val="both"/>
        <w:rPr>
          <w:rFonts w:ascii="Arial" w:hAnsi="Arial" w:cs="Arial"/>
          <w:sz w:val="20"/>
        </w:rPr>
      </w:pPr>
    </w:p>
    <w:p w14:paraId="440BD9FD" w14:textId="77777777" w:rsidR="00C24569" w:rsidRPr="00806B7F" w:rsidRDefault="00C24569" w:rsidP="003C3CC6">
      <w:pPr>
        <w:pStyle w:val="Heading1"/>
        <w:ind w:left="29"/>
        <w:rPr>
          <w:rFonts w:ascii="Arial" w:hAnsi="Arial" w:cs="Arial"/>
          <w:sz w:val="20"/>
        </w:rPr>
      </w:pPr>
      <w:r w:rsidRPr="00806B7F">
        <w:rPr>
          <w:rFonts w:ascii="Arial" w:hAnsi="Arial" w:cs="Arial"/>
          <w:sz w:val="20"/>
        </w:rPr>
        <w:t xml:space="preserve">Policy on Borrowing in Advance of Need </w:t>
      </w:r>
    </w:p>
    <w:p w14:paraId="15B6A737"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b/>
          <w:sz w:val="20"/>
        </w:rPr>
        <w:t xml:space="preserve"> </w:t>
      </w:r>
    </w:p>
    <w:p w14:paraId="1B399677"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In line with the Prudential Code  the Authority will not borrow purely </w:t>
      </w:r>
      <w:proofErr w:type="gramStart"/>
      <w:r w:rsidRPr="00806B7F">
        <w:rPr>
          <w:rFonts w:ascii="Arial" w:hAnsi="Arial" w:cs="Arial"/>
          <w:sz w:val="20"/>
        </w:rPr>
        <w:t>in order to</w:t>
      </w:r>
      <w:proofErr w:type="gramEnd"/>
      <w:r w:rsidRPr="00806B7F">
        <w:rPr>
          <w:rFonts w:ascii="Arial" w:hAnsi="Arial" w:cs="Arial"/>
          <w:sz w:val="20"/>
        </w:rPr>
        <w:t xml:space="preserve"> profit from the investment of the extra sums borrowed. However advance borrowing may be taken if it is considered that current rates are more favourable than future rates and that this advantage outweighs the cost of carrying advance borrowing. Any decision to borrow in advance will be considered carefully to ensure value for money can be demonstrated and that the Authority can ensure the security of such funds and relationships. </w:t>
      </w:r>
    </w:p>
    <w:p w14:paraId="0B4E1086" w14:textId="77777777" w:rsidR="00C24569" w:rsidRPr="00806B7F" w:rsidRDefault="00C24569" w:rsidP="00C24569">
      <w:pPr>
        <w:spacing w:line="259" w:lineRule="auto"/>
        <w:ind w:left="34"/>
        <w:rPr>
          <w:rFonts w:ascii="Arial" w:hAnsi="Arial" w:cs="Arial"/>
          <w:sz w:val="20"/>
        </w:rPr>
      </w:pPr>
      <w:r w:rsidRPr="00806B7F">
        <w:rPr>
          <w:rFonts w:ascii="Arial" w:hAnsi="Arial" w:cs="Arial"/>
          <w:sz w:val="20"/>
        </w:rPr>
        <w:t xml:space="preserve"> </w:t>
      </w:r>
    </w:p>
    <w:p w14:paraId="4CDCAE7C" w14:textId="77777777" w:rsidR="00C24569" w:rsidRPr="00806B7F" w:rsidRDefault="00C24569" w:rsidP="00C24569">
      <w:pPr>
        <w:ind w:left="29" w:right="53"/>
        <w:rPr>
          <w:rFonts w:ascii="Arial" w:hAnsi="Arial" w:cs="Arial"/>
          <w:sz w:val="20"/>
        </w:rPr>
      </w:pPr>
      <w:r w:rsidRPr="00806B7F">
        <w:rPr>
          <w:rFonts w:ascii="Arial" w:hAnsi="Arial" w:cs="Arial"/>
          <w:sz w:val="20"/>
        </w:rPr>
        <w:t xml:space="preserve">In determining whether borrowing will be undertaken in advance of need the authority will:- </w:t>
      </w:r>
    </w:p>
    <w:p w14:paraId="491EA1AA" w14:textId="77777777" w:rsidR="00C24569" w:rsidRPr="00806B7F" w:rsidRDefault="00C24569" w:rsidP="00C24569">
      <w:pPr>
        <w:spacing w:after="8" w:line="259" w:lineRule="auto"/>
        <w:ind w:left="34"/>
        <w:rPr>
          <w:rFonts w:ascii="Arial" w:hAnsi="Arial" w:cs="Arial"/>
          <w:sz w:val="20"/>
        </w:rPr>
      </w:pPr>
      <w:r w:rsidRPr="00806B7F">
        <w:rPr>
          <w:rFonts w:ascii="Arial" w:hAnsi="Arial" w:cs="Arial"/>
          <w:sz w:val="20"/>
        </w:rPr>
        <w:t xml:space="preserve"> </w:t>
      </w:r>
    </w:p>
    <w:p w14:paraId="372CCFB3" w14:textId="77777777" w:rsidR="00C24569" w:rsidRPr="00806B7F" w:rsidRDefault="00C24569" w:rsidP="00C24569">
      <w:pPr>
        <w:numPr>
          <w:ilvl w:val="0"/>
          <w:numId w:val="14"/>
        </w:numPr>
        <w:spacing w:after="5" w:line="249" w:lineRule="auto"/>
        <w:ind w:right="53" w:hanging="360"/>
        <w:jc w:val="both"/>
        <w:rPr>
          <w:rFonts w:ascii="Arial" w:hAnsi="Arial" w:cs="Arial"/>
          <w:sz w:val="20"/>
        </w:rPr>
      </w:pPr>
      <w:r w:rsidRPr="00806B7F">
        <w:rPr>
          <w:rFonts w:ascii="Arial" w:hAnsi="Arial" w:cs="Arial"/>
          <w:sz w:val="20"/>
        </w:rPr>
        <w:t xml:space="preserve">Ensure that there is a clear link between the capital programme and the maturity profile of the existing debt portfolio which supports the need to take funding in advance of need. </w:t>
      </w:r>
    </w:p>
    <w:p w14:paraId="4D28D0CE" w14:textId="77777777" w:rsidR="00C24569" w:rsidRPr="00806B7F" w:rsidRDefault="00C24569" w:rsidP="00C24569">
      <w:pPr>
        <w:numPr>
          <w:ilvl w:val="0"/>
          <w:numId w:val="14"/>
        </w:numPr>
        <w:spacing w:after="5" w:line="249" w:lineRule="auto"/>
        <w:ind w:right="53" w:hanging="360"/>
        <w:jc w:val="both"/>
        <w:rPr>
          <w:rFonts w:ascii="Arial" w:hAnsi="Arial" w:cs="Arial"/>
          <w:sz w:val="20"/>
        </w:rPr>
      </w:pPr>
      <w:r w:rsidRPr="00806B7F">
        <w:rPr>
          <w:rFonts w:ascii="Arial" w:hAnsi="Arial" w:cs="Arial"/>
          <w:sz w:val="20"/>
        </w:rPr>
        <w:t xml:space="preserve">Ensure the on-going revenue liabilities created, and the implications for the </w:t>
      </w:r>
      <w:proofErr w:type="gramStart"/>
      <w:r w:rsidRPr="00806B7F">
        <w:rPr>
          <w:rFonts w:ascii="Arial" w:hAnsi="Arial" w:cs="Arial"/>
          <w:sz w:val="20"/>
        </w:rPr>
        <w:t>future plans</w:t>
      </w:r>
      <w:proofErr w:type="gramEnd"/>
      <w:r w:rsidRPr="00806B7F">
        <w:rPr>
          <w:rFonts w:ascii="Arial" w:hAnsi="Arial" w:cs="Arial"/>
          <w:sz w:val="20"/>
        </w:rPr>
        <w:t xml:space="preserve"> and budgets have been considered. </w:t>
      </w:r>
    </w:p>
    <w:p w14:paraId="31DF5351" w14:textId="77777777" w:rsidR="00C24569" w:rsidRPr="00806B7F" w:rsidRDefault="00C24569" w:rsidP="00C24569">
      <w:pPr>
        <w:numPr>
          <w:ilvl w:val="0"/>
          <w:numId w:val="14"/>
        </w:numPr>
        <w:spacing w:after="5" w:line="249" w:lineRule="auto"/>
        <w:ind w:right="53" w:hanging="360"/>
        <w:jc w:val="both"/>
        <w:rPr>
          <w:rFonts w:ascii="Arial" w:hAnsi="Arial" w:cs="Arial"/>
          <w:sz w:val="20"/>
        </w:rPr>
      </w:pPr>
      <w:r w:rsidRPr="00806B7F">
        <w:rPr>
          <w:rFonts w:ascii="Arial" w:hAnsi="Arial" w:cs="Arial"/>
          <w:sz w:val="20"/>
        </w:rPr>
        <w:t xml:space="preserve">Evaluate the economic and market factors that might influence the manner and timing of any decision to borrow. </w:t>
      </w:r>
    </w:p>
    <w:p w14:paraId="5F8C1427" w14:textId="77777777" w:rsidR="00C24569" w:rsidRPr="00806B7F" w:rsidRDefault="00C24569" w:rsidP="00C24569">
      <w:pPr>
        <w:numPr>
          <w:ilvl w:val="0"/>
          <w:numId w:val="14"/>
        </w:numPr>
        <w:spacing w:after="5" w:line="249" w:lineRule="auto"/>
        <w:ind w:right="53" w:hanging="360"/>
        <w:jc w:val="both"/>
        <w:rPr>
          <w:rFonts w:ascii="Arial" w:hAnsi="Arial" w:cs="Arial"/>
          <w:sz w:val="20"/>
        </w:rPr>
      </w:pPr>
      <w:r w:rsidRPr="00806B7F">
        <w:rPr>
          <w:rFonts w:ascii="Arial" w:hAnsi="Arial" w:cs="Arial"/>
          <w:sz w:val="20"/>
        </w:rPr>
        <w:t xml:space="preserve">Consider the merits and demerits of alternative forms of funding. </w:t>
      </w:r>
    </w:p>
    <w:p w14:paraId="1BEE122F" w14:textId="77777777" w:rsidR="00C24569" w:rsidRPr="00806B7F" w:rsidRDefault="00C24569" w:rsidP="00C24569">
      <w:pPr>
        <w:numPr>
          <w:ilvl w:val="0"/>
          <w:numId w:val="14"/>
        </w:numPr>
        <w:spacing w:after="5" w:line="249" w:lineRule="auto"/>
        <w:ind w:right="53" w:hanging="360"/>
        <w:jc w:val="both"/>
        <w:rPr>
          <w:rFonts w:ascii="Arial" w:hAnsi="Arial" w:cs="Arial"/>
          <w:sz w:val="20"/>
        </w:rPr>
      </w:pPr>
      <w:r w:rsidRPr="00806B7F">
        <w:rPr>
          <w:rFonts w:ascii="Arial" w:hAnsi="Arial" w:cs="Arial"/>
          <w:sz w:val="20"/>
        </w:rPr>
        <w:t xml:space="preserve">Consider the alternative interest rate bases available, the most appropriate periods to fund and repayment profiles to use. </w:t>
      </w:r>
    </w:p>
    <w:p w14:paraId="173C4BC6" w14:textId="77777777" w:rsidR="00C24569" w:rsidRPr="00806B7F" w:rsidRDefault="00C24569" w:rsidP="00C24569">
      <w:pPr>
        <w:spacing w:line="259" w:lineRule="auto"/>
        <w:ind w:left="754"/>
        <w:rPr>
          <w:rFonts w:ascii="Arial" w:hAnsi="Arial" w:cs="Arial"/>
          <w:sz w:val="20"/>
          <w:highlight w:val="yellow"/>
        </w:rPr>
      </w:pPr>
    </w:p>
    <w:p w14:paraId="7F33B554" w14:textId="77777777" w:rsidR="00C24569" w:rsidRPr="00806B7F" w:rsidRDefault="00C24569" w:rsidP="00C24569">
      <w:pPr>
        <w:spacing w:line="259" w:lineRule="auto"/>
        <w:ind w:left="754" w:hanging="754"/>
        <w:rPr>
          <w:rFonts w:ascii="Arial" w:hAnsi="Arial" w:cs="Arial"/>
          <w:b/>
          <w:sz w:val="20"/>
        </w:rPr>
      </w:pPr>
      <w:r w:rsidRPr="00806B7F">
        <w:rPr>
          <w:rFonts w:ascii="Arial" w:hAnsi="Arial" w:cs="Arial"/>
          <w:b/>
          <w:sz w:val="20"/>
        </w:rPr>
        <w:t xml:space="preserve">Debt Restructuring </w:t>
      </w:r>
    </w:p>
    <w:p w14:paraId="7DC065E0" w14:textId="77777777" w:rsidR="00C24569" w:rsidRPr="00806B7F" w:rsidRDefault="00C24569" w:rsidP="00C24569">
      <w:pPr>
        <w:spacing w:line="259" w:lineRule="auto"/>
        <w:ind w:left="754" w:hanging="754"/>
        <w:rPr>
          <w:rFonts w:ascii="Arial" w:hAnsi="Arial" w:cs="Arial"/>
          <w:b/>
          <w:sz w:val="20"/>
        </w:rPr>
      </w:pPr>
    </w:p>
    <w:p w14:paraId="59114712" w14:textId="77777777" w:rsidR="00C24569" w:rsidRPr="00806B7F" w:rsidRDefault="00C24569" w:rsidP="003C3CC6">
      <w:pPr>
        <w:jc w:val="both"/>
        <w:rPr>
          <w:rFonts w:ascii="Arial" w:hAnsi="Arial" w:cs="Arial"/>
          <w:sz w:val="20"/>
        </w:rPr>
      </w:pPr>
      <w:r w:rsidRPr="00806B7F">
        <w:rPr>
          <w:rFonts w:ascii="Arial" w:hAnsi="Arial" w:cs="Arial"/>
          <w:sz w:val="20"/>
        </w:rPr>
        <w:t xml:space="preserve">The Authorities debt has arisen </w:t>
      </w:r>
      <w:proofErr w:type="gramStart"/>
      <w:r w:rsidRPr="00806B7F">
        <w:rPr>
          <w:rFonts w:ascii="Arial" w:hAnsi="Arial" w:cs="Arial"/>
          <w:sz w:val="20"/>
        </w:rPr>
        <w:t>as a result of</w:t>
      </w:r>
      <w:proofErr w:type="gramEnd"/>
      <w:r w:rsidRPr="00806B7F">
        <w:rPr>
          <w:rFonts w:ascii="Arial" w:hAnsi="Arial" w:cs="Arial"/>
          <w:sz w:val="20"/>
        </w:rPr>
        <w:t xml:space="preserve"> prior years' capital investment decisions. It has not taken any new borrowing out since 2007 as it has been utilising cash balances to pay off debt as it matures, or when deemed appropriate with the authority making early payment of debt. The anticipated holding of debt at 31 March 2022 is £2.0m. All the debt is from the Public Works Loans Board (PWLB) and is all at fixed rates of interest and is repayable on maturity. The table below shows the maturity profile and interest rate applicable on these:-</w:t>
      </w:r>
    </w:p>
    <w:p w14:paraId="06E071C2" w14:textId="77777777" w:rsidR="00C24569" w:rsidRPr="00806B7F" w:rsidRDefault="00C24569" w:rsidP="003C3CC6">
      <w:pPr>
        <w:jc w:val="both"/>
        <w:rPr>
          <w:rFonts w:ascii="Arial" w:hAnsi="Arial" w:cs="Arial"/>
          <w:sz w:val="20"/>
        </w:rPr>
      </w:pPr>
    </w:p>
    <w:p w14:paraId="6B78C863"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6 Outstanding Loans</w:t>
      </w:r>
    </w:p>
    <w:tbl>
      <w:tblPr>
        <w:tblStyle w:val="TableGrid"/>
        <w:tblW w:w="0" w:type="auto"/>
        <w:tblInd w:w="108" w:type="dxa"/>
        <w:tblLook w:val="04A0" w:firstRow="1" w:lastRow="0" w:firstColumn="1" w:lastColumn="0" w:noHBand="0" w:noVBand="1"/>
      </w:tblPr>
      <w:tblGrid>
        <w:gridCol w:w="1695"/>
        <w:gridCol w:w="2161"/>
        <w:gridCol w:w="1673"/>
      </w:tblGrid>
      <w:tr w:rsidR="00C24569" w:rsidRPr="00806B7F" w14:paraId="7B087EC3" w14:textId="77777777" w:rsidTr="00A369A1">
        <w:tc>
          <w:tcPr>
            <w:tcW w:w="1695" w:type="dxa"/>
          </w:tcPr>
          <w:p w14:paraId="13AC5E8D" w14:textId="77777777" w:rsidR="00C24569" w:rsidRPr="00806B7F" w:rsidRDefault="00C24569" w:rsidP="00A369A1">
            <w:pPr>
              <w:rPr>
                <w:rFonts w:ascii="Arial" w:hAnsi="Arial" w:cs="Arial"/>
                <w:noProof/>
                <w:sz w:val="20"/>
              </w:rPr>
            </w:pPr>
            <w:r w:rsidRPr="00806B7F">
              <w:rPr>
                <w:rFonts w:ascii="Arial" w:hAnsi="Arial" w:cs="Arial"/>
                <w:noProof/>
                <w:sz w:val="20"/>
              </w:rPr>
              <w:t xml:space="preserve">Loan Amount </w:t>
            </w:r>
          </w:p>
        </w:tc>
        <w:tc>
          <w:tcPr>
            <w:tcW w:w="2161" w:type="dxa"/>
          </w:tcPr>
          <w:p w14:paraId="56B3FFF1" w14:textId="77777777" w:rsidR="00C24569" w:rsidRPr="00806B7F" w:rsidRDefault="00C24569" w:rsidP="00A369A1">
            <w:pPr>
              <w:rPr>
                <w:rFonts w:ascii="Arial" w:hAnsi="Arial" w:cs="Arial"/>
                <w:noProof/>
                <w:sz w:val="20"/>
              </w:rPr>
            </w:pPr>
            <w:r w:rsidRPr="00806B7F">
              <w:rPr>
                <w:rFonts w:ascii="Arial" w:hAnsi="Arial" w:cs="Arial"/>
                <w:noProof/>
                <w:sz w:val="20"/>
              </w:rPr>
              <w:t>Maturity Date</w:t>
            </w:r>
          </w:p>
        </w:tc>
        <w:tc>
          <w:tcPr>
            <w:tcW w:w="1673" w:type="dxa"/>
          </w:tcPr>
          <w:p w14:paraId="526EADA5" w14:textId="77777777" w:rsidR="00C24569" w:rsidRPr="00806B7F" w:rsidRDefault="00C24569" w:rsidP="00A369A1">
            <w:pPr>
              <w:jc w:val="center"/>
              <w:rPr>
                <w:rFonts w:ascii="Arial" w:hAnsi="Arial" w:cs="Arial"/>
                <w:noProof/>
                <w:sz w:val="20"/>
              </w:rPr>
            </w:pPr>
            <w:r w:rsidRPr="00806B7F">
              <w:rPr>
                <w:rFonts w:ascii="Arial" w:hAnsi="Arial" w:cs="Arial"/>
                <w:noProof/>
                <w:sz w:val="20"/>
              </w:rPr>
              <w:t>Interest rate</w:t>
            </w:r>
          </w:p>
        </w:tc>
      </w:tr>
      <w:tr w:rsidR="00C24569" w:rsidRPr="00806B7F" w14:paraId="46505252" w14:textId="77777777" w:rsidTr="00A369A1">
        <w:tc>
          <w:tcPr>
            <w:tcW w:w="1695" w:type="dxa"/>
          </w:tcPr>
          <w:p w14:paraId="0FF3E74B" w14:textId="77777777" w:rsidR="00C24569" w:rsidRPr="00806B7F" w:rsidRDefault="00C24569" w:rsidP="00A369A1">
            <w:pPr>
              <w:rPr>
                <w:rFonts w:ascii="Arial" w:hAnsi="Arial" w:cs="Arial"/>
                <w:noProof/>
                <w:sz w:val="20"/>
              </w:rPr>
            </w:pPr>
            <w:r w:rsidRPr="00806B7F">
              <w:rPr>
                <w:rFonts w:ascii="Arial" w:hAnsi="Arial" w:cs="Arial"/>
                <w:noProof/>
                <w:sz w:val="20"/>
              </w:rPr>
              <w:t>£650k</w:t>
            </w:r>
          </w:p>
        </w:tc>
        <w:tc>
          <w:tcPr>
            <w:tcW w:w="2161" w:type="dxa"/>
          </w:tcPr>
          <w:p w14:paraId="1AFCE3D1" w14:textId="77777777" w:rsidR="00C24569" w:rsidRPr="00806B7F" w:rsidRDefault="00C24569" w:rsidP="00A369A1">
            <w:pPr>
              <w:rPr>
                <w:rFonts w:ascii="Arial" w:hAnsi="Arial" w:cs="Arial"/>
                <w:noProof/>
                <w:sz w:val="20"/>
              </w:rPr>
            </w:pPr>
            <w:r w:rsidRPr="00806B7F">
              <w:rPr>
                <w:rFonts w:ascii="Arial" w:hAnsi="Arial" w:cs="Arial"/>
                <w:noProof/>
                <w:sz w:val="20"/>
              </w:rPr>
              <w:t>December 2035</w:t>
            </w:r>
          </w:p>
        </w:tc>
        <w:tc>
          <w:tcPr>
            <w:tcW w:w="1673" w:type="dxa"/>
          </w:tcPr>
          <w:p w14:paraId="72BC8BE9" w14:textId="77777777" w:rsidR="00C24569" w:rsidRPr="00806B7F" w:rsidRDefault="00C24569" w:rsidP="00A369A1">
            <w:pPr>
              <w:jc w:val="center"/>
              <w:rPr>
                <w:rFonts w:ascii="Arial" w:hAnsi="Arial" w:cs="Arial"/>
                <w:noProof/>
                <w:sz w:val="20"/>
              </w:rPr>
            </w:pPr>
            <w:r w:rsidRPr="00806B7F">
              <w:rPr>
                <w:rFonts w:ascii="Arial" w:hAnsi="Arial" w:cs="Arial"/>
                <w:noProof/>
                <w:sz w:val="20"/>
              </w:rPr>
              <w:t>4.49%</w:t>
            </w:r>
          </w:p>
        </w:tc>
      </w:tr>
      <w:tr w:rsidR="00C24569" w:rsidRPr="00806B7F" w14:paraId="44352E32" w14:textId="77777777" w:rsidTr="00A369A1">
        <w:tc>
          <w:tcPr>
            <w:tcW w:w="1695" w:type="dxa"/>
          </w:tcPr>
          <w:p w14:paraId="1272E431" w14:textId="77777777" w:rsidR="00C24569" w:rsidRPr="00806B7F" w:rsidRDefault="00C24569" w:rsidP="00A369A1">
            <w:pPr>
              <w:rPr>
                <w:rFonts w:ascii="Arial" w:hAnsi="Arial" w:cs="Arial"/>
                <w:noProof/>
                <w:sz w:val="20"/>
              </w:rPr>
            </w:pPr>
            <w:r w:rsidRPr="00806B7F">
              <w:rPr>
                <w:rFonts w:ascii="Arial" w:hAnsi="Arial" w:cs="Arial"/>
                <w:noProof/>
                <w:sz w:val="20"/>
              </w:rPr>
              <w:t>£650k</w:t>
            </w:r>
          </w:p>
        </w:tc>
        <w:tc>
          <w:tcPr>
            <w:tcW w:w="2161" w:type="dxa"/>
          </w:tcPr>
          <w:p w14:paraId="5CA8DB74" w14:textId="77777777" w:rsidR="00C24569" w:rsidRPr="00806B7F" w:rsidRDefault="00C24569" w:rsidP="00A369A1">
            <w:pPr>
              <w:rPr>
                <w:rFonts w:ascii="Arial" w:hAnsi="Arial" w:cs="Arial"/>
                <w:noProof/>
                <w:sz w:val="20"/>
              </w:rPr>
            </w:pPr>
            <w:r w:rsidRPr="00806B7F">
              <w:rPr>
                <w:rFonts w:ascii="Arial" w:hAnsi="Arial" w:cs="Arial"/>
                <w:noProof/>
                <w:sz w:val="20"/>
              </w:rPr>
              <w:t>June 2036</w:t>
            </w:r>
          </w:p>
        </w:tc>
        <w:tc>
          <w:tcPr>
            <w:tcW w:w="1673" w:type="dxa"/>
          </w:tcPr>
          <w:p w14:paraId="54F7DF0F" w14:textId="77777777" w:rsidR="00C24569" w:rsidRPr="00806B7F" w:rsidRDefault="00C24569" w:rsidP="00A369A1">
            <w:pPr>
              <w:jc w:val="center"/>
              <w:rPr>
                <w:rFonts w:ascii="Arial" w:hAnsi="Arial" w:cs="Arial"/>
                <w:noProof/>
                <w:sz w:val="20"/>
              </w:rPr>
            </w:pPr>
            <w:r w:rsidRPr="00806B7F">
              <w:rPr>
                <w:rFonts w:ascii="Arial" w:hAnsi="Arial" w:cs="Arial"/>
                <w:noProof/>
                <w:sz w:val="20"/>
              </w:rPr>
              <w:t>4.49%</w:t>
            </w:r>
          </w:p>
        </w:tc>
      </w:tr>
      <w:tr w:rsidR="00C24569" w:rsidRPr="00806B7F" w14:paraId="7C7B3E4C" w14:textId="77777777" w:rsidTr="00A369A1">
        <w:tc>
          <w:tcPr>
            <w:tcW w:w="1695" w:type="dxa"/>
          </w:tcPr>
          <w:p w14:paraId="473A15A5" w14:textId="77777777" w:rsidR="00C24569" w:rsidRPr="00806B7F" w:rsidRDefault="00C24569" w:rsidP="00A369A1">
            <w:pPr>
              <w:rPr>
                <w:rFonts w:ascii="Arial" w:hAnsi="Arial" w:cs="Arial"/>
                <w:noProof/>
                <w:sz w:val="20"/>
              </w:rPr>
            </w:pPr>
            <w:r w:rsidRPr="00806B7F">
              <w:rPr>
                <w:rFonts w:ascii="Arial" w:hAnsi="Arial" w:cs="Arial"/>
                <w:noProof/>
                <w:sz w:val="20"/>
              </w:rPr>
              <w:t>£700k</w:t>
            </w:r>
          </w:p>
        </w:tc>
        <w:tc>
          <w:tcPr>
            <w:tcW w:w="2161" w:type="dxa"/>
          </w:tcPr>
          <w:p w14:paraId="1A5D40D9" w14:textId="77777777" w:rsidR="00C24569" w:rsidRPr="00806B7F" w:rsidRDefault="00C24569" w:rsidP="00A369A1">
            <w:pPr>
              <w:rPr>
                <w:rFonts w:ascii="Arial" w:hAnsi="Arial" w:cs="Arial"/>
                <w:noProof/>
                <w:sz w:val="20"/>
              </w:rPr>
            </w:pPr>
            <w:r w:rsidRPr="00806B7F">
              <w:rPr>
                <w:rFonts w:ascii="Arial" w:hAnsi="Arial" w:cs="Arial"/>
                <w:noProof/>
                <w:sz w:val="20"/>
              </w:rPr>
              <w:t>June 2037</w:t>
            </w:r>
          </w:p>
        </w:tc>
        <w:tc>
          <w:tcPr>
            <w:tcW w:w="1673" w:type="dxa"/>
          </w:tcPr>
          <w:p w14:paraId="068D7983" w14:textId="77777777" w:rsidR="00C24569" w:rsidRPr="00806B7F" w:rsidRDefault="00C24569" w:rsidP="00A369A1">
            <w:pPr>
              <w:jc w:val="center"/>
              <w:rPr>
                <w:rFonts w:ascii="Arial" w:hAnsi="Arial" w:cs="Arial"/>
                <w:noProof/>
                <w:sz w:val="20"/>
              </w:rPr>
            </w:pPr>
            <w:r w:rsidRPr="00806B7F">
              <w:rPr>
                <w:rFonts w:ascii="Arial" w:hAnsi="Arial" w:cs="Arial"/>
                <w:noProof/>
                <w:sz w:val="20"/>
              </w:rPr>
              <w:t>4.48%</w:t>
            </w:r>
          </w:p>
        </w:tc>
      </w:tr>
    </w:tbl>
    <w:p w14:paraId="1F11F427" w14:textId="77777777" w:rsidR="00C24569" w:rsidRPr="00806B7F" w:rsidRDefault="00C24569" w:rsidP="00C24569">
      <w:pPr>
        <w:rPr>
          <w:rFonts w:ascii="Arial" w:hAnsi="Arial" w:cs="Arial"/>
          <w:sz w:val="20"/>
        </w:rPr>
      </w:pPr>
    </w:p>
    <w:p w14:paraId="0ED05077" w14:textId="77777777" w:rsidR="00C24569" w:rsidRPr="00806B7F" w:rsidRDefault="00C24569" w:rsidP="003C3CC6">
      <w:pPr>
        <w:jc w:val="both"/>
        <w:rPr>
          <w:rFonts w:ascii="Arial" w:hAnsi="Arial" w:cs="Arial"/>
          <w:sz w:val="20"/>
        </w:rPr>
      </w:pPr>
      <w:r w:rsidRPr="00806B7F">
        <w:rPr>
          <w:rFonts w:ascii="Arial" w:hAnsi="Arial" w:cs="Arial"/>
          <w:sz w:val="20"/>
        </w:rPr>
        <w:t>(Note, this debt was taken out in 2007 when the base rate was 5.75% and when the Authority was earning 5.84% return on its investments.)</w:t>
      </w:r>
    </w:p>
    <w:p w14:paraId="68ABA5F7" w14:textId="77777777" w:rsidR="00C24569" w:rsidRPr="00806B7F" w:rsidRDefault="00C24569" w:rsidP="003C3CC6">
      <w:pPr>
        <w:jc w:val="both"/>
        <w:rPr>
          <w:rFonts w:ascii="Arial" w:hAnsi="Arial" w:cs="Arial"/>
          <w:sz w:val="20"/>
        </w:rPr>
      </w:pPr>
    </w:p>
    <w:p w14:paraId="1C0AF28A" w14:textId="77777777" w:rsidR="00C24569" w:rsidRPr="00806B7F" w:rsidRDefault="00C24569" w:rsidP="003C3CC6">
      <w:pPr>
        <w:jc w:val="both"/>
        <w:rPr>
          <w:rFonts w:ascii="Arial" w:hAnsi="Arial" w:cs="Arial"/>
          <w:sz w:val="20"/>
        </w:rPr>
      </w:pPr>
      <w:r w:rsidRPr="00806B7F">
        <w:rPr>
          <w:rFonts w:ascii="Arial" w:hAnsi="Arial" w:cs="Arial"/>
          <w:sz w:val="20"/>
        </w:rPr>
        <w:t>Given the change in interest rates, the opportunities for debt repayment/restructuring have been reconsidered.</w:t>
      </w:r>
    </w:p>
    <w:p w14:paraId="6B074AA2" w14:textId="77777777" w:rsidR="00C24569" w:rsidRPr="00806B7F" w:rsidRDefault="00C24569" w:rsidP="003C3CC6">
      <w:pPr>
        <w:jc w:val="both"/>
        <w:rPr>
          <w:rFonts w:ascii="Arial" w:hAnsi="Arial" w:cs="Arial"/>
          <w:sz w:val="20"/>
          <w:highlight w:val="yellow"/>
        </w:rPr>
      </w:pPr>
    </w:p>
    <w:p w14:paraId="11C71307" w14:textId="77777777" w:rsidR="00C24569" w:rsidRPr="00806B7F" w:rsidRDefault="00C24569" w:rsidP="003C3CC6">
      <w:pPr>
        <w:spacing w:line="259" w:lineRule="auto"/>
        <w:jc w:val="both"/>
        <w:rPr>
          <w:rFonts w:ascii="Arial" w:hAnsi="Arial" w:cs="Arial"/>
          <w:sz w:val="20"/>
        </w:rPr>
      </w:pPr>
      <w:r w:rsidRPr="00806B7F">
        <w:rPr>
          <w:rFonts w:ascii="Arial" w:hAnsi="Arial" w:cs="Arial"/>
          <w:sz w:val="20"/>
        </w:rPr>
        <w:t xml:space="preserve">The level of penalty applicable on early repayment of loans now stands at £0.199m. (As previously reported the level of penalty is dependent upon two factors, the difference between the interest chargeable on the loan and current interest rates, the greater this difference the greater the penalty, and the length to maturity, the greater the remaining time of the loan the greater the penalty. Hence as interest rates increase or as loans get closer to maturity the level of penalty will reduce.) </w:t>
      </w:r>
    </w:p>
    <w:p w14:paraId="1D31B5DB" w14:textId="77777777" w:rsidR="00C24569" w:rsidRPr="00806B7F" w:rsidRDefault="00C24569" w:rsidP="003C3CC6">
      <w:pPr>
        <w:spacing w:line="259" w:lineRule="auto"/>
        <w:jc w:val="both"/>
        <w:rPr>
          <w:rFonts w:ascii="Arial" w:hAnsi="Arial" w:cs="Arial"/>
          <w:sz w:val="20"/>
        </w:rPr>
      </w:pPr>
    </w:p>
    <w:p w14:paraId="171A62E2" w14:textId="77777777" w:rsidR="00C24569" w:rsidRPr="00806B7F" w:rsidRDefault="00C24569" w:rsidP="003C3CC6">
      <w:pPr>
        <w:spacing w:line="259" w:lineRule="auto"/>
        <w:jc w:val="both"/>
        <w:rPr>
          <w:rFonts w:ascii="Arial" w:hAnsi="Arial" w:cs="Arial"/>
          <w:sz w:val="20"/>
        </w:rPr>
      </w:pPr>
      <w:r w:rsidRPr="00806B7F">
        <w:rPr>
          <w:rFonts w:ascii="Arial" w:hAnsi="Arial" w:cs="Arial"/>
          <w:sz w:val="20"/>
        </w:rPr>
        <w:t xml:space="preserve">Outstanding interest payable between now and maturity is £1.228m. </w:t>
      </w:r>
    </w:p>
    <w:p w14:paraId="6A504726" w14:textId="77777777" w:rsidR="00C24569" w:rsidRPr="00806B7F" w:rsidRDefault="00C24569" w:rsidP="00C24569">
      <w:pPr>
        <w:rPr>
          <w:rFonts w:ascii="Arial" w:hAnsi="Arial" w:cs="Arial"/>
          <w:sz w:val="20"/>
        </w:rPr>
      </w:pPr>
    </w:p>
    <w:p w14:paraId="24C66ED9"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7 Implications of Repaying Loans</w:t>
      </w:r>
    </w:p>
    <w:tbl>
      <w:tblPr>
        <w:tblStyle w:val="TableGrid"/>
        <w:tblW w:w="0" w:type="auto"/>
        <w:tblLook w:val="04A0" w:firstRow="1" w:lastRow="0" w:firstColumn="1" w:lastColumn="0" w:noHBand="0" w:noVBand="1"/>
      </w:tblPr>
      <w:tblGrid>
        <w:gridCol w:w="4219"/>
        <w:gridCol w:w="1134"/>
      </w:tblGrid>
      <w:tr w:rsidR="00C24569" w:rsidRPr="00806B7F" w14:paraId="51060651" w14:textId="77777777" w:rsidTr="00A369A1">
        <w:tc>
          <w:tcPr>
            <w:tcW w:w="4219" w:type="dxa"/>
          </w:tcPr>
          <w:p w14:paraId="6B973FD7" w14:textId="77777777" w:rsidR="00C24569" w:rsidRPr="00806B7F" w:rsidRDefault="00C24569" w:rsidP="00A369A1">
            <w:pPr>
              <w:spacing w:line="259" w:lineRule="auto"/>
              <w:rPr>
                <w:rFonts w:ascii="Arial" w:hAnsi="Arial" w:cs="Arial"/>
                <w:sz w:val="20"/>
              </w:rPr>
            </w:pPr>
            <w:r w:rsidRPr="00806B7F">
              <w:rPr>
                <w:rFonts w:ascii="Arial" w:hAnsi="Arial" w:cs="Arial"/>
                <w:sz w:val="20"/>
              </w:rPr>
              <w:t>Penalty incurred</w:t>
            </w:r>
          </w:p>
        </w:tc>
        <w:tc>
          <w:tcPr>
            <w:tcW w:w="1134" w:type="dxa"/>
          </w:tcPr>
          <w:p w14:paraId="2479001C"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0.199</w:t>
            </w:r>
          </w:p>
        </w:tc>
      </w:tr>
      <w:tr w:rsidR="00C24569" w:rsidRPr="00806B7F" w14:paraId="347F0053" w14:textId="77777777" w:rsidTr="00A369A1">
        <w:tc>
          <w:tcPr>
            <w:tcW w:w="4219" w:type="dxa"/>
          </w:tcPr>
          <w:p w14:paraId="6F2D2A97" w14:textId="77777777" w:rsidR="00C24569" w:rsidRPr="00806B7F" w:rsidRDefault="00C24569" w:rsidP="00A369A1">
            <w:pPr>
              <w:spacing w:line="259" w:lineRule="auto"/>
              <w:rPr>
                <w:rFonts w:ascii="Arial" w:hAnsi="Arial" w:cs="Arial"/>
                <w:sz w:val="20"/>
              </w:rPr>
            </w:pPr>
            <w:r w:rsidRPr="00806B7F">
              <w:rPr>
                <w:rFonts w:ascii="Arial" w:hAnsi="Arial" w:cs="Arial"/>
                <w:sz w:val="20"/>
              </w:rPr>
              <w:t>Savings on interest payable</w:t>
            </w:r>
          </w:p>
        </w:tc>
        <w:tc>
          <w:tcPr>
            <w:tcW w:w="1134" w:type="dxa"/>
          </w:tcPr>
          <w:p w14:paraId="32C7C28A"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(1.228)</w:t>
            </w:r>
          </w:p>
        </w:tc>
      </w:tr>
      <w:tr w:rsidR="00C24569" w:rsidRPr="00806B7F" w14:paraId="19DEE901" w14:textId="77777777" w:rsidTr="00A369A1">
        <w:tc>
          <w:tcPr>
            <w:tcW w:w="4219" w:type="dxa"/>
          </w:tcPr>
          <w:p w14:paraId="073C41FA" w14:textId="77777777" w:rsidR="00C24569" w:rsidRPr="00806B7F" w:rsidRDefault="00C24569" w:rsidP="00A369A1">
            <w:pPr>
              <w:spacing w:line="259" w:lineRule="auto"/>
              <w:rPr>
                <w:rFonts w:ascii="Arial" w:hAnsi="Arial" w:cs="Arial"/>
                <w:sz w:val="20"/>
              </w:rPr>
            </w:pPr>
            <w:r w:rsidRPr="00806B7F">
              <w:rPr>
                <w:rFonts w:ascii="Arial" w:hAnsi="Arial" w:cs="Arial"/>
                <w:sz w:val="20"/>
              </w:rPr>
              <w:t>Gross Saving</w:t>
            </w:r>
          </w:p>
        </w:tc>
        <w:tc>
          <w:tcPr>
            <w:tcW w:w="1134" w:type="dxa"/>
          </w:tcPr>
          <w:p w14:paraId="2DBBD4C9"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(1.029)</w:t>
            </w:r>
          </w:p>
        </w:tc>
      </w:tr>
    </w:tbl>
    <w:p w14:paraId="179D97DE" w14:textId="77777777" w:rsidR="00C24569" w:rsidRPr="00806B7F" w:rsidRDefault="00C24569" w:rsidP="00C24569">
      <w:pPr>
        <w:spacing w:line="259" w:lineRule="auto"/>
        <w:rPr>
          <w:rFonts w:ascii="Arial" w:hAnsi="Arial" w:cs="Arial"/>
          <w:sz w:val="20"/>
        </w:rPr>
      </w:pPr>
    </w:p>
    <w:p w14:paraId="13D7E496" w14:textId="77777777" w:rsidR="00C24569" w:rsidRPr="00806B7F" w:rsidRDefault="00C24569" w:rsidP="003C3CC6">
      <w:pPr>
        <w:spacing w:line="259" w:lineRule="auto"/>
        <w:jc w:val="both"/>
        <w:rPr>
          <w:rFonts w:ascii="Arial" w:hAnsi="Arial" w:cs="Arial"/>
          <w:sz w:val="20"/>
        </w:rPr>
      </w:pPr>
      <w:r w:rsidRPr="00806B7F">
        <w:rPr>
          <w:rFonts w:ascii="Arial" w:hAnsi="Arial" w:cs="Arial"/>
          <w:sz w:val="20"/>
        </w:rPr>
        <w:t xml:space="preserve">However as highlighted previously, any early repayment means that cash balances available for investment will be reduced and hence interest receivable will also be reduced. The extent of which is dependent upon future interest rates. It is estimated that if interest rate on investments </w:t>
      </w:r>
      <w:proofErr w:type="gramStart"/>
      <w:r w:rsidRPr="00806B7F">
        <w:rPr>
          <w:rFonts w:ascii="Arial" w:hAnsi="Arial" w:cs="Arial"/>
          <w:sz w:val="20"/>
        </w:rPr>
        <w:t>are</w:t>
      </w:r>
      <w:proofErr w:type="gramEnd"/>
      <w:r w:rsidRPr="00806B7F">
        <w:rPr>
          <w:rFonts w:ascii="Arial" w:hAnsi="Arial" w:cs="Arial"/>
          <w:sz w:val="20"/>
        </w:rPr>
        <w:t xml:space="preserve"> at 3.43% over the remaining period of the loan then repaying the loans now will be broadly neutral.  </w:t>
      </w:r>
    </w:p>
    <w:p w14:paraId="5C69062A" w14:textId="77777777" w:rsidR="00C24569" w:rsidRPr="00806B7F" w:rsidRDefault="00C24569" w:rsidP="003C3CC6">
      <w:pPr>
        <w:spacing w:line="259" w:lineRule="auto"/>
        <w:jc w:val="both"/>
        <w:rPr>
          <w:rFonts w:ascii="Arial" w:hAnsi="Arial" w:cs="Arial"/>
          <w:sz w:val="20"/>
        </w:rPr>
      </w:pPr>
    </w:p>
    <w:p w14:paraId="441E5186" w14:textId="54BEE8DE" w:rsidR="00C24569" w:rsidRPr="00806B7F" w:rsidRDefault="00C24569" w:rsidP="003C3CC6">
      <w:pPr>
        <w:spacing w:line="259" w:lineRule="auto"/>
        <w:jc w:val="both"/>
        <w:rPr>
          <w:rFonts w:ascii="Arial" w:hAnsi="Arial" w:cs="Arial"/>
          <w:sz w:val="20"/>
        </w:rPr>
      </w:pPr>
      <w:r w:rsidRPr="00806B7F">
        <w:rPr>
          <w:rFonts w:ascii="Arial" w:hAnsi="Arial" w:cs="Arial"/>
          <w:sz w:val="20"/>
        </w:rPr>
        <w:t>It is also worth noting that the capital budget does allow for additional borrowing within the next 5 years. Current long-term borrowing rates are 4.85% for a 20-year loan and 4.46% for a 50-year loan, both of which exceed the breakeven position noted above. Hence given the penalties it is considered beneficial to retain these loans.</w:t>
      </w:r>
    </w:p>
    <w:p w14:paraId="5A2A5A78" w14:textId="77777777" w:rsidR="00C24569" w:rsidRPr="00806B7F" w:rsidRDefault="00C24569" w:rsidP="003C3CC6">
      <w:pPr>
        <w:jc w:val="both"/>
        <w:rPr>
          <w:rFonts w:ascii="Arial" w:hAnsi="Arial" w:cs="Arial"/>
          <w:sz w:val="20"/>
        </w:rPr>
      </w:pPr>
    </w:p>
    <w:p w14:paraId="25DD90CD" w14:textId="77777777" w:rsidR="00C24569" w:rsidRPr="00806B7F" w:rsidRDefault="00C24569" w:rsidP="00C24569">
      <w:pPr>
        <w:pStyle w:val="Heading1"/>
        <w:ind w:left="29"/>
        <w:rPr>
          <w:rFonts w:ascii="Arial" w:hAnsi="Arial" w:cs="Arial"/>
          <w:sz w:val="20"/>
        </w:rPr>
      </w:pPr>
      <w:r w:rsidRPr="00806B7F">
        <w:rPr>
          <w:rFonts w:ascii="Arial" w:hAnsi="Arial" w:cs="Arial"/>
          <w:sz w:val="20"/>
        </w:rPr>
        <w:t xml:space="preserve">Investment Strategy </w:t>
      </w:r>
    </w:p>
    <w:p w14:paraId="4008CED5" w14:textId="77777777" w:rsidR="00C24569" w:rsidRPr="00806B7F" w:rsidRDefault="00C24569" w:rsidP="00C24569">
      <w:pPr>
        <w:spacing w:line="259" w:lineRule="auto"/>
        <w:ind w:left="34"/>
        <w:rPr>
          <w:rFonts w:ascii="Arial" w:hAnsi="Arial" w:cs="Arial"/>
          <w:sz w:val="20"/>
        </w:rPr>
      </w:pPr>
      <w:r w:rsidRPr="00806B7F">
        <w:rPr>
          <w:rFonts w:ascii="Arial" w:hAnsi="Arial" w:cs="Arial"/>
          <w:b/>
          <w:sz w:val="20"/>
        </w:rPr>
        <w:t xml:space="preserve"> </w:t>
      </w:r>
    </w:p>
    <w:p w14:paraId="2CF38A5C" w14:textId="77777777" w:rsidR="00C24569" w:rsidRPr="00806B7F" w:rsidRDefault="00C24569" w:rsidP="003C3CC6">
      <w:pPr>
        <w:ind w:left="29" w:right="53"/>
        <w:jc w:val="both"/>
        <w:rPr>
          <w:rFonts w:ascii="Arial" w:hAnsi="Arial" w:cs="Arial"/>
          <w:sz w:val="20"/>
        </w:rPr>
      </w:pPr>
      <w:r w:rsidRPr="00806B7F">
        <w:rPr>
          <w:rFonts w:ascii="Arial" w:hAnsi="Arial" w:cs="Arial"/>
          <w:sz w:val="20"/>
        </w:rPr>
        <w:t>At 31</w:t>
      </w:r>
      <w:r w:rsidRPr="00806B7F">
        <w:rPr>
          <w:rFonts w:ascii="Arial" w:hAnsi="Arial" w:cs="Arial"/>
          <w:sz w:val="20"/>
          <w:vertAlign w:val="superscript"/>
        </w:rPr>
        <w:t>st</w:t>
      </w:r>
      <w:r w:rsidRPr="00806B7F">
        <w:rPr>
          <w:rFonts w:ascii="Arial" w:hAnsi="Arial" w:cs="Arial"/>
          <w:sz w:val="20"/>
        </w:rPr>
        <w:t xml:space="preserve"> December 2022 the Authority held £35.7m invested funds, representing income received in advance of expenditure plus existing balances and reserves.  During the year the Authority’s investment balance has ranged between £26.7m and £46.9m. The variation arises principally due to the timing of the receipt of government grants. It is anticipated that there will be reduced cash levels in the forthcoming year, due to a drawdown in reserves to finance capital expenditure. </w:t>
      </w:r>
    </w:p>
    <w:p w14:paraId="160FC21E" w14:textId="77777777" w:rsidR="00C24569" w:rsidRPr="00806B7F" w:rsidRDefault="00C24569" w:rsidP="003C3CC6">
      <w:pPr>
        <w:ind w:left="29" w:right="53"/>
        <w:jc w:val="both"/>
        <w:rPr>
          <w:rFonts w:ascii="Arial" w:hAnsi="Arial" w:cs="Arial"/>
          <w:sz w:val="20"/>
          <w:highlight w:val="yellow"/>
        </w:rPr>
      </w:pPr>
    </w:p>
    <w:p w14:paraId="7596B271" w14:textId="77777777" w:rsidR="00C24569" w:rsidRPr="00806B7F" w:rsidRDefault="00C24569" w:rsidP="003C3CC6">
      <w:pPr>
        <w:ind w:left="29" w:right="53"/>
        <w:jc w:val="both"/>
        <w:rPr>
          <w:rFonts w:ascii="Arial" w:hAnsi="Arial" w:cs="Arial"/>
          <w:sz w:val="20"/>
        </w:rPr>
      </w:pPr>
      <w:r w:rsidRPr="00806B7F">
        <w:rPr>
          <w:rFonts w:ascii="Arial" w:hAnsi="Arial" w:cs="Arial"/>
          <w:sz w:val="20"/>
        </w:rPr>
        <w:t>Both the CIPFA Code and government guidance require the Authority to invest its funds prudently, and to have regard to the security and liquidity of its investments before seeking the highest rate of return, or yield.  The Authority’s objective when investing money is to strike an appropriate balance between risk and return, minimising the risk of incurring losses from defaults and the risk receiving unsuitably low investment income.</w:t>
      </w:r>
    </w:p>
    <w:p w14:paraId="31488613"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464C4578"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Therefore in line with the guidance the Treasury Management Strategy is developed to ensure the Fire Authority will only use very </w:t>
      </w:r>
      <w:proofErr w:type="gramStart"/>
      <w:r w:rsidRPr="00806B7F">
        <w:rPr>
          <w:rFonts w:ascii="Arial" w:hAnsi="Arial" w:cs="Arial"/>
          <w:sz w:val="20"/>
        </w:rPr>
        <w:t>high quality</w:t>
      </w:r>
      <w:proofErr w:type="gramEnd"/>
      <w:r w:rsidRPr="00806B7F">
        <w:rPr>
          <w:rFonts w:ascii="Arial" w:hAnsi="Arial" w:cs="Arial"/>
          <w:sz w:val="20"/>
        </w:rPr>
        <w:t xml:space="preserve"> counterparties for investments.</w:t>
      </w:r>
    </w:p>
    <w:p w14:paraId="7711D9C4" w14:textId="77777777" w:rsidR="00C24569" w:rsidRPr="00806B7F" w:rsidRDefault="00C24569" w:rsidP="003C3CC6">
      <w:pPr>
        <w:ind w:left="29" w:right="53"/>
        <w:jc w:val="both"/>
        <w:rPr>
          <w:rFonts w:ascii="Arial" w:hAnsi="Arial" w:cs="Arial"/>
          <w:sz w:val="20"/>
          <w:highlight w:val="yellow"/>
        </w:rPr>
      </w:pPr>
    </w:p>
    <w:p w14:paraId="02DC37DB"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 Authority may invest its surplus funds with any of the counterparties in the table below, subject to the cash and time limits shown.  </w:t>
      </w:r>
    </w:p>
    <w:p w14:paraId="55578594" w14:textId="77777777" w:rsidR="00C24569" w:rsidRPr="00806B7F" w:rsidRDefault="00C24569" w:rsidP="003C3CC6">
      <w:pPr>
        <w:jc w:val="both"/>
        <w:rPr>
          <w:rFonts w:ascii="Arial" w:hAnsi="Arial" w:cs="Arial"/>
          <w:sz w:val="20"/>
        </w:rPr>
      </w:pPr>
    </w:p>
    <w:p w14:paraId="19AC6160"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hAnsi="Arial" w:cs="Arial"/>
          <w:sz w:val="20"/>
        </w:rPr>
        <w:t xml:space="preserve"> </w:t>
      </w:r>
      <w:r w:rsidRPr="00806B7F">
        <w:rPr>
          <w:rFonts w:ascii="Arial" w:eastAsia="Calibri" w:hAnsi="Arial" w:cs="Arial"/>
          <w:i/>
          <w:iCs/>
          <w:color w:val="44546A"/>
          <w:sz w:val="20"/>
          <w:lang w:eastAsia="en-US"/>
        </w:rPr>
        <w:t>Table 8 Investment Counterparties</w:t>
      </w:r>
    </w:p>
    <w:tbl>
      <w:tblPr>
        <w:tblStyle w:val="TableGrid0"/>
        <w:tblW w:w="8930" w:type="dxa"/>
        <w:tblInd w:w="317" w:type="dxa"/>
        <w:tblCellMar>
          <w:right w:w="21" w:type="dxa"/>
        </w:tblCellMar>
        <w:tblLook w:val="04A0" w:firstRow="1" w:lastRow="0" w:firstColumn="1" w:lastColumn="0" w:noHBand="0" w:noVBand="1"/>
      </w:tblPr>
      <w:tblGrid>
        <w:gridCol w:w="5642"/>
        <w:gridCol w:w="699"/>
        <w:gridCol w:w="1233"/>
        <w:gridCol w:w="1356"/>
      </w:tblGrid>
      <w:tr w:rsidR="00C24569" w:rsidRPr="00806B7F" w14:paraId="50F4AAD6" w14:textId="77777777" w:rsidTr="00A369A1">
        <w:trPr>
          <w:trHeight w:val="392"/>
        </w:trPr>
        <w:tc>
          <w:tcPr>
            <w:tcW w:w="5642" w:type="dxa"/>
            <w:tcBorders>
              <w:top w:val="single" w:sz="4" w:space="0" w:color="000000"/>
              <w:left w:val="single" w:sz="4" w:space="0" w:color="000000"/>
              <w:bottom w:val="single" w:sz="4" w:space="0" w:color="000000"/>
              <w:right w:val="nil"/>
            </w:tcBorders>
            <w:vAlign w:val="center"/>
          </w:tcPr>
          <w:p w14:paraId="05206BDB"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b/>
                <w:sz w:val="20"/>
                <w:szCs w:val="20"/>
              </w:rPr>
              <w:t xml:space="preserve">Counterparty </w:t>
            </w:r>
          </w:p>
        </w:tc>
        <w:tc>
          <w:tcPr>
            <w:tcW w:w="699" w:type="dxa"/>
            <w:tcBorders>
              <w:top w:val="single" w:sz="4" w:space="0" w:color="000000"/>
              <w:left w:val="nil"/>
              <w:bottom w:val="single" w:sz="4" w:space="0" w:color="000000"/>
              <w:right w:val="single" w:sz="4" w:space="0" w:color="000000"/>
            </w:tcBorders>
          </w:tcPr>
          <w:p w14:paraId="47D66B14" w14:textId="77777777" w:rsidR="00C24569" w:rsidRPr="00806B7F" w:rsidRDefault="00C24569" w:rsidP="00A369A1">
            <w:pPr>
              <w:spacing w:after="160" w:line="259" w:lineRule="auto"/>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7D6B2CA" w14:textId="77777777" w:rsidR="00C24569" w:rsidRPr="00806B7F" w:rsidRDefault="00C24569" w:rsidP="00A369A1">
            <w:pPr>
              <w:spacing w:line="259" w:lineRule="auto"/>
              <w:ind w:left="120"/>
              <w:rPr>
                <w:rFonts w:ascii="Arial" w:hAnsi="Arial" w:cs="Arial"/>
                <w:sz w:val="20"/>
                <w:szCs w:val="20"/>
              </w:rPr>
            </w:pPr>
            <w:r w:rsidRPr="00806B7F">
              <w:rPr>
                <w:rFonts w:ascii="Arial" w:hAnsi="Arial" w:cs="Arial"/>
                <w:b/>
                <w:sz w:val="20"/>
                <w:szCs w:val="20"/>
              </w:rPr>
              <w:t xml:space="preserve">Cash limit </w:t>
            </w:r>
          </w:p>
        </w:tc>
        <w:tc>
          <w:tcPr>
            <w:tcW w:w="1356" w:type="dxa"/>
            <w:tcBorders>
              <w:top w:val="single" w:sz="4" w:space="0" w:color="000000"/>
              <w:left w:val="single" w:sz="4" w:space="0" w:color="000000"/>
              <w:bottom w:val="single" w:sz="4" w:space="0" w:color="000000"/>
              <w:right w:val="single" w:sz="4" w:space="0" w:color="000000"/>
            </w:tcBorders>
            <w:vAlign w:val="center"/>
          </w:tcPr>
          <w:p w14:paraId="52959EA9" w14:textId="77777777" w:rsidR="00C24569" w:rsidRPr="00806B7F" w:rsidRDefault="00C24569" w:rsidP="00A369A1">
            <w:pPr>
              <w:spacing w:line="259" w:lineRule="auto"/>
              <w:ind w:left="120"/>
              <w:jc w:val="center"/>
              <w:rPr>
                <w:rFonts w:ascii="Arial" w:hAnsi="Arial" w:cs="Arial"/>
                <w:b/>
                <w:sz w:val="20"/>
                <w:szCs w:val="20"/>
              </w:rPr>
            </w:pPr>
            <w:r w:rsidRPr="00806B7F">
              <w:rPr>
                <w:rFonts w:ascii="Arial" w:hAnsi="Arial" w:cs="Arial"/>
                <w:b/>
                <w:sz w:val="20"/>
                <w:szCs w:val="20"/>
              </w:rPr>
              <w:t xml:space="preserve">Time limit </w:t>
            </w:r>
          </w:p>
        </w:tc>
      </w:tr>
      <w:tr w:rsidR="00C24569" w:rsidRPr="00806B7F" w14:paraId="5084A714" w14:textId="77777777" w:rsidTr="00A369A1">
        <w:trPr>
          <w:trHeight w:val="350"/>
        </w:trPr>
        <w:tc>
          <w:tcPr>
            <w:tcW w:w="5642" w:type="dxa"/>
            <w:vMerge w:val="restart"/>
            <w:tcBorders>
              <w:top w:val="single" w:sz="4" w:space="0" w:color="000000"/>
              <w:left w:val="single" w:sz="4" w:space="0" w:color="000000"/>
              <w:bottom w:val="single" w:sz="4" w:space="0" w:color="000000"/>
              <w:right w:val="single" w:sz="4" w:space="0" w:color="000000"/>
            </w:tcBorders>
            <w:vAlign w:val="center"/>
          </w:tcPr>
          <w:p w14:paraId="554AADBB"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 xml:space="preserve">Banks and other organisations and securities whose      lowest published long-term credit rating from Fitch, Moody’s and Standard &amp; Poor’s is: </w:t>
            </w:r>
          </w:p>
        </w:tc>
        <w:tc>
          <w:tcPr>
            <w:tcW w:w="699" w:type="dxa"/>
            <w:tcBorders>
              <w:top w:val="single" w:sz="4" w:space="0" w:color="000000"/>
              <w:left w:val="single" w:sz="4" w:space="0" w:color="000000"/>
              <w:bottom w:val="single" w:sz="4" w:space="0" w:color="000000"/>
              <w:right w:val="single" w:sz="4" w:space="0" w:color="000000"/>
            </w:tcBorders>
          </w:tcPr>
          <w:p w14:paraId="2CF7BE8B"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AAA</w:t>
            </w:r>
          </w:p>
        </w:tc>
        <w:tc>
          <w:tcPr>
            <w:tcW w:w="1233" w:type="dxa"/>
            <w:vMerge w:val="restart"/>
            <w:tcBorders>
              <w:top w:val="single" w:sz="4" w:space="0" w:color="000000"/>
              <w:left w:val="single" w:sz="4" w:space="0" w:color="000000"/>
              <w:bottom w:val="single" w:sz="4" w:space="0" w:color="000000"/>
              <w:right w:val="single" w:sz="4" w:space="0" w:color="000000"/>
            </w:tcBorders>
            <w:vAlign w:val="center"/>
          </w:tcPr>
          <w:p w14:paraId="3755ABA5"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£5m each</w:t>
            </w:r>
          </w:p>
        </w:tc>
        <w:tc>
          <w:tcPr>
            <w:tcW w:w="1356" w:type="dxa"/>
            <w:tcBorders>
              <w:top w:val="single" w:sz="4" w:space="0" w:color="000000"/>
              <w:left w:val="single" w:sz="4" w:space="0" w:color="000000"/>
              <w:bottom w:val="single" w:sz="4" w:space="0" w:color="000000"/>
              <w:right w:val="single" w:sz="4" w:space="0" w:color="000000"/>
            </w:tcBorders>
            <w:vAlign w:val="center"/>
          </w:tcPr>
          <w:p w14:paraId="6CA6A7EA"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5 years</w:t>
            </w:r>
          </w:p>
        </w:tc>
      </w:tr>
      <w:tr w:rsidR="00C24569" w:rsidRPr="00806B7F" w14:paraId="4B24FEC0" w14:textId="77777777" w:rsidTr="00A369A1">
        <w:trPr>
          <w:trHeight w:val="350"/>
        </w:trPr>
        <w:tc>
          <w:tcPr>
            <w:tcW w:w="5642" w:type="dxa"/>
            <w:vMerge/>
            <w:tcBorders>
              <w:top w:val="nil"/>
              <w:left w:val="single" w:sz="4" w:space="0" w:color="000000"/>
              <w:bottom w:val="nil"/>
              <w:right w:val="single" w:sz="4" w:space="0" w:color="000000"/>
            </w:tcBorders>
          </w:tcPr>
          <w:p w14:paraId="0C0A99D6" w14:textId="77777777" w:rsidR="00C24569" w:rsidRPr="00806B7F" w:rsidRDefault="00C24569" w:rsidP="00A369A1">
            <w:pPr>
              <w:spacing w:after="160" w:line="259" w:lineRule="auto"/>
              <w:rPr>
                <w:rFonts w:ascii="Arial" w:hAnsi="Arial" w:cs="Arial"/>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0DBC6BFB"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AA+</w:t>
            </w:r>
          </w:p>
        </w:tc>
        <w:tc>
          <w:tcPr>
            <w:tcW w:w="1233" w:type="dxa"/>
            <w:vMerge/>
            <w:tcBorders>
              <w:top w:val="nil"/>
              <w:left w:val="single" w:sz="4" w:space="0" w:color="000000"/>
              <w:bottom w:val="nil"/>
              <w:right w:val="single" w:sz="4" w:space="0" w:color="000000"/>
            </w:tcBorders>
          </w:tcPr>
          <w:p w14:paraId="1087295E" w14:textId="77777777" w:rsidR="00C24569" w:rsidRPr="00806B7F" w:rsidRDefault="00C24569" w:rsidP="00A369A1">
            <w:pPr>
              <w:spacing w:after="160" w:line="259" w:lineRule="auto"/>
              <w:jc w:val="center"/>
              <w:rPr>
                <w:rFonts w:ascii="Arial" w:hAnsi="Arial" w:cs="Arial"/>
                <w:sz w:val="20"/>
                <w:szCs w:val="2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C4AC2EE"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3 years</w:t>
            </w:r>
          </w:p>
        </w:tc>
      </w:tr>
      <w:tr w:rsidR="00C24569" w:rsidRPr="00806B7F" w14:paraId="311D3F8C" w14:textId="77777777" w:rsidTr="00A369A1">
        <w:trPr>
          <w:trHeight w:val="350"/>
        </w:trPr>
        <w:tc>
          <w:tcPr>
            <w:tcW w:w="5642" w:type="dxa"/>
            <w:vMerge/>
            <w:tcBorders>
              <w:top w:val="nil"/>
              <w:left w:val="single" w:sz="4" w:space="0" w:color="000000"/>
              <w:bottom w:val="nil"/>
              <w:right w:val="single" w:sz="4" w:space="0" w:color="000000"/>
            </w:tcBorders>
          </w:tcPr>
          <w:p w14:paraId="654DE0DE" w14:textId="77777777" w:rsidR="00C24569" w:rsidRPr="00806B7F" w:rsidRDefault="00C24569" w:rsidP="00A369A1">
            <w:pPr>
              <w:spacing w:after="160" w:line="259" w:lineRule="auto"/>
              <w:rPr>
                <w:rFonts w:ascii="Arial" w:hAnsi="Arial" w:cs="Arial"/>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77B88BAC" w14:textId="77777777" w:rsidR="00C24569" w:rsidRPr="00806B7F" w:rsidRDefault="00C24569" w:rsidP="00A369A1">
            <w:pPr>
              <w:spacing w:line="259" w:lineRule="auto"/>
              <w:ind w:left="22"/>
              <w:jc w:val="center"/>
              <w:rPr>
                <w:rFonts w:ascii="Arial" w:hAnsi="Arial" w:cs="Arial"/>
                <w:sz w:val="20"/>
                <w:szCs w:val="20"/>
              </w:rPr>
            </w:pPr>
            <w:r w:rsidRPr="00806B7F">
              <w:rPr>
                <w:rFonts w:ascii="Arial" w:hAnsi="Arial" w:cs="Arial"/>
                <w:sz w:val="20"/>
                <w:szCs w:val="20"/>
              </w:rPr>
              <w:t>AA</w:t>
            </w:r>
          </w:p>
        </w:tc>
        <w:tc>
          <w:tcPr>
            <w:tcW w:w="1233" w:type="dxa"/>
            <w:vMerge/>
            <w:tcBorders>
              <w:top w:val="nil"/>
              <w:left w:val="single" w:sz="4" w:space="0" w:color="000000"/>
              <w:bottom w:val="nil"/>
              <w:right w:val="single" w:sz="4" w:space="0" w:color="000000"/>
            </w:tcBorders>
          </w:tcPr>
          <w:p w14:paraId="7DD33C51" w14:textId="77777777" w:rsidR="00C24569" w:rsidRPr="00806B7F" w:rsidRDefault="00C24569" w:rsidP="00A369A1">
            <w:pPr>
              <w:spacing w:after="160" w:line="259" w:lineRule="auto"/>
              <w:jc w:val="center"/>
              <w:rPr>
                <w:rFonts w:ascii="Arial" w:hAnsi="Arial" w:cs="Arial"/>
                <w:sz w:val="20"/>
                <w:szCs w:val="2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BBDF2ED"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2 years</w:t>
            </w:r>
          </w:p>
        </w:tc>
      </w:tr>
      <w:tr w:rsidR="00C24569" w:rsidRPr="00806B7F" w14:paraId="7EAE88AB" w14:textId="77777777" w:rsidTr="00A369A1">
        <w:trPr>
          <w:trHeight w:val="348"/>
        </w:trPr>
        <w:tc>
          <w:tcPr>
            <w:tcW w:w="5642" w:type="dxa"/>
            <w:vMerge/>
            <w:tcBorders>
              <w:top w:val="nil"/>
              <w:left w:val="single" w:sz="4" w:space="0" w:color="000000"/>
              <w:bottom w:val="single" w:sz="4" w:space="0" w:color="000000"/>
              <w:right w:val="single" w:sz="4" w:space="0" w:color="000000"/>
            </w:tcBorders>
          </w:tcPr>
          <w:p w14:paraId="4A1BA258" w14:textId="77777777" w:rsidR="00C24569" w:rsidRPr="00806B7F" w:rsidRDefault="00C24569" w:rsidP="00A369A1">
            <w:pPr>
              <w:spacing w:after="160" w:line="259" w:lineRule="auto"/>
              <w:rPr>
                <w:rFonts w:ascii="Arial" w:hAnsi="Arial" w:cs="Arial"/>
                <w:sz w:val="20"/>
                <w:szCs w:val="20"/>
              </w:rPr>
            </w:pPr>
          </w:p>
        </w:tc>
        <w:tc>
          <w:tcPr>
            <w:tcW w:w="699" w:type="dxa"/>
            <w:tcBorders>
              <w:top w:val="single" w:sz="4" w:space="0" w:color="000000"/>
              <w:left w:val="single" w:sz="4" w:space="0" w:color="000000"/>
              <w:bottom w:val="single" w:sz="4" w:space="0" w:color="000000"/>
              <w:right w:val="single" w:sz="4" w:space="0" w:color="000000"/>
            </w:tcBorders>
          </w:tcPr>
          <w:p w14:paraId="212FE48F" w14:textId="77777777" w:rsidR="00C24569" w:rsidRPr="00806B7F" w:rsidRDefault="00C24569" w:rsidP="00A369A1">
            <w:pPr>
              <w:spacing w:line="259" w:lineRule="auto"/>
              <w:ind w:left="18"/>
              <w:jc w:val="center"/>
              <w:rPr>
                <w:rFonts w:ascii="Arial" w:hAnsi="Arial" w:cs="Arial"/>
                <w:sz w:val="20"/>
                <w:szCs w:val="20"/>
              </w:rPr>
            </w:pPr>
            <w:r w:rsidRPr="00806B7F">
              <w:rPr>
                <w:rFonts w:ascii="Arial" w:hAnsi="Arial" w:cs="Arial"/>
                <w:sz w:val="20"/>
                <w:szCs w:val="20"/>
              </w:rPr>
              <w:t>AA-</w:t>
            </w:r>
          </w:p>
        </w:tc>
        <w:tc>
          <w:tcPr>
            <w:tcW w:w="1233" w:type="dxa"/>
            <w:vMerge/>
            <w:tcBorders>
              <w:top w:val="nil"/>
              <w:left w:val="single" w:sz="4" w:space="0" w:color="000000"/>
              <w:bottom w:val="single" w:sz="4" w:space="0" w:color="000000"/>
              <w:right w:val="single" w:sz="4" w:space="0" w:color="000000"/>
            </w:tcBorders>
          </w:tcPr>
          <w:p w14:paraId="45600C94" w14:textId="77777777" w:rsidR="00C24569" w:rsidRPr="00806B7F" w:rsidRDefault="00C24569" w:rsidP="00A369A1">
            <w:pPr>
              <w:spacing w:after="160" w:line="259" w:lineRule="auto"/>
              <w:jc w:val="center"/>
              <w:rPr>
                <w:rFonts w:ascii="Arial" w:hAnsi="Arial" w:cs="Arial"/>
                <w:sz w:val="20"/>
                <w:szCs w:val="20"/>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10CF6050"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2 years</w:t>
            </w:r>
          </w:p>
        </w:tc>
      </w:tr>
      <w:tr w:rsidR="00C24569" w:rsidRPr="00806B7F" w14:paraId="7043FBDC" w14:textId="77777777" w:rsidTr="00A369A1">
        <w:trPr>
          <w:trHeight w:val="516"/>
        </w:trPr>
        <w:tc>
          <w:tcPr>
            <w:tcW w:w="5642" w:type="dxa"/>
            <w:tcBorders>
              <w:top w:val="single" w:sz="4" w:space="0" w:color="000000"/>
              <w:left w:val="single" w:sz="4" w:space="0" w:color="000000"/>
              <w:bottom w:val="single" w:sz="4" w:space="0" w:color="000000"/>
              <w:right w:val="nil"/>
            </w:tcBorders>
          </w:tcPr>
          <w:p w14:paraId="08BDFD63"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 xml:space="preserve">Call Accounts with banks and other organisations with minimum  A-  credit rating </w:t>
            </w:r>
          </w:p>
        </w:tc>
        <w:tc>
          <w:tcPr>
            <w:tcW w:w="699" w:type="dxa"/>
            <w:tcBorders>
              <w:top w:val="single" w:sz="4" w:space="0" w:color="000000"/>
              <w:left w:val="nil"/>
              <w:bottom w:val="single" w:sz="4" w:space="0" w:color="000000"/>
              <w:right w:val="single" w:sz="4" w:space="0" w:color="000000"/>
            </w:tcBorders>
          </w:tcPr>
          <w:p w14:paraId="7BAE7CC7" w14:textId="77777777" w:rsidR="00C24569" w:rsidRPr="00806B7F" w:rsidRDefault="00C24569" w:rsidP="00A369A1">
            <w:pPr>
              <w:spacing w:line="259" w:lineRule="auto"/>
              <w:ind w:left="-22"/>
              <w:rPr>
                <w:rFonts w:ascii="Arial" w:hAnsi="Arial" w:cs="Arial"/>
                <w:sz w:val="20"/>
                <w:szCs w:val="20"/>
              </w:rPr>
            </w:pPr>
            <w:r w:rsidRPr="00806B7F">
              <w:rPr>
                <w:rFonts w:ascii="Arial" w:hAnsi="Arial" w:cs="Arial"/>
                <w:sz w:val="20"/>
                <w:szCs w:val="20"/>
              </w:rPr>
              <w:t xml:space="preserve"> </w:t>
            </w:r>
          </w:p>
        </w:tc>
        <w:tc>
          <w:tcPr>
            <w:tcW w:w="1233" w:type="dxa"/>
            <w:tcBorders>
              <w:top w:val="single" w:sz="4" w:space="0" w:color="000000"/>
              <w:left w:val="single" w:sz="4" w:space="0" w:color="000000"/>
              <w:bottom w:val="single" w:sz="4" w:space="0" w:color="000000"/>
              <w:right w:val="single" w:sz="4" w:space="0" w:color="000000"/>
            </w:tcBorders>
          </w:tcPr>
          <w:p w14:paraId="6FF5D8E0" w14:textId="77777777" w:rsidR="00C24569" w:rsidRPr="00806B7F" w:rsidRDefault="00C24569" w:rsidP="00A369A1">
            <w:pPr>
              <w:spacing w:line="259" w:lineRule="auto"/>
              <w:ind w:left="18"/>
              <w:jc w:val="center"/>
              <w:rPr>
                <w:rFonts w:ascii="Arial" w:hAnsi="Arial" w:cs="Arial"/>
                <w:sz w:val="20"/>
                <w:szCs w:val="20"/>
              </w:rPr>
            </w:pPr>
            <w:r w:rsidRPr="00806B7F">
              <w:rPr>
                <w:rFonts w:ascii="Arial" w:hAnsi="Arial" w:cs="Arial"/>
                <w:sz w:val="20"/>
                <w:szCs w:val="20"/>
              </w:rPr>
              <w:t>£10m</w:t>
            </w:r>
          </w:p>
        </w:tc>
        <w:tc>
          <w:tcPr>
            <w:tcW w:w="1356" w:type="dxa"/>
            <w:tcBorders>
              <w:top w:val="single" w:sz="4" w:space="0" w:color="000000"/>
              <w:left w:val="single" w:sz="4" w:space="0" w:color="000000"/>
              <w:bottom w:val="single" w:sz="4" w:space="0" w:color="000000"/>
              <w:right w:val="single" w:sz="4" w:space="0" w:color="000000"/>
            </w:tcBorders>
          </w:tcPr>
          <w:p w14:paraId="458DE982"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next day</w:t>
            </w:r>
          </w:p>
        </w:tc>
      </w:tr>
      <w:tr w:rsidR="00C24569" w:rsidRPr="00806B7F" w14:paraId="3EF242CB" w14:textId="77777777" w:rsidTr="00A369A1">
        <w:trPr>
          <w:trHeight w:val="516"/>
        </w:trPr>
        <w:tc>
          <w:tcPr>
            <w:tcW w:w="5642" w:type="dxa"/>
            <w:tcBorders>
              <w:top w:val="single" w:sz="4" w:space="0" w:color="000000"/>
              <w:left w:val="single" w:sz="4" w:space="0" w:color="000000"/>
              <w:bottom w:val="single" w:sz="4" w:space="0" w:color="000000"/>
              <w:right w:val="nil"/>
            </w:tcBorders>
          </w:tcPr>
          <w:p w14:paraId="7B222CBE"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Call Account  with Lancashire County Council</w:t>
            </w:r>
          </w:p>
        </w:tc>
        <w:tc>
          <w:tcPr>
            <w:tcW w:w="699" w:type="dxa"/>
            <w:tcBorders>
              <w:top w:val="single" w:sz="4" w:space="0" w:color="000000"/>
              <w:left w:val="nil"/>
              <w:bottom w:val="single" w:sz="4" w:space="0" w:color="000000"/>
              <w:right w:val="single" w:sz="4" w:space="0" w:color="000000"/>
            </w:tcBorders>
          </w:tcPr>
          <w:p w14:paraId="691B5EBF" w14:textId="77777777" w:rsidR="00C24569" w:rsidRPr="00806B7F" w:rsidRDefault="00C24569" w:rsidP="00A369A1">
            <w:pPr>
              <w:spacing w:line="259" w:lineRule="auto"/>
              <w:ind w:left="-22"/>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5A0EAA9D" w14:textId="77777777" w:rsidR="00C24569" w:rsidRPr="00806B7F" w:rsidRDefault="00C24569" w:rsidP="00A369A1">
            <w:pPr>
              <w:spacing w:line="259" w:lineRule="auto"/>
              <w:ind w:left="18"/>
              <w:jc w:val="center"/>
              <w:rPr>
                <w:rFonts w:ascii="Arial" w:hAnsi="Arial" w:cs="Arial"/>
                <w:sz w:val="20"/>
                <w:szCs w:val="20"/>
              </w:rPr>
            </w:pPr>
            <w:r w:rsidRPr="00806B7F">
              <w:rPr>
                <w:rFonts w:ascii="Arial" w:hAnsi="Arial" w:cs="Arial"/>
                <w:sz w:val="20"/>
                <w:szCs w:val="20"/>
              </w:rPr>
              <w:t>unlimited</w:t>
            </w:r>
          </w:p>
        </w:tc>
        <w:tc>
          <w:tcPr>
            <w:tcW w:w="1356" w:type="dxa"/>
            <w:tcBorders>
              <w:top w:val="single" w:sz="4" w:space="0" w:color="000000"/>
              <w:left w:val="single" w:sz="4" w:space="0" w:color="000000"/>
              <w:bottom w:val="single" w:sz="4" w:space="0" w:color="000000"/>
              <w:right w:val="single" w:sz="4" w:space="0" w:color="000000"/>
            </w:tcBorders>
          </w:tcPr>
          <w:p w14:paraId="7FB43215" w14:textId="77777777" w:rsidR="00C24569" w:rsidRPr="00806B7F" w:rsidRDefault="00C24569" w:rsidP="00A369A1">
            <w:pPr>
              <w:spacing w:line="259" w:lineRule="auto"/>
              <w:ind w:left="21"/>
              <w:jc w:val="center"/>
              <w:rPr>
                <w:rFonts w:ascii="Arial" w:hAnsi="Arial" w:cs="Arial"/>
                <w:sz w:val="20"/>
                <w:szCs w:val="20"/>
              </w:rPr>
            </w:pPr>
            <w:r w:rsidRPr="00806B7F">
              <w:rPr>
                <w:rFonts w:ascii="Arial" w:hAnsi="Arial" w:cs="Arial"/>
                <w:sz w:val="20"/>
                <w:szCs w:val="20"/>
              </w:rPr>
              <w:t>next day</w:t>
            </w:r>
          </w:p>
        </w:tc>
      </w:tr>
      <w:tr w:rsidR="00C24569" w:rsidRPr="00806B7F" w14:paraId="3F3886B7" w14:textId="77777777" w:rsidTr="00A369A1">
        <w:trPr>
          <w:trHeight w:val="350"/>
        </w:trPr>
        <w:tc>
          <w:tcPr>
            <w:tcW w:w="5642" w:type="dxa"/>
            <w:tcBorders>
              <w:top w:val="single" w:sz="4" w:space="0" w:color="000000"/>
              <w:left w:val="single" w:sz="4" w:space="0" w:color="000000"/>
              <w:bottom w:val="single" w:sz="4" w:space="0" w:color="000000"/>
              <w:right w:val="nil"/>
            </w:tcBorders>
          </w:tcPr>
          <w:p w14:paraId="6EF946A0"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 xml:space="preserve">UK Central Government (irrespective of credit rating) </w:t>
            </w:r>
          </w:p>
        </w:tc>
        <w:tc>
          <w:tcPr>
            <w:tcW w:w="699" w:type="dxa"/>
            <w:tcBorders>
              <w:top w:val="single" w:sz="4" w:space="0" w:color="000000"/>
              <w:left w:val="nil"/>
              <w:bottom w:val="single" w:sz="4" w:space="0" w:color="000000"/>
              <w:right w:val="single" w:sz="4" w:space="0" w:color="000000"/>
            </w:tcBorders>
          </w:tcPr>
          <w:p w14:paraId="6C176301" w14:textId="77777777" w:rsidR="00C24569" w:rsidRPr="00806B7F" w:rsidRDefault="00C24569" w:rsidP="00A369A1">
            <w:pPr>
              <w:spacing w:after="160" w:line="259" w:lineRule="auto"/>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583E195E" w14:textId="77777777" w:rsidR="00C24569" w:rsidRPr="00806B7F" w:rsidRDefault="00C24569" w:rsidP="00A369A1">
            <w:pPr>
              <w:spacing w:line="259" w:lineRule="auto"/>
              <w:ind w:left="22"/>
              <w:jc w:val="center"/>
              <w:rPr>
                <w:rFonts w:ascii="Arial" w:hAnsi="Arial" w:cs="Arial"/>
                <w:sz w:val="20"/>
                <w:szCs w:val="20"/>
              </w:rPr>
            </w:pPr>
            <w:r w:rsidRPr="00806B7F">
              <w:rPr>
                <w:rFonts w:ascii="Arial" w:hAnsi="Arial" w:cs="Arial"/>
                <w:sz w:val="20"/>
                <w:szCs w:val="20"/>
              </w:rPr>
              <w:t>unlimited</w:t>
            </w:r>
          </w:p>
        </w:tc>
        <w:tc>
          <w:tcPr>
            <w:tcW w:w="1356" w:type="dxa"/>
            <w:tcBorders>
              <w:top w:val="single" w:sz="4" w:space="0" w:color="000000"/>
              <w:left w:val="single" w:sz="4" w:space="0" w:color="000000"/>
              <w:bottom w:val="single" w:sz="4" w:space="0" w:color="000000"/>
              <w:right w:val="single" w:sz="4" w:space="0" w:color="000000"/>
            </w:tcBorders>
          </w:tcPr>
          <w:p w14:paraId="61601CAA"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50 years</w:t>
            </w:r>
          </w:p>
        </w:tc>
      </w:tr>
      <w:tr w:rsidR="00C24569" w:rsidRPr="00806B7F" w14:paraId="534F45C3" w14:textId="77777777" w:rsidTr="00A369A1">
        <w:trPr>
          <w:trHeight w:val="350"/>
        </w:trPr>
        <w:tc>
          <w:tcPr>
            <w:tcW w:w="5642" w:type="dxa"/>
            <w:tcBorders>
              <w:top w:val="single" w:sz="4" w:space="0" w:color="000000"/>
              <w:left w:val="single" w:sz="4" w:space="0" w:color="000000"/>
              <w:bottom w:val="single" w:sz="4" w:space="0" w:color="000000"/>
              <w:right w:val="nil"/>
            </w:tcBorders>
          </w:tcPr>
          <w:p w14:paraId="7694F5F7"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 xml:space="preserve">UK Local Authorities (irrespective of credit rating) </w:t>
            </w:r>
          </w:p>
        </w:tc>
        <w:tc>
          <w:tcPr>
            <w:tcW w:w="699" w:type="dxa"/>
            <w:tcBorders>
              <w:top w:val="single" w:sz="4" w:space="0" w:color="000000"/>
              <w:left w:val="nil"/>
              <w:bottom w:val="single" w:sz="4" w:space="0" w:color="000000"/>
              <w:right w:val="single" w:sz="4" w:space="0" w:color="000000"/>
            </w:tcBorders>
          </w:tcPr>
          <w:p w14:paraId="4BACFC9E" w14:textId="77777777" w:rsidR="00C24569" w:rsidRPr="00806B7F" w:rsidRDefault="00C24569" w:rsidP="00A369A1">
            <w:pPr>
              <w:spacing w:after="160" w:line="259" w:lineRule="auto"/>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466404DA" w14:textId="77777777" w:rsidR="00C24569" w:rsidRPr="00806B7F" w:rsidRDefault="00C24569" w:rsidP="00A369A1">
            <w:pPr>
              <w:spacing w:line="259" w:lineRule="auto"/>
              <w:ind w:left="22"/>
              <w:jc w:val="center"/>
              <w:rPr>
                <w:rFonts w:ascii="Arial" w:hAnsi="Arial" w:cs="Arial"/>
                <w:sz w:val="20"/>
                <w:szCs w:val="20"/>
              </w:rPr>
            </w:pPr>
            <w:r w:rsidRPr="00806B7F">
              <w:rPr>
                <w:rFonts w:ascii="Arial" w:hAnsi="Arial" w:cs="Arial"/>
                <w:sz w:val="20"/>
                <w:szCs w:val="20"/>
              </w:rPr>
              <w:t>£5m each</w:t>
            </w:r>
          </w:p>
        </w:tc>
        <w:tc>
          <w:tcPr>
            <w:tcW w:w="1356" w:type="dxa"/>
            <w:tcBorders>
              <w:top w:val="single" w:sz="4" w:space="0" w:color="000000"/>
              <w:left w:val="single" w:sz="4" w:space="0" w:color="000000"/>
              <w:bottom w:val="single" w:sz="4" w:space="0" w:color="000000"/>
              <w:right w:val="single" w:sz="4" w:space="0" w:color="000000"/>
            </w:tcBorders>
          </w:tcPr>
          <w:p w14:paraId="061AF5AB"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10 years</w:t>
            </w:r>
          </w:p>
        </w:tc>
      </w:tr>
      <w:tr w:rsidR="00C24569" w:rsidRPr="00806B7F" w14:paraId="19D3E32D" w14:textId="77777777" w:rsidTr="00A369A1">
        <w:trPr>
          <w:trHeight w:val="350"/>
        </w:trPr>
        <w:tc>
          <w:tcPr>
            <w:tcW w:w="5642" w:type="dxa"/>
            <w:tcBorders>
              <w:top w:val="single" w:sz="4" w:space="0" w:color="000000"/>
              <w:left w:val="single" w:sz="4" w:space="0" w:color="000000"/>
              <w:bottom w:val="single" w:sz="4" w:space="0" w:color="000000"/>
              <w:right w:val="nil"/>
            </w:tcBorders>
          </w:tcPr>
          <w:p w14:paraId="23341CDD"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 xml:space="preserve">Secured Bond Funds AA rating and WAL not more than 3 yrs </w:t>
            </w:r>
          </w:p>
        </w:tc>
        <w:tc>
          <w:tcPr>
            <w:tcW w:w="699" w:type="dxa"/>
            <w:tcBorders>
              <w:top w:val="single" w:sz="4" w:space="0" w:color="000000"/>
              <w:left w:val="nil"/>
              <w:bottom w:val="single" w:sz="4" w:space="0" w:color="000000"/>
              <w:right w:val="single" w:sz="4" w:space="0" w:color="000000"/>
            </w:tcBorders>
          </w:tcPr>
          <w:p w14:paraId="214407A7" w14:textId="77777777" w:rsidR="00C24569" w:rsidRPr="00806B7F" w:rsidRDefault="00C24569" w:rsidP="00A369A1">
            <w:pPr>
              <w:spacing w:after="160" w:line="259" w:lineRule="auto"/>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49E66271"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£5m each</w:t>
            </w:r>
          </w:p>
        </w:tc>
        <w:tc>
          <w:tcPr>
            <w:tcW w:w="1356" w:type="dxa"/>
            <w:tcBorders>
              <w:top w:val="single" w:sz="4" w:space="0" w:color="000000"/>
              <w:left w:val="single" w:sz="4" w:space="0" w:color="000000"/>
              <w:bottom w:val="single" w:sz="4" w:space="0" w:color="000000"/>
              <w:right w:val="single" w:sz="4" w:space="0" w:color="000000"/>
            </w:tcBorders>
          </w:tcPr>
          <w:p w14:paraId="265B5B8C" w14:textId="77777777" w:rsidR="00C24569" w:rsidRPr="00806B7F" w:rsidRDefault="00C24569" w:rsidP="00A369A1">
            <w:pPr>
              <w:spacing w:line="259" w:lineRule="auto"/>
              <w:ind w:left="19"/>
              <w:jc w:val="center"/>
              <w:rPr>
                <w:rFonts w:ascii="Arial" w:hAnsi="Arial" w:cs="Arial"/>
                <w:sz w:val="20"/>
                <w:szCs w:val="20"/>
              </w:rPr>
            </w:pPr>
            <w:r w:rsidRPr="00806B7F">
              <w:rPr>
                <w:rFonts w:ascii="Arial" w:hAnsi="Arial" w:cs="Arial"/>
                <w:sz w:val="20"/>
                <w:szCs w:val="20"/>
              </w:rPr>
              <w:t>n/a</w:t>
            </w:r>
          </w:p>
        </w:tc>
      </w:tr>
      <w:tr w:rsidR="00C24569" w:rsidRPr="00806B7F" w14:paraId="7A283527" w14:textId="77777777" w:rsidTr="00A369A1">
        <w:trPr>
          <w:trHeight w:val="350"/>
        </w:trPr>
        <w:tc>
          <w:tcPr>
            <w:tcW w:w="5642" w:type="dxa"/>
            <w:tcBorders>
              <w:top w:val="single" w:sz="4" w:space="0" w:color="000000"/>
              <w:left w:val="single" w:sz="4" w:space="0" w:color="000000"/>
              <w:bottom w:val="single" w:sz="4" w:space="0" w:color="000000"/>
              <w:right w:val="nil"/>
            </w:tcBorders>
          </w:tcPr>
          <w:p w14:paraId="70BEFC9A" w14:textId="77777777" w:rsidR="00C24569" w:rsidRPr="00806B7F" w:rsidRDefault="00C24569" w:rsidP="00A369A1">
            <w:pPr>
              <w:spacing w:line="259" w:lineRule="auto"/>
              <w:ind w:left="108"/>
              <w:rPr>
                <w:rFonts w:ascii="Arial" w:hAnsi="Arial" w:cs="Arial"/>
                <w:sz w:val="20"/>
                <w:szCs w:val="20"/>
              </w:rPr>
            </w:pPr>
            <w:r w:rsidRPr="00806B7F">
              <w:rPr>
                <w:rFonts w:ascii="Arial" w:hAnsi="Arial" w:cs="Arial"/>
                <w:sz w:val="20"/>
                <w:szCs w:val="20"/>
              </w:rPr>
              <w:t>Secured Bond Funds AAA rated and WAL not more than 5 yrs</w:t>
            </w:r>
          </w:p>
        </w:tc>
        <w:tc>
          <w:tcPr>
            <w:tcW w:w="699" w:type="dxa"/>
            <w:tcBorders>
              <w:top w:val="single" w:sz="4" w:space="0" w:color="000000"/>
              <w:left w:val="nil"/>
              <w:bottom w:val="single" w:sz="4" w:space="0" w:color="000000"/>
              <w:right w:val="single" w:sz="4" w:space="0" w:color="000000"/>
            </w:tcBorders>
          </w:tcPr>
          <w:p w14:paraId="69ED962E" w14:textId="77777777" w:rsidR="00C24569" w:rsidRPr="00806B7F" w:rsidRDefault="00C24569" w:rsidP="00A369A1">
            <w:pPr>
              <w:spacing w:after="160" w:line="259" w:lineRule="auto"/>
              <w:rPr>
                <w:rFonts w:ascii="Arial" w:hAnsi="Arial" w:cs="Arial"/>
                <w:sz w:val="20"/>
                <w:szCs w:val="20"/>
              </w:rPr>
            </w:pPr>
          </w:p>
        </w:tc>
        <w:tc>
          <w:tcPr>
            <w:tcW w:w="1233" w:type="dxa"/>
            <w:tcBorders>
              <w:top w:val="single" w:sz="4" w:space="0" w:color="000000"/>
              <w:left w:val="single" w:sz="4" w:space="0" w:color="000000"/>
              <w:bottom w:val="single" w:sz="4" w:space="0" w:color="000000"/>
              <w:right w:val="single" w:sz="4" w:space="0" w:color="000000"/>
            </w:tcBorders>
          </w:tcPr>
          <w:p w14:paraId="5AA754D3" w14:textId="77777777" w:rsidR="00C24569" w:rsidRPr="00806B7F" w:rsidRDefault="00C24569" w:rsidP="00A369A1">
            <w:pPr>
              <w:spacing w:line="259" w:lineRule="auto"/>
              <w:jc w:val="center"/>
              <w:rPr>
                <w:rFonts w:ascii="Arial" w:hAnsi="Arial" w:cs="Arial"/>
                <w:sz w:val="20"/>
                <w:szCs w:val="20"/>
              </w:rPr>
            </w:pPr>
            <w:r w:rsidRPr="00806B7F">
              <w:rPr>
                <w:rFonts w:ascii="Arial" w:hAnsi="Arial" w:cs="Arial"/>
                <w:sz w:val="20"/>
                <w:szCs w:val="20"/>
              </w:rPr>
              <w:t>£5m each</w:t>
            </w:r>
          </w:p>
        </w:tc>
        <w:tc>
          <w:tcPr>
            <w:tcW w:w="1356" w:type="dxa"/>
            <w:tcBorders>
              <w:top w:val="single" w:sz="4" w:space="0" w:color="000000"/>
              <w:left w:val="single" w:sz="4" w:space="0" w:color="000000"/>
              <w:bottom w:val="single" w:sz="4" w:space="0" w:color="000000"/>
              <w:right w:val="single" w:sz="4" w:space="0" w:color="000000"/>
            </w:tcBorders>
          </w:tcPr>
          <w:p w14:paraId="606E14FE" w14:textId="77777777" w:rsidR="00C24569" w:rsidRPr="00806B7F" w:rsidRDefault="00C24569" w:rsidP="00A369A1">
            <w:pPr>
              <w:spacing w:line="259" w:lineRule="auto"/>
              <w:ind w:left="19"/>
              <w:jc w:val="center"/>
              <w:rPr>
                <w:rFonts w:ascii="Arial" w:hAnsi="Arial" w:cs="Arial"/>
                <w:sz w:val="20"/>
                <w:szCs w:val="20"/>
              </w:rPr>
            </w:pPr>
            <w:r w:rsidRPr="00806B7F">
              <w:rPr>
                <w:rFonts w:ascii="Arial" w:hAnsi="Arial" w:cs="Arial"/>
                <w:sz w:val="20"/>
                <w:szCs w:val="20"/>
              </w:rPr>
              <w:t>n/a</w:t>
            </w:r>
          </w:p>
        </w:tc>
      </w:tr>
    </w:tbl>
    <w:p w14:paraId="738C140C" w14:textId="77777777" w:rsidR="00C24569" w:rsidRPr="00806B7F" w:rsidRDefault="00C24569" w:rsidP="00C24569">
      <w:pPr>
        <w:spacing w:line="259" w:lineRule="auto"/>
        <w:ind w:left="34"/>
        <w:rPr>
          <w:rFonts w:ascii="Arial" w:hAnsi="Arial" w:cs="Arial"/>
          <w:b/>
          <w:sz w:val="20"/>
        </w:rPr>
      </w:pPr>
    </w:p>
    <w:p w14:paraId="5FEA0C5D"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Allowable bond funds are defined by credit rating and weighted average life (WAL). Investing in senior secured bonds backed by collateral provides a protection against bail-in. Although the average life of the securities within the fund will be either 3 or 5 years, funds can be redeemed within 2 days of request but in general these should be seen as </w:t>
      </w:r>
      <w:proofErr w:type="gramStart"/>
      <w:r w:rsidRPr="00806B7F">
        <w:rPr>
          <w:rFonts w:ascii="Arial" w:hAnsi="Arial" w:cs="Arial"/>
          <w:sz w:val="20"/>
        </w:rPr>
        <w:t>longer term</w:t>
      </w:r>
      <w:proofErr w:type="gramEnd"/>
      <w:r w:rsidRPr="00806B7F">
        <w:rPr>
          <w:rFonts w:ascii="Arial" w:hAnsi="Arial" w:cs="Arial"/>
          <w:sz w:val="20"/>
        </w:rPr>
        <w:t xml:space="preserve"> investments.</w:t>
      </w:r>
    </w:p>
    <w:p w14:paraId="30E93D4E" w14:textId="77777777" w:rsidR="00C24569" w:rsidRPr="00806B7F" w:rsidRDefault="00C24569" w:rsidP="003C3CC6">
      <w:pPr>
        <w:ind w:left="29" w:right="53"/>
        <w:jc w:val="both"/>
        <w:rPr>
          <w:rFonts w:ascii="Arial" w:hAnsi="Arial" w:cs="Arial"/>
          <w:sz w:val="20"/>
        </w:rPr>
      </w:pPr>
    </w:p>
    <w:p w14:paraId="7EE193ED"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Regarding the risk of investing with another local authority, only a very few authorities have their own credit rating, but those that do are the same or one notch below the UK Government reflecting the fact that they are quasi-Government institutions. On the whole credit ratings are seen as unnecessary by the sector because the statutory and prudential framework within which the authorities operate is amongst the strongest in the world. In addition, any lender to a local authority has protection, under statute, by way of a first charge on the revenues of that authority. No local authority has ever defaulted to </w:t>
      </w:r>
      <w:proofErr w:type="gramStart"/>
      <w:r w:rsidRPr="00806B7F">
        <w:rPr>
          <w:rFonts w:ascii="Arial" w:hAnsi="Arial" w:cs="Arial"/>
          <w:sz w:val="20"/>
        </w:rPr>
        <w:t>date</w:t>
      </w:r>
      <w:proofErr w:type="gramEnd"/>
      <w:r w:rsidRPr="00806B7F">
        <w:rPr>
          <w:rFonts w:ascii="Arial" w:hAnsi="Arial" w:cs="Arial"/>
          <w:sz w:val="20"/>
        </w:rPr>
        <w:t xml:space="preserve"> and this also may be an indication of security. However, when the UK credit rating by the rating agencies has been downgraded those local authorities with a rating saw a reduction in their ratings. Therefore, consideration has been given to reducing the risk associated with the investment with other local authorities. Arlingclose, the County Council's Treasury Management advisor, state they are "comfortable with clients making loans to UK local authorities for periods up to two years, subject to this meeting their approved strategy. For periods longer than two years we recommend that additional due diligence is undertaken prior to a loan being made."  On this basis it is proposed that the investments to local authorities are limited as follows:</w:t>
      </w:r>
    </w:p>
    <w:p w14:paraId="2EF4ECF3" w14:textId="77777777" w:rsidR="00C24569" w:rsidRPr="00806B7F" w:rsidRDefault="00C24569" w:rsidP="003C3CC6">
      <w:pPr>
        <w:jc w:val="both"/>
        <w:rPr>
          <w:rFonts w:ascii="Arial" w:hAnsi="Arial" w:cs="Arial"/>
          <w:sz w:val="20"/>
        </w:rPr>
      </w:pPr>
    </w:p>
    <w:p w14:paraId="0532F7E1"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9  Investment Limits with Local Authorities</w:t>
      </w:r>
    </w:p>
    <w:tbl>
      <w:tblPr>
        <w:tblStyle w:val="TableGrid10"/>
        <w:tblW w:w="0" w:type="auto"/>
        <w:tblLook w:val="04A0" w:firstRow="1" w:lastRow="0" w:firstColumn="1" w:lastColumn="0" w:noHBand="0" w:noVBand="1"/>
      </w:tblPr>
      <w:tblGrid>
        <w:gridCol w:w="2254"/>
        <w:gridCol w:w="2254"/>
        <w:gridCol w:w="2254"/>
        <w:gridCol w:w="2255"/>
      </w:tblGrid>
      <w:tr w:rsidR="00C24569" w:rsidRPr="00806B7F" w14:paraId="381C5912" w14:textId="77777777" w:rsidTr="00A369A1">
        <w:tc>
          <w:tcPr>
            <w:tcW w:w="2254" w:type="dxa"/>
          </w:tcPr>
          <w:p w14:paraId="0F5C1ECD" w14:textId="77777777" w:rsidR="00C24569" w:rsidRPr="00806B7F" w:rsidRDefault="00C24569" w:rsidP="00A369A1">
            <w:pPr>
              <w:rPr>
                <w:rFonts w:ascii="Arial" w:hAnsi="Arial" w:cs="Arial"/>
                <w:sz w:val="20"/>
                <w:szCs w:val="20"/>
              </w:rPr>
            </w:pPr>
          </w:p>
        </w:tc>
        <w:tc>
          <w:tcPr>
            <w:tcW w:w="2254" w:type="dxa"/>
          </w:tcPr>
          <w:p w14:paraId="5C164A74"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Maximum individual investment (£m)</w:t>
            </w:r>
          </w:p>
        </w:tc>
        <w:tc>
          <w:tcPr>
            <w:tcW w:w="2254" w:type="dxa"/>
          </w:tcPr>
          <w:p w14:paraId="5E3335E1"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Maximum total investment (£m)</w:t>
            </w:r>
          </w:p>
        </w:tc>
        <w:tc>
          <w:tcPr>
            <w:tcW w:w="2255" w:type="dxa"/>
          </w:tcPr>
          <w:p w14:paraId="6DA6EE99"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Maximum period</w:t>
            </w:r>
          </w:p>
        </w:tc>
      </w:tr>
      <w:tr w:rsidR="00C24569" w:rsidRPr="00806B7F" w14:paraId="136A9278" w14:textId="77777777" w:rsidTr="00A369A1">
        <w:tc>
          <w:tcPr>
            <w:tcW w:w="2254" w:type="dxa"/>
          </w:tcPr>
          <w:p w14:paraId="3291DA30" w14:textId="77777777" w:rsidR="00C24569" w:rsidRPr="00806B7F" w:rsidRDefault="00C24569" w:rsidP="00A369A1">
            <w:pPr>
              <w:rPr>
                <w:rFonts w:ascii="Arial" w:hAnsi="Arial" w:cs="Arial"/>
                <w:sz w:val="20"/>
                <w:szCs w:val="20"/>
              </w:rPr>
            </w:pPr>
            <w:r w:rsidRPr="00806B7F">
              <w:rPr>
                <w:rFonts w:ascii="Arial" w:hAnsi="Arial" w:cs="Arial"/>
                <w:sz w:val="20"/>
                <w:szCs w:val="20"/>
              </w:rPr>
              <w:t>Up to 2 years</w:t>
            </w:r>
          </w:p>
        </w:tc>
        <w:tc>
          <w:tcPr>
            <w:tcW w:w="2254" w:type="dxa"/>
          </w:tcPr>
          <w:p w14:paraId="206C2454"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5</w:t>
            </w:r>
          </w:p>
        </w:tc>
        <w:tc>
          <w:tcPr>
            <w:tcW w:w="2254" w:type="dxa"/>
          </w:tcPr>
          <w:p w14:paraId="6FBA6987"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40</w:t>
            </w:r>
          </w:p>
        </w:tc>
        <w:tc>
          <w:tcPr>
            <w:tcW w:w="2255" w:type="dxa"/>
          </w:tcPr>
          <w:p w14:paraId="5D6F5707"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2 years</w:t>
            </w:r>
          </w:p>
        </w:tc>
      </w:tr>
      <w:tr w:rsidR="00C24569" w:rsidRPr="00806B7F" w14:paraId="49EFB54A" w14:textId="77777777" w:rsidTr="00A369A1">
        <w:tc>
          <w:tcPr>
            <w:tcW w:w="2254" w:type="dxa"/>
          </w:tcPr>
          <w:p w14:paraId="7A81C0C9" w14:textId="77777777" w:rsidR="00C24569" w:rsidRPr="00806B7F" w:rsidRDefault="00C24569" w:rsidP="00A369A1">
            <w:pPr>
              <w:rPr>
                <w:rFonts w:ascii="Arial" w:hAnsi="Arial" w:cs="Arial"/>
                <w:sz w:val="20"/>
                <w:szCs w:val="20"/>
              </w:rPr>
            </w:pPr>
            <w:r w:rsidRPr="00806B7F">
              <w:rPr>
                <w:rFonts w:ascii="Arial" w:hAnsi="Arial" w:cs="Arial"/>
                <w:sz w:val="20"/>
                <w:szCs w:val="20"/>
              </w:rPr>
              <w:t>Over 2 years</w:t>
            </w:r>
          </w:p>
        </w:tc>
        <w:tc>
          <w:tcPr>
            <w:tcW w:w="2254" w:type="dxa"/>
          </w:tcPr>
          <w:p w14:paraId="5ECDCBE4"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5</w:t>
            </w:r>
          </w:p>
        </w:tc>
        <w:tc>
          <w:tcPr>
            <w:tcW w:w="2254" w:type="dxa"/>
          </w:tcPr>
          <w:p w14:paraId="1813C0D3"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25</w:t>
            </w:r>
          </w:p>
        </w:tc>
        <w:tc>
          <w:tcPr>
            <w:tcW w:w="2255" w:type="dxa"/>
          </w:tcPr>
          <w:p w14:paraId="48D90DB5" w14:textId="77777777" w:rsidR="00C24569" w:rsidRPr="00806B7F" w:rsidRDefault="00C24569" w:rsidP="00A369A1">
            <w:pPr>
              <w:jc w:val="center"/>
              <w:rPr>
                <w:rFonts w:ascii="Arial" w:hAnsi="Arial" w:cs="Arial"/>
                <w:sz w:val="20"/>
                <w:szCs w:val="20"/>
              </w:rPr>
            </w:pPr>
            <w:r w:rsidRPr="00806B7F">
              <w:rPr>
                <w:rFonts w:ascii="Arial" w:hAnsi="Arial" w:cs="Arial"/>
                <w:sz w:val="20"/>
                <w:szCs w:val="20"/>
              </w:rPr>
              <w:t>10 years</w:t>
            </w:r>
          </w:p>
        </w:tc>
      </w:tr>
    </w:tbl>
    <w:p w14:paraId="0C0ABE3D" w14:textId="77777777" w:rsidR="00C24569" w:rsidRPr="00806B7F" w:rsidRDefault="00C24569" w:rsidP="00C24569">
      <w:pPr>
        <w:spacing w:line="259" w:lineRule="auto"/>
        <w:ind w:left="34"/>
        <w:rPr>
          <w:rFonts w:ascii="Arial" w:hAnsi="Arial" w:cs="Arial"/>
          <w:sz w:val="20"/>
          <w:highlight w:val="yellow"/>
        </w:rPr>
      </w:pPr>
      <w:r w:rsidRPr="00806B7F">
        <w:rPr>
          <w:rFonts w:ascii="Arial" w:hAnsi="Arial" w:cs="Arial"/>
          <w:sz w:val="20"/>
          <w:highlight w:val="yellow"/>
        </w:rPr>
        <w:t xml:space="preserve">                                        </w:t>
      </w:r>
    </w:p>
    <w:p w14:paraId="1330E249"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The investment in LCC as part of the call account arrangement is excluded from the above limits. The balance on this account is dependent upon short term cash flows and therefore does not have a limit.                                        </w:t>
      </w:r>
    </w:p>
    <w:p w14:paraId="5565BFDE" w14:textId="77777777" w:rsidR="00C24569" w:rsidRPr="00806B7F" w:rsidRDefault="00C24569" w:rsidP="003C3CC6">
      <w:pPr>
        <w:ind w:right="53"/>
        <w:jc w:val="both"/>
        <w:rPr>
          <w:rFonts w:ascii="Arial" w:hAnsi="Arial" w:cs="Arial"/>
          <w:sz w:val="20"/>
        </w:rPr>
      </w:pPr>
    </w:p>
    <w:p w14:paraId="3B7E8E13" w14:textId="77777777" w:rsidR="00C24569" w:rsidRPr="00806B7F" w:rsidRDefault="00C24569" w:rsidP="003C3CC6">
      <w:pPr>
        <w:ind w:left="29" w:right="53"/>
        <w:jc w:val="both"/>
        <w:rPr>
          <w:rFonts w:ascii="Arial" w:hAnsi="Arial" w:cs="Arial"/>
          <w:sz w:val="20"/>
        </w:rPr>
      </w:pPr>
      <w:r w:rsidRPr="00806B7F">
        <w:rPr>
          <w:rFonts w:ascii="Arial" w:hAnsi="Arial" w:cs="Arial"/>
          <w:sz w:val="20"/>
        </w:rPr>
        <w:t>Whilst the investment strategy has been amended to allow greater flexibility with investments any decision as to whether to utilise this facility will be made based on an assessment of risk and reward undertaken jointly between the Director of Corporate Services and LCC Treasury Management Team, and consideration of this forms part of the on-going meetings that take place throughout the year.</w:t>
      </w:r>
    </w:p>
    <w:p w14:paraId="011D545C" w14:textId="77777777" w:rsidR="00C24569" w:rsidRPr="00806B7F" w:rsidRDefault="00C24569" w:rsidP="003C3CC6">
      <w:pPr>
        <w:ind w:left="29" w:right="53"/>
        <w:jc w:val="both"/>
        <w:rPr>
          <w:rFonts w:ascii="Arial" w:hAnsi="Arial" w:cs="Arial"/>
          <w:sz w:val="20"/>
        </w:rPr>
      </w:pPr>
    </w:p>
    <w:p w14:paraId="5D39FEA6"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In respect of banks taxpayers will no longer bail-out failed banks instead the required funds will be paid by equity investors and depositors. Local authorities' deposits will be at risk and consequently although currently available within the policy it is unlikely that long term unsecured term deposits will be used at the present time. </w:t>
      </w:r>
    </w:p>
    <w:p w14:paraId="14EB0D1C" w14:textId="77777777" w:rsidR="00C24569" w:rsidRPr="00806B7F" w:rsidRDefault="00C24569" w:rsidP="003C3CC6">
      <w:pPr>
        <w:ind w:left="29" w:right="53"/>
        <w:jc w:val="both"/>
        <w:rPr>
          <w:rFonts w:ascii="Arial" w:hAnsi="Arial" w:cs="Arial"/>
          <w:sz w:val="20"/>
        </w:rPr>
      </w:pPr>
    </w:p>
    <w:p w14:paraId="1862B235"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Currently </w:t>
      </w:r>
      <w:proofErr w:type="gramStart"/>
      <w:r w:rsidRPr="00806B7F">
        <w:rPr>
          <w:rFonts w:ascii="Arial" w:hAnsi="Arial" w:cs="Arial"/>
          <w:sz w:val="20"/>
        </w:rPr>
        <w:t>all of</w:t>
      </w:r>
      <w:proofErr w:type="gramEnd"/>
      <w:r w:rsidRPr="00806B7F">
        <w:rPr>
          <w:rFonts w:ascii="Arial" w:hAnsi="Arial" w:cs="Arial"/>
          <w:sz w:val="20"/>
        </w:rPr>
        <w:t xml:space="preserve"> the Authority's investments are with other local authorities. </w:t>
      </w:r>
    </w:p>
    <w:p w14:paraId="1D5B563A" w14:textId="77777777" w:rsidR="00C24569" w:rsidRPr="00806B7F" w:rsidRDefault="00C24569" w:rsidP="003C3CC6">
      <w:pPr>
        <w:spacing w:line="259" w:lineRule="auto"/>
        <w:ind w:left="34"/>
        <w:jc w:val="both"/>
        <w:rPr>
          <w:rFonts w:ascii="Arial" w:hAnsi="Arial" w:cs="Arial"/>
          <w:sz w:val="20"/>
          <w:highlight w:val="yellow"/>
        </w:rPr>
      </w:pPr>
      <w:r w:rsidRPr="00806B7F">
        <w:rPr>
          <w:rFonts w:ascii="Arial" w:hAnsi="Arial" w:cs="Arial"/>
          <w:sz w:val="20"/>
          <w:highlight w:val="yellow"/>
        </w:rPr>
        <w:t xml:space="preserve"> </w:t>
      </w:r>
    </w:p>
    <w:p w14:paraId="5407A0AC"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 Authority currently has access to a call (instant access) account with a local authority, which pays bank base rate, this is currently 3.5%. Each working day the balance on the Authority's current account is invested to ensure that the interest received on surplus balances is maximised.  </w:t>
      </w:r>
    </w:p>
    <w:p w14:paraId="43ABC9C4"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30683188"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In addition longer term loans have been placed with an </w:t>
      </w:r>
      <w:proofErr w:type="gramStart"/>
      <w:r w:rsidRPr="00806B7F">
        <w:rPr>
          <w:rFonts w:ascii="Arial" w:hAnsi="Arial" w:cs="Arial"/>
          <w:sz w:val="20"/>
        </w:rPr>
        <w:t>UK local authorities</w:t>
      </w:r>
      <w:proofErr w:type="gramEnd"/>
      <w:r w:rsidRPr="00806B7F">
        <w:rPr>
          <w:rFonts w:ascii="Arial" w:hAnsi="Arial" w:cs="Arial"/>
          <w:sz w:val="20"/>
        </w:rPr>
        <w:t xml:space="preserve"> to enhance the interest earned. To this end at the following investments are already impacting 2023/24</w:t>
      </w:r>
    </w:p>
    <w:p w14:paraId="2840F344" w14:textId="77777777" w:rsidR="00C24569" w:rsidRPr="00806B7F" w:rsidRDefault="00C24569" w:rsidP="003C3CC6">
      <w:pPr>
        <w:spacing w:line="259" w:lineRule="auto"/>
        <w:ind w:left="34"/>
        <w:jc w:val="both"/>
        <w:rPr>
          <w:rFonts w:ascii="Arial" w:hAnsi="Arial" w:cs="Arial"/>
          <w:sz w:val="20"/>
        </w:rPr>
      </w:pPr>
    </w:p>
    <w:p w14:paraId="5EC14EC5"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10 Current Investments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2085"/>
        <w:gridCol w:w="1428"/>
        <w:gridCol w:w="1382"/>
        <w:gridCol w:w="1487"/>
      </w:tblGrid>
      <w:tr w:rsidR="00C24569" w:rsidRPr="00806B7F" w14:paraId="5631E8D8" w14:textId="77777777" w:rsidTr="00A369A1">
        <w:tc>
          <w:tcPr>
            <w:tcW w:w="2085" w:type="dxa"/>
            <w:shd w:val="clear" w:color="auto" w:fill="auto"/>
          </w:tcPr>
          <w:p w14:paraId="38F7B7F4" w14:textId="77777777" w:rsidR="00C24569" w:rsidRPr="00806B7F" w:rsidRDefault="00C24569" w:rsidP="00A369A1">
            <w:pPr>
              <w:rPr>
                <w:rFonts w:ascii="Arial" w:hAnsi="Arial" w:cs="Arial"/>
                <w:sz w:val="20"/>
              </w:rPr>
            </w:pPr>
            <w:r w:rsidRPr="00806B7F">
              <w:rPr>
                <w:rFonts w:ascii="Arial" w:hAnsi="Arial" w:cs="Arial"/>
                <w:sz w:val="20"/>
              </w:rPr>
              <w:t>Start Date</w:t>
            </w:r>
          </w:p>
        </w:tc>
        <w:tc>
          <w:tcPr>
            <w:tcW w:w="2085" w:type="dxa"/>
            <w:shd w:val="clear" w:color="auto" w:fill="auto"/>
          </w:tcPr>
          <w:p w14:paraId="1258E40F" w14:textId="77777777" w:rsidR="00C24569" w:rsidRPr="00806B7F" w:rsidRDefault="00C24569" w:rsidP="00A369A1">
            <w:pPr>
              <w:jc w:val="center"/>
              <w:rPr>
                <w:rFonts w:ascii="Arial" w:hAnsi="Arial" w:cs="Arial"/>
                <w:sz w:val="20"/>
              </w:rPr>
            </w:pPr>
            <w:r w:rsidRPr="00806B7F">
              <w:rPr>
                <w:rFonts w:ascii="Arial" w:hAnsi="Arial" w:cs="Arial"/>
                <w:sz w:val="20"/>
              </w:rPr>
              <w:t>End Date</w:t>
            </w:r>
          </w:p>
        </w:tc>
        <w:tc>
          <w:tcPr>
            <w:tcW w:w="1428" w:type="dxa"/>
            <w:shd w:val="clear" w:color="auto" w:fill="auto"/>
          </w:tcPr>
          <w:p w14:paraId="7731D3CF" w14:textId="77777777" w:rsidR="00C24569" w:rsidRPr="00806B7F" w:rsidRDefault="00C24569" w:rsidP="00A369A1">
            <w:pPr>
              <w:jc w:val="center"/>
              <w:rPr>
                <w:rFonts w:ascii="Arial" w:hAnsi="Arial" w:cs="Arial"/>
                <w:sz w:val="20"/>
              </w:rPr>
            </w:pPr>
            <w:r w:rsidRPr="00806B7F">
              <w:rPr>
                <w:rFonts w:ascii="Arial" w:hAnsi="Arial" w:cs="Arial"/>
                <w:sz w:val="20"/>
              </w:rPr>
              <w:t>Principal</w:t>
            </w:r>
          </w:p>
        </w:tc>
        <w:tc>
          <w:tcPr>
            <w:tcW w:w="1382" w:type="dxa"/>
            <w:shd w:val="clear" w:color="auto" w:fill="auto"/>
          </w:tcPr>
          <w:p w14:paraId="4D97AD86" w14:textId="77777777" w:rsidR="00C24569" w:rsidRPr="00806B7F" w:rsidRDefault="00C24569" w:rsidP="00A369A1">
            <w:pPr>
              <w:jc w:val="center"/>
              <w:rPr>
                <w:rFonts w:ascii="Arial" w:hAnsi="Arial" w:cs="Arial"/>
                <w:sz w:val="20"/>
              </w:rPr>
            </w:pPr>
            <w:r w:rsidRPr="00806B7F">
              <w:rPr>
                <w:rFonts w:ascii="Arial" w:hAnsi="Arial" w:cs="Arial"/>
                <w:sz w:val="20"/>
              </w:rPr>
              <w:t>Rate</w:t>
            </w:r>
          </w:p>
        </w:tc>
        <w:tc>
          <w:tcPr>
            <w:tcW w:w="1487" w:type="dxa"/>
            <w:shd w:val="clear" w:color="auto" w:fill="auto"/>
          </w:tcPr>
          <w:p w14:paraId="4EE8DB4D" w14:textId="77777777" w:rsidR="00C24569" w:rsidRPr="00806B7F" w:rsidRDefault="00C24569" w:rsidP="00A369A1">
            <w:pPr>
              <w:jc w:val="center"/>
              <w:rPr>
                <w:rFonts w:ascii="Arial" w:hAnsi="Arial" w:cs="Arial"/>
                <w:sz w:val="20"/>
              </w:rPr>
            </w:pPr>
            <w:r w:rsidRPr="00806B7F">
              <w:rPr>
                <w:rFonts w:ascii="Arial" w:hAnsi="Arial" w:cs="Arial"/>
                <w:sz w:val="20"/>
              </w:rPr>
              <w:t>Interest 2023/24</w:t>
            </w:r>
          </w:p>
        </w:tc>
      </w:tr>
      <w:tr w:rsidR="00C24569" w:rsidRPr="00806B7F" w14:paraId="2044EA04" w14:textId="77777777" w:rsidTr="00A369A1">
        <w:tc>
          <w:tcPr>
            <w:tcW w:w="2085" w:type="dxa"/>
            <w:shd w:val="clear" w:color="auto" w:fill="auto"/>
          </w:tcPr>
          <w:p w14:paraId="53BE986F" w14:textId="77777777" w:rsidR="00C24569" w:rsidRPr="00806B7F" w:rsidRDefault="00C24569" w:rsidP="00A369A1">
            <w:pPr>
              <w:rPr>
                <w:rFonts w:ascii="Arial" w:hAnsi="Arial" w:cs="Arial"/>
                <w:sz w:val="20"/>
              </w:rPr>
            </w:pPr>
            <w:r w:rsidRPr="00806B7F">
              <w:rPr>
                <w:rFonts w:ascii="Arial" w:hAnsi="Arial" w:cs="Arial"/>
                <w:sz w:val="20"/>
              </w:rPr>
              <w:t>21/03/2022</w:t>
            </w:r>
          </w:p>
        </w:tc>
        <w:tc>
          <w:tcPr>
            <w:tcW w:w="2085" w:type="dxa"/>
            <w:shd w:val="clear" w:color="auto" w:fill="auto"/>
          </w:tcPr>
          <w:p w14:paraId="51EABEBA" w14:textId="77777777" w:rsidR="00C24569" w:rsidRPr="00806B7F" w:rsidRDefault="00C24569" w:rsidP="00A369A1">
            <w:pPr>
              <w:jc w:val="center"/>
              <w:rPr>
                <w:rFonts w:ascii="Arial" w:hAnsi="Arial" w:cs="Arial"/>
                <w:sz w:val="20"/>
              </w:rPr>
            </w:pPr>
            <w:r w:rsidRPr="00806B7F">
              <w:rPr>
                <w:rFonts w:ascii="Arial" w:hAnsi="Arial" w:cs="Arial"/>
                <w:sz w:val="20"/>
              </w:rPr>
              <w:t>21/03/2024</w:t>
            </w:r>
          </w:p>
        </w:tc>
        <w:tc>
          <w:tcPr>
            <w:tcW w:w="1428" w:type="dxa"/>
            <w:shd w:val="clear" w:color="auto" w:fill="auto"/>
          </w:tcPr>
          <w:p w14:paraId="35A3CEB2" w14:textId="77777777" w:rsidR="00C24569" w:rsidRPr="00806B7F" w:rsidRDefault="00C24569" w:rsidP="00A369A1">
            <w:pPr>
              <w:jc w:val="center"/>
              <w:rPr>
                <w:rFonts w:ascii="Arial" w:hAnsi="Arial" w:cs="Arial"/>
                <w:sz w:val="20"/>
              </w:rPr>
            </w:pPr>
            <w:r w:rsidRPr="00806B7F">
              <w:rPr>
                <w:rFonts w:ascii="Arial" w:hAnsi="Arial" w:cs="Arial"/>
                <w:sz w:val="20"/>
              </w:rPr>
              <w:t>£5,000,000</w:t>
            </w:r>
          </w:p>
        </w:tc>
        <w:tc>
          <w:tcPr>
            <w:tcW w:w="1382" w:type="dxa"/>
            <w:shd w:val="clear" w:color="auto" w:fill="auto"/>
          </w:tcPr>
          <w:p w14:paraId="683D566F" w14:textId="77777777" w:rsidR="00C24569" w:rsidRPr="00806B7F" w:rsidRDefault="00C24569" w:rsidP="00A369A1">
            <w:pPr>
              <w:jc w:val="center"/>
              <w:rPr>
                <w:rFonts w:ascii="Arial" w:hAnsi="Arial" w:cs="Arial"/>
                <w:sz w:val="20"/>
              </w:rPr>
            </w:pPr>
            <w:r w:rsidRPr="00806B7F">
              <w:rPr>
                <w:rFonts w:ascii="Arial" w:hAnsi="Arial" w:cs="Arial"/>
                <w:sz w:val="20"/>
              </w:rPr>
              <w:t>1.50%</w:t>
            </w:r>
          </w:p>
        </w:tc>
        <w:tc>
          <w:tcPr>
            <w:tcW w:w="1487" w:type="dxa"/>
            <w:shd w:val="clear" w:color="auto" w:fill="auto"/>
          </w:tcPr>
          <w:p w14:paraId="1429BD03" w14:textId="77777777" w:rsidR="00C24569" w:rsidRPr="00806B7F" w:rsidRDefault="00C24569" w:rsidP="00A369A1">
            <w:pPr>
              <w:jc w:val="center"/>
              <w:rPr>
                <w:rFonts w:ascii="Arial" w:hAnsi="Arial" w:cs="Arial"/>
                <w:sz w:val="20"/>
              </w:rPr>
            </w:pPr>
            <w:r w:rsidRPr="00806B7F">
              <w:rPr>
                <w:rFonts w:ascii="Arial" w:hAnsi="Arial" w:cs="Arial"/>
                <w:sz w:val="20"/>
              </w:rPr>
              <w:t>£72,945</w:t>
            </w:r>
          </w:p>
        </w:tc>
      </w:tr>
      <w:tr w:rsidR="00C24569" w:rsidRPr="00806B7F" w14:paraId="552313EE" w14:textId="77777777" w:rsidTr="00A369A1">
        <w:tc>
          <w:tcPr>
            <w:tcW w:w="2085" w:type="dxa"/>
            <w:shd w:val="clear" w:color="auto" w:fill="auto"/>
          </w:tcPr>
          <w:p w14:paraId="0ED271B3" w14:textId="77777777" w:rsidR="00C24569" w:rsidRPr="00806B7F" w:rsidRDefault="00C24569" w:rsidP="00A369A1">
            <w:pPr>
              <w:rPr>
                <w:rFonts w:ascii="Arial" w:hAnsi="Arial" w:cs="Arial"/>
                <w:sz w:val="20"/>
              </w:rPr>
            </w:pPr>
            <w:r w:rsidRPr="00806B7F">
              <w:rPr>
                <w:rFonts w:ascii="Arial" w:hAnsi="Arial" w:cs="Arial"/>
                <w:sz w:val="20"/>
              </w:rPr>
              <w:t>07/10/2022</w:t>
            </w:r>
          </w:p>
        </w:tc>
        <w:tc>
          <w:tcPr>
            <w:tcW w:w="2085" w:type="dxa"/>
            <w:shd w:val="clear" w:color="auto" w:fill="auto"/>
          </w:tcPr>
          <w:p w14:paraId="3A609620" w14:textId="77777777" w:rsidR="00C24569" w:rsidRPr="00806B7F" w:rsidRDefault="00C24569" w:rsidP="00A369A1">
            <w:pPr>
              <w:jc w:val="center"/>
              <w:rPr>
                <w:rFonts w:ascii="Arial" w:hAnsi="Arial" w:cs="Arial"/>
                <w:sz w:val="20"/>
              </w:rPr>
            </w:pPr>
            <w:r w:rsidRPr="00806B7F">
              <w:rPr>
                <w:rFonts w:ascii="Arial" w:hAnsi="Arial" w:cs="Arial"/>
                <w:sz w:val="20"/>
              </w:rPr>
              <w:t>06/10/2023</w:t>
            </w:r>
          </w:p>
        </w:tc>
        <w:tc>
          <w:tcPr>
            <w:tcW w:w="1428" w:type="dxa"/>
            <w:shd w:val="clear" w:color="auto" w:fill="auto"/>
          </w:tcPr>
          <w:p w14:paraId="266C2903" w14:textId="77777777" w:rsidR="00C24569" w:rsidRPr="00806B7F" w:rsidRDefault="00C24569" w:rsidP="00A369A1">
            <w:pPr>
              <w:jc w:val="center"/>
              <w:rPr>
                <w:rFonts w:ascii="Arial" w:hAnsi="Arial" w:cs="Arial"/>
                <w:sz w:val="20"/>
              </w:rPr>
            </w:pPr>
            <w:r w:rsidRPr="00806B7F">
              <w:rPr>
                <w:rFonts w:ascii="Arial" w:hAnsi="Arial" w:cs="Arial"/>
                <w:sz w:val="20"/>
              </w:rPr>
              <w:t>£5,000,000</w:t>
            </w:r>
          </w:p>
        </w:tc>
        <w:tc>
          <w:tcPr>
            <w:tcW w:w="1382" w:type="dxa"/>
            <w:shd w:val="clear" w:color="auto" w:fill="auto"/>
          </w:tcPr>
          <w:p w14:paraId="1E6E1456" w14:textId="77777777" w:rsidR="00C24569" w:rsidRPr="00806B7F" w:rsidRDefault="00C24569" w:rsidP="00A369A1">
            <w:pPr>
              <w:jc w:val="center"/>
              <w:rPr>
                <w:rFonts w:ascii="Arial" w:hAnsi="Arial" w:cs="Arial"/>
                <w:sz w:val="20"/>
              </w:rPr>
            </w:pPr>
            <w:r w:rsidRPr="00806B7F">
              <w:rPr>
                <w:rFonts w:ascii="Arial" w:hAnsi="Arial" w:cs="Arial"/>
                <w:sz w:val="20"/>
              </w:rPr>
              <w:t>4.00%</w:t>
            </w:r>
          </w:p>
        </w:tc>
        <w:tc>
          <w:tcPr>
            <w:tcW w:w="1487" w:type="dxa"/>
            <w:shd w:val="clear" w:color="auto" w:fill="auto"/>
          </w:tcPr>
          <w:p w14:paraId="000EDC39" w14:textId="77777777" w:rsidR="00C24569" w:rsidRPr="00806B7F" w:rsidRDefault="00C24569" w:rsidP="00A369A1">
            <w:pPr>
              <w:jc w:val="center"/>
              <w:rPr>
                <w:rFonts w:ascii="Arial" w:hAnsi="Arial" w:cs="Arial"/>
                <w:sz w:val="20"/>
              </w:rPr>
            </w:pPr>
            <w:r w:rsidRPr="00806B7F">
              <w:rPr>
                <w:rFonts w:ascii="Arial" w:hAnsi="Arial" w:cs="Arial"/>
                <w:sz w:val="20"/>
              </w:rPr>
              <w:t>£103,014</w:t>
            </w:r>
          </w:p>
        </w:tc>
      </w:tr>
      <w:tr w:rsidR="00C24569" w:rsidRPr="00806B7F" w14:paraId="5839861E" w14:textId="77777777" w:rsidTr="00A369A1">
        <w:tc>
          <w:tcPr>
            <w:tcW w:w="2085" w:type="dxa"/>
            <w:shd w:val="clear" w:color="auto" w:fill="auto"/>
          </w:tcPr>
          <w:p w14:paraId="3DC06528" w14:textId="77777777" w:rsidR="00C24569" w:rsidRPr="00806B7F" w:rsidRDefault="00C24569" w:rsidP="00A369A1">
            <w:pPr>
              <w:rPr>
                <w:rFonts w:ascii="Arial" w:hAnsi="Arial" w:cs="Arial"/>
                <w:sz w:val="20"/>
              </w:rPr>
            </w:pPr>
            <w:r w:rsidRPr="00806B7F">
              <w:rPr>
                <w:rFonts w:ascii="Arial" w:hAnsi="Arial" w:cs="Arial"/>
                <w:sz w:val="20"/>
              </w:rPr>
              <w:t>27/10/2022</w:t>
            </w:r>
          </w:p>
        </w:tc>
        <w:tc>
          <w:tcPr>
            <w:tcW w:w="2085" w:type="dxa"/>
            <w:shd w:val="clear" w:color="auto" w:fill="auto"/>
          </w:tcPr>
          <w:p w14:paraId="18F592E4" w14:textId="77777777" w:rsidR="00C24569" w:rsidRPr="00806B7F" w:rsidRDefault="00C24569" w:rsidP="00A369A1">
            <w:pPr>
              <w:jc w:val="center"/>
              <w:rPr>
                <w:rFonts w:ascii="Arial" w:hAnsi="Arial" w:cs="Arial"/>
                <w:sz w:val="20"/>
              </w:rPr>
            </w:pPr>
            <w:r w:rsidRPr="00806B7F">
              <w:rPr>
                <w:rFonts w:ascii="Arial" w:hAnsi="Arial" w:cs="Arial"/>
                <w:sz w:val="20"/>
              </w:rPr>
              <w:t>26/10/2023</w:t>
            </w:r>
          </w:p>
        </w:tc>
        <w:tc>
          <w:tcPr>
            <w:tcW w:w="1428" w:type="dxa"/>
            <w:shd w:val="clear" w:color="auto" w:fill="auto"/>
          </w:tcPr>
          <w:p w14:paraId="2010E2C3" w14:textId="77777777" w:rsidR="00C24569" w:rsidRPr="00806B7F" w:rsidRDefault="00C24569" w:rsidP="00A369A1">
            <w:pPr>
              <w:jc w:val="center"/>
              <w:rPr>
                <w:rFonts w:ascii="Arial" w:hAnsi="Arial" w:cs="Arial"/>
                <w:sz w:val="20"/>
              </w:rPr>
            </w:pPr>
            <w:r w:rsidRPr="00806B7F">
              <w:rPr>
                <w:rFonts w:ascii="Arial" w:hAnsi="Arial" w:cs="Arial"/>
                <w:sz w:val="20"/>
              </w:rPr>
              <w:t>£5,000,000</w:t>
            </w:r>
          </w:p>
        </w:tc>
        <w:tc>
          <w:tcPr>
            <w:tcW w:w="1382" w:type="dxa"/>
            <w:shd w:val="clear" w:color="auto" w:fill="auto"/>
          </w:tcPr>
          <w:p w14:paraId="42D81394" w14:textId="77777777" w:rsidR="00C24569" w:rsidRPr="00806B7F" w:rsidRDefault="00C24569" w:rsidP="00A369A1">
            <w:pPr>
              <w:jc w:val="center"/>
              <w:rPr>
                <w:rFonts w:ascii="Arial" w:hAnsi="Arial" w:cs="Arial"/>
                <w:sz w:val="20"/>
              </w:rPr>
            </w:pPr>
            <w:r w:rsidRPr="00806B7F">
              <w:rPr>
                <w:rFonts w:ascii="Arial" w:hAnsi="Arial" w:cs="Arial"/>
                <w:sz w:val="20"/>
              </w:rPr>
              <w:t>3.30%</w:t>
            </w:r>
          </w:p>
        </w:tc>
        <w:tc>
          <w:tcPr>
            <w:tcW w:w="1487" w:type="dxa"/>
            <w:shd w:val="clear" w:color="auto" w:fill="auto"/>
          </w:tcPr>
          <w:p w14:paraId="7673EC34" w14:textId="77777777" w:rsidR="00C24569" w:rsidRPr="00806B7F" w:rsidRDefault="00C24569" w:rsidP="00A369A1">
            <w:pPr>
              <w:jc w:val="center"/>
              <w:rPr>
                <w:rFonts w:ascii="Arial" w:hAnsi="Arial" w:cs="Arial"/>
                <w:sz w:val="20"/>
              </w:rPr>
            </w:pPr>
            <w:r w:rsidRPr="00806B7F">
              <w:rPr>
                <w:rFonts w:ascii="Arial" w:hAnsi="Arial" w:cs="Arial"/>
                <w:sz w:val="20"/>
              </w:rPr>
              <w:t>£94,028</w:t>
            </w:r>
          </w:p>
        </w:tc>
      </w:tr>
    </w:tbl>
    <w:p w14:paraId="31DB1739" w14:textId="77777777" w:rsidR="00C24569" w:rsidRPr="00806B7F" w:rsidRDefault="00C24569" w:rsidP="00C24569">
      <w:pPr>
        <w:spacing w:line="259" w:lineRule="auto"/>
        <w:ind w:left="34"/>
        <w:rPr>
          <w:rFonts w:ascii="Arial" w:hAnsi="Arial" w:cs="Arial"/>
          <w:sz w:val="20"/>
          <w:highlight w:val="yellow"/>
        </w:rPr>
      </w:pPr>
    </w:p>
    <w:p w14:paraId="3D16B5E1" w14:textId="77777777" w:rsidR="00C24569" w:rsidRPr="00806B7F" w:rsidRDefault="00C24569" w:rsidP="003C3CC6">
      <w:pPr>
        <w:ind w:left="29" w:right="53"/>
        <w:jc w:val="both"/>
        <w:rPr>
          <w:rFonts w:ascii="Arial" w:hAnsi="Arial" w:cs="Arial"/>
          <w:color w:val="000000" w:themeColor="text1"/>
          <w:sz w:val="20"/>
        </w:rPr>
      </w:pPr>
      <w:r w:rsidRPr="00806B7F">
        <w:rPr>
          <w:rFonts w:ascii="Arial" w:hAnsi="Arial" w:cs="Arial"/>
          <w:color w:val="000000" w:themeColor="text1"/>
          <w:sz w:val="20"/>
        </w:rPr>
        <w:t xml:space="preserve">Consideration is given fixing further investments if the maturity fits with estimated cash flows and the rate </w:t>
      </w:r>
      <w:proofErr w:type="gramStart"/>
      <w:r w:rsidRPr="00806B7F">
        <w:rPr>
          <w:rFonts w:ascii="Arial" w:hAnsi="Arial" w:cs="Arial"/>
          <w:color w:val="000000" w:themeColor="text1"/>
          <w:sz w:val="20"/>
        </w:rPr>
        <w:t>is considered to be</w:t>
      </w:r>
      <w:proofErr w:type="gramEnd"/>
      <w:r w:rsidRPr="00806B7F">
        <w:rPr>
          <w:rFonts w:ascii="Arial" w:hAnsi="Arial" w:cs="Arial"/>
          <w:color w:val="000000" w:themeColor="text1"/>
          <w:sz w:val="20"/>
        </w:rPr>
        <w:t xml:space="preserve"> attractive. This will continue to be reviewed. Suggested rates payable by other local authorities indicated:</w:t>
      </w:r>
    </w:p>
    <w:p w14:paraId="2B4C6037" w14:textId="77777777" w:rsidR="00C24569" w:rsidRPr="00806B7F" w:rsidRDefault="00C24569" w:rsidP="00C24569">
      <w:pPr>
        <w:ind w:left="29" w:right="53"/>
        <w:rPr>
          <w:rFonts w:ascii="Arial" w:hAnsi="Arial" w:cs="Arial"/>
          <w:color w:val="000000" w:themeColor="text1"/>
          <w:sz w:val="20"/>
        </w:rPr>
      </w:pPr>
    </w:p>
    <w:p w14:paraId="2C13F1E7"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11 Indicative Interest Rates on Investments with other Local Authorities</w:t>
      </w:r>
    </w:p>
    <w:tbl>
      <w:tblPr>
        <w:tblStyle w:val="TableGrid"/>
        <w:tblW w:w="0" w:type="auto"/>
        <w:tblInd w:w="29" w:type="dxa"/>
        <w:tblLook w:val="04A0" w:firstRow="1" w:lastRow="0" w:firstColumn="1" w:lastColumn="0" w:noHBand="0" w:noVBand="1"/>
      </w:tblPr>
      <w:tblGrid>
        <w:gridCol w:w="4847"/>
        <w:gridCol w:w="1871"/>
      </w:tblGrid>
      <w:tr w:rsidR="00C24569" w:rsidRPr="00806B7F" w14:paraId="61B662AE" w14:textId="77777777" w:rsidTr="00A369A1">
        <w:tc>
          <w:tcPr>
            <w:tcW w:w="4847" w:type="dxa"/>
          </w:tcPr>
          <w:p w14:paraId="1433EF2E" w14:textId="77777777" w:rsidR="00C24569" w:rsidRPr="00806B7F" w:rsidRDefault="00C24569" w:rsidP="00A369A1">
            <w:pPr>
              <w:ind w:right="53"/>
              <w:rPr>
                <w:rFonts w:ascii="Arial" w:hAnsi="Arial" w:cs="Arial"/>
                <w:color w:val="000000" w:themeColor="text1"/>
                <w:sz w:val="20"/>
              </w:rPr>
            </w:pPr>
            <w:proofErr w:type="gramStart"/>
            <w:r w:rsidRPr="00806B7F">
              <w:rPr>
                <w:rFonts w:ascii="Arial" w:hAnsi="Arial" w:cs="Arial"/>
                <w:color w:val="000000" w:themeColor="text1"/>
                <w:sz w:val="20"/>
              </w:rPr>
              <w:t>3 month</w:t>
            </w:r>
            <w:proofErr w:type="gramEnd"/>
            <w:r w:rsidRPr="00806B7F">
              <w:rPr>
                <w:rFonts w:ascii="Arial" w:hAnsi="Arial" w:cs="Arial"/>
                <w:color w:val="000000" w:themeColor="text1"/>
                <w:sz w:val="20"/>
              </w:rPr>
              <w:t xml:space="preserve"> investment</w:t>
            </w:r>
          </w:p>
        </w:tc>
        <w:tc>
          <w:tcPr>
            <w:tcW w:w="1871" w:type="dxa"/>
          </w:tcPr>
          <w:p w14:paraId="276B7D65" w14:textId="77777777" w:rsidR="00C24569" w:rsidRPr="00806B7F" w:rsidRDefault="00C24569" w:rsidP="00A369A1">
            <w:pPr>
              <w:ind w:right="53"/>
              <w:jc w:val="center"/>
              <w:rPr>
                <w:rFonts w:ascii="Arial" w:hAnsi="Arial" w:cs="Arial"/>
                <w:color w:val="000000" w:themeColor="text1"/>
                <w:sz w:val="20"/>
              </w:rPr>
            </w:pPr>
            <w:r w:rsidRPr="00806B7F">
              <w:rPr>
                <w:rFonts w:ascii="Arial" w:hAnsi="Arial" w:cs="Arial"/>
                <w:color w:val="000000" w:themeColor="text1"/>
                <w:sz w:val="20"/>
              </w:rPr>
              <w:t>3.79 - 3.99%</w:t>
            </w:r>
          </w:p>
        </w:tc>
      </w:tr>
      <w:tr w:rsidR="00C24569" w:rsidRPr="00806B7F" w14:paraId="4FD38F8D" w14:textId="77777777" w:rsidTr="00A369A1">
        <w:tc>
          <w:tcPr>
            <w:tcW w:w="4847" w:type="dxa"/>
          </w:tcPr>
          <w:p w14:paraId="2CF4A8FE" w14:textId="77777777" w:rsidR="00C24569" w:rsidRPr="00806B7F" w:rsidRDefault="00C24569" w:rsidP="00A369A1">
            <w:pPr>
              <w:ind w:right="53"/>
              <w:rPr>
                <w:rFonts w:ascii="Arial" w:hAnsi="Arial" w:cs="Arial"/>
                <w:color w:val="000000" w:themeColor="text1"/>
                <w:sz w:val="20"/>
              </w:rPr>
            </w:pPr>
            <w:proofErr w:type="gramStart"/>
            <w:r w:rsidRPr="00806B7F">
              <w:rPr>
                <w:rFonts w:ascii="Arial" w:hAnsi="Arial" w:cs="Arial"/>
                <w:color w:val="000000" w:themeColor="text1"/>
                <w:sz w:val="20"/>
              </w:rPr>
              <w:t>6 month</w:t>
            </w:r>
            <w:proofErr w:type="gramEnd"/>
            <w:r w:rsidRPr="00806B7F">
              <w:rPr>
                <w:rFonts w:ascii="Arial" w:hAnsi="Arial" w:cs="Arial"/>
                <w:color w:val="000000" w:themeColor="text1"/>
                <w:sz w:val="20"/>
              </w:rPr>
              <w:t xml:space="preserve"> investment</w:t>
            </w:r>
          </w:p>
        </w:tc>
        <w:tc>
          <w:tcPr>
            <w:tcW w:w="1871" w:type="dxa"/>
          </w:tcPr>
          <w:p w14:paraId="4103F4CF" w14:textId="77777777" w:rsidR="00C24569" w:rsidRPr="00806B7F" w:rsidRDefault="00C24569" w:rsidP="00A369A1">
            <w:pPr>
              <w:ind w:right="53"/>
              <w:jc w:val="center"/>
              <w:rPr>
                <w:rFonts w:ascii="Arial" w:hAnsi="Arial" w:cs="Arial"/>
                <w:color w:val="000000" w:themeColor="text1"/>
                <w:sz w:val="20"/>
              </w:rPr>
            </w:pPr>
            <w:r w:rsidRPr="00806B7F">
              <w:rPr>
                <w:rFonts w:ascii="Arial" w:hAnsi="Arial" w:cs="Arial"/>
                <w:color w:val="000000" w:themeColor="text1"/>
                <w:sz w:val="20"/>
              </w:rPr>
              <w:t>3.84 - 4.04%</w:t>
            </w:r>
          </w:p>
        </w:tc>
      </w:tr>
      <w:tr w:rsidR="00C24569" w:rsidRPr="00806B7F" w14:paraId="43B4ECA9" w14:textId="77777777" w:rsidTr="00A369A1">
        <w:tc>
          <w:tcPr>
            <w:tcW w:w="4847" w:type="dxa"/>
          </w:tcPr>
          <w:p w14:paraId="0236F2B6" w14:textId="77777777" w:rsidR="00C24569" w:rsidRPr="00806B7F" w:rsidRDefault="00C24569" w:rsidP="00A369A1">
            <w:pPr>
              <w:ind w:right="53"/>
              <w:rPr>
                <w:rFonts w:ascii="Arial" w:hAnsi="Arial" w:cs="Arial"/>
                <w:color w:val="000000" w:themeColor="text1"/>
                <w:sz w:val="20"/>
              </w:rPr>
            </w:pPr>
            <w:r w:rsidRPr="00806B7F">
              <w:rPr>
                <w:rFonts w:ascii="Arial" w:hAnsi="Arial" w:cs="Arial"/>
                <w:color w:val="000000" w:themeColor="text1"/>
                <w:sz w:val="20"/>
              </w:rPr>
              <w:t>12-month investment</w:t>
            </w:r>
          </w:p>
        </w:tc>
        <w:tc>
          <w:tcPr>
            <w:tcW w:w="1871" w:type="dxa"/>
          </w:tcPr>
          <w:p w14:paraId="1109E578" w14:textId="77777777" w:rsidR="00C24569" w:rsidRPr="00806B7F" w:rsidRDefault="00C24569" w:rsidP="00A369A1">
            <w:pPr>
              <w:ind w:right="53"/>
              <w:jc w:val="center"/>
              <w:rPr>
                <w:rFonts w:ascii="Arial" w:hAnsi="Arial" w:cs="Arial"/>
                <w:color w:val="000000" w:themeColor="text1"/>
                <w:sz w:val="20"/>
              </w:rPr>
            </w:pPr>
            <w:r w:rsidRPr="00806B7F">
              <w:rPr>
                <w:rFonts w:ascii="Arial" w:hAnsi="Arial" w:cs="Arial"/>
                <w:color w:val="000000" w:themeColor="text1"/>
                <w:sz w:val="20"/>
              </w:rPr>
              <w:t>3.94 - 4.14%</w:t>
            </w:r>
          </w:p>
        </w:tc>
      </w:tr>
      <w:tr w:rsidR="00C24569" w:rsidRPr="00806B7F" w14:paraId="671F4A73" w14:textId="77777777" w:rsidTr="00A369A1">
        <w:tc>
          <w:tcPr>
            <w:tcW w:w="4847" w:type="dxa"/>
          </w:tcPr>
          <w:p w14:paraId="0EE7E57E" w14:textId="77777777" w:rsidR="00C24569" w:rsidRPr="00806B7F" w:rsidRDefault="00C24569" w:rsidP="00A369A1">
            <w:pPr>
              <w:ind w:right="53"/>
              <w:rPr>
                <w:rFonts w:ascii="Arial" w:hAnsi="Arial" w:cs="Arial"/>
                <w:color w:val="000000" w:themeColor="text1"/>
                <w:sz w:val="20"/>
              </w:rPr>
            </w:pPr>
            <w:r w:rsidRPr="00806B7F">
              <w:rPr>
                <w:rFonts w:ascii="Arial" w:hAnsi="Arial" w:cs="Arial"/>
                <w:color w:val="000000" w:themeColor="text1"/>
                <w:sz w:val="20"/>
              </w:rPr>
              <w:t>3-year investment</w:t>
            </w:r>
          </w:p>
        </w:tc>
        <w:tc>
          <w:tcPr>
            <w:tcW w:w="1871" w:type="dxa"/>
          </w:tcPr>
          <w:p w14:paraId="715BBAEF" w14:textId="77777777" w:rsidR="00C24569" w:rsidRPr="00806B7F" w:rsidRDefault="00C24569" w:rsidP="00A369A1">
            <w:pPr>
              <w:ind w:right="53"/>
              <w:jc w:val="center"/>
              <w:rPr>
                <w:rFonts w:ascii="Arial" w:hAnsi="Arial" w:cs="Arial"/>
                <w:color w:val="000000" w:themeColor="text1"/>
                <w:sz w:val="20"/>
              </w:rPr>
            </w:pPr>
            <w:r w:rsidRPr="00806B7F">
              <w:rPr>
                <w:rFonts w:ascii="Arial" w:hAnsi="Arial" w:cs="Arial"/>
                <w:color w:val="000000" w:themeColor="text1"/>
                <w:sz w:val="20"/>
              </w:rPr>
              <w:t>3.99 - 4.19%</w:t>
            </w:r>
          </w:p>
        </w:tc>
      </w:tr>
      <w:tr w:rsidR="00C24569" w:rsidRPr="00806B7F" w14:paraId="066C4A20" w14:textId="77777777" w:rsidTr="00A369A1">
        <w:tc>
          <w:tcPr>
            <w:tcW w:w="4847" w:type="dxa"/>
          </w:tcPr>
          <w:p w14:paraId="3677FFB6" w14:textId="77777777" w:rsidR="00C24569" w:rsidRPr="00806B7F" w:rsidRDefault="00C24569" w:rsidP="00A369A1">
            <w:pPr>
              <w:ind w:right="53"/>
              <w:rPr>
                <w:rFonts w:ascii="Arial" w:hAnsi="Arial" w:cs="Arial"/>
                <w:color w:val="000000" w:themeColor="text1"/>
                <w:sz w:val="20"/>
              </w:rPr>
            </w:pPr>
            <w:r w:rsidRPr="00806B7F">
              <w:rPr>
                <w:rFonts w:ascii="Arial" w:hAnsi="Arial" w:cs="Arial"/>
                <w:color w:val="000000" w:themeColor="text1"/>
                <w:sz w:val="20"/>
              </w:rPr>
              <w:t>4-year investment</w:t>
            </w:r>
          </w:p>
        </w:tc>
        <w:tc>
          <w:tcPr>
            <w:tcW w:w="1871" w:type="dxa"/>
          </w:tcPr>
          <w:p w14:paraId="3499AC1B" w14:textId="77777777" w:rsidR="00C24569" w:rsidRPr="00806B7F" w:rsidRDefault="00C24569" w:rsidP="00A369A1">
            <w:pPr>
              <w:ind w:right="53"/>
              <w:jc w:val="center"/>
              <w:rPr>
                <w:rFonts w:ascii="Arial" w:hAnsi="Arial" w:cs="Arial"/>
                <w:color w:val="000000" w:themeColor="text1"/>
                <w:sz w:val="20"/>
              </w:rPr>
            </w:pPr>
            <w:r w:rsidRPr="00806B7F">
              <w:rPr>
                <w:rFonts w:ascii="Arial" w:hAnsi="Arial" w:cs="Arial"/>
                <w:color w:val="000000" w:themeColor="text1"/>
                <w:sz w:val="20"/>
              </w:rPr>
              <w:t>4.04 - 4.24%</w:t>
            </w:r>
          </w:p>
        </w:tc>
      </w:tr>
    </w:tbl>
    <w:p w14:paraId="03645797" w14:textId="77777777" w:rsidR="00C24569" w:rsidRPr="00806B7F" w:rsidRDefault="00C24569" w:rsidP="00C24569">
      <w:pPr>
        <w:ind w:left="29" w:right="53"/>
        <w:rPr>
          <w:rFonts w:ascii="Arial" w:hAnsi="Arial" w:cs="Arial"/>
          <w:sz w:val="20"/>
          <w:highlight w:val="yellow"/>
        </w:rPr>
      </w:pPr>
    </w:p>
    <w:p w14:paraId="3B80E48B"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 overall combined amount of interest earned on Fixed/Call balances as at 31st December 2023 is £0.283m on an average balance of £40.1m at an annualised rate of 2.87%. This compares favourably with the benchmark </w:t>
      </w:r>
      <w:proofErr w:type="gramStart"/>
      <w:r w:rsidRPr="00806B7F">
        <w:rPr>
          <w:rFonts w:ascii="Arial" w:hAnsi="Arial" w:cs="Arial"/>
          <w:sz w:val="20"/>
        </w:rPr>
        <w:t>7 day</w:t>
      </w:r>
      <w:proofErr w:type="gramEnd"/>
      <w:r w:rsidRPr="00806B7F">
        <w:rPr>
          <w:rFonts w:ascii="Arial" w:hAnsi="Arial" w:cs="Arial"/>
          <w:sz w:val="20"/>
        </w:rPr>
        <w:t xml:space="preserve"> LIBID rate which averages a yield of 1.73% over the same period.</w:t>
      </w:r>
    </w:p>
    <w:p w14:paraId="5ACC742C" w14:textId="77777777" w:rsidR="00C24569" w:rsidRPr="00806B7F" w:rsidRDefault="00C24569" w:rsidP="003C3CC6">
      <w:pPr>
        <w:ind w:left="29" w:right="53"/>
        <w:jc w:val="both"/>
        <w:rPr>
          <w:rFonts w:ascii="Arial" w:hAnsi="Arial" w:cs="Arial"/>
          <w:sz w:val="20"/>
          <w:highlight w:val="yellow"/>
        </w:rPr>
      </w:pPr>
    </w:p>
    <w:p w14:paraId="7091A75B"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In addition to the above the authority uses NatWest for its operational banking. Balances retained in NatWest are very low, usually less than £5,000. However, if required monies are retained at NatWest this would be in addition to the limits set out above. </w:t>
      </w:r>
    </w:p>
    <w:p w14:paraId="1ECE3310" w14:textId="77777777" w:rsidR="00C24569" w:rsidRPr="00806B7F" w:rsidRDefault="00C24569" w:rsidP="003C3CC6">
      <w:pPr>
        <w:spacing w:line="259" w:lineRule="auto"/>
        <w:ind w:left="34"/>
        <w:jc w:val="both"/>
        <w:rPr>
          <w:rFonts w:ascii="Arial" w:hAnsi="Arial" w:cs="Arial"/>
          <w:sz w:val="20"/>
          <w:highlight w:val="yellow"/>
        </w:rPr>
      </w:pPr>
    </w:p>
    <w:p w14:paraId="6789C0F4"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b/>
          <w:sz w:val="20"/>
        </w:rPr>
        <w:t xml:space="preserve">Minimum Revenue Provision (MRP) </w:t>
      </w:r>
    </w:p>
    <w:p w14:paraId="2ABC502C"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155C614F"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Under Local Authority Accounting arrangements the Authority is required to set aside a sum of money each year to reduce the overall level of debt. This sum is known as the minimum revenue provision (MRP). </w:t>
      </w:r>
    </w:p>
    <w:p w14:paraId="140DC574"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6F5CBDFE"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 Authority will assess their MRP for 2023/24 in accordance with guidance issued by the Secretary of State under section 21(1A) of the Local Government Act 2003. </w:t>
      </w:r>
      <w:r w:rsidRPr="00806B7F">
        <w:rPr>
          <w:rFonts w:ascii="Arial" w:hAnsi="Arial" w:cs="Arial"/>
          <w:i/>
          <w:sz w:val="20"/>
        </w:rPr>
        <w:t xml:space="preserve"> </w:t>
      </w:r>
    </w:p>
    <w:p w14:paraId="53F1A4B8"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784912F6"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The Authority made a voluntary MRP in 2019/20 and it is anticipated that the MRP on loans will be nil in 2023/24 this will be the case until capital expenditure is financed by borrowing.</w:t>
      </w:r>
    </w:p>
    <w:p w14:paraId="26696BB1" w14:textId="77777777" w:rsidR="00C24569" w:rsidRPr="00806B7F" w:rsidRDefault="00C24569" w:rsidP="003C3CC6">
      <w:pPr>
        <w:spacing w:line="259" w:lineRule="auto"/>
        <w:jc w:val="both"/>
        <w:rPr>
          <w:rFonts w:ascii="Arial" w:hAnsi="Arial" w:cs="Arial"/>
          <w:sz w:val="20"/>
        </w:rPr>
      </w:pPr>
    </w:p>
    <w:p w14:paraId="355536C0"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Whilst the Authority has no unsupported borrowing, nor has any plans to take out any unsupported borrowing in 2023/24 it is prudent to approve a policy relating to the MRP that would apply if circumstances </w:t>
      </w:r>
      <w:proofErr w:type="gramStart"/>
      <w:r w:rsidRPr="00806B7F">
        <w:rPr>
          <w:rFonts w:ascii="Arial" w:hAnsi="Arial" w:cs="Arial"/>
          <w:sz w:val="20"/>
        </w:rPr>
        <w:t>change</w:t>
      </w:r>
      <w:proofErr w:type="gramEnd"/>
      <w:r w:rsidRPr="00806B7F">
        <w:rPr>
          <w:rFonts w:ascii="Arial" w:hAnsi="Arial" w:cs="Arial"/>
          <w:sz w:val="20"/>
        </w:rPr>
        <w:t xml:space="preserve">. As such in accordance with guidelines, the MRP on any future unsupported borrowing will be calculated using the Asset Life Method. This will be based on a straightforward straight – line calculation to set an equal charge to revenue over the estimated life of the asset. Estimated life periods will be determined under delegated powers. To the extent that expenditure is not on the creation of an asset and is of a type that is subject to estimated life periods that are referred to in the guidance, these periods will generally be adopted by the Authority.  However, the Authority reserves the right to determine useful life periods and prudent MRP in exceptional circumstances where the recommendations of the guidance would not be appropriate.  </w:t>
      </w:r>
    </w:p>
    <w:p w14:paraId="2122283D"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366E6063"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As some types of capital expenditure incurred by the Authority are not capable of being related to an individual asset, asset lives will be assessed on a basis which most reasonably reflects the anticipated period of benefit that arises from the expenditure.  Also, whatever type of expenditure is involved, it will be grouped together in a manner which reflects the nature of the main component of expenditure and will only be divided up in cases where there are two or more major components with substantially different useful economic lives. </w:t>
      </w:r>
    </w:p>
    <w:p w14:paraId="43748098"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67761DC2"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Assets held under a PFI contracts and finance leases form part of the Balance Sheet. This has increased the overall capital financing requirement and results in an MRP charge being required. The government guidance permits a prudent MRP to equate to the amount charged to revenue under the contract to repay the liability. In terms of the PFI schemes this charge forms part of the payment due to the PFI contractor.</w:t>
      </w:r>
    </w:p>
    <w:p w14:paraId="396093D0" w14:textId="77777777" w:rsidR="00C24569" w:rsidRPr="00806B7F" w:rsidRDefault="00C24569" w:rsidP="003C3CC6">
      <w:pPr>
        <w:spacing w:line="259" w:lineRule="auto"/>
        <w:ind w:left="34"/>
        <w:jc w:val="both"/>
        <w:rPr>
          <w:rFonts w:ascii="Arial" w:hAnsi="Arial" w:cs="Arial"/>
          <w:sz w:val="20"/>
        </w:rPr>
      </w:pPr>
    </w:p>
    <w:p w14:paraId="49136176" w14:textId="77777777" w:rsidR="00C24569" w:rsidRPr="00806B7F" w:rsidRDefault="00C24569" w:rsidP="003C3CC6">
      <w:pPr>
        <w:spacing w:line="259" w:lineRule="auto"/>
        <w:ind w:left="34"/>
        <w:jc w:val="both"/>
        <w:rPr>
          <w:rFonts w:ascii="Arial" w:hAnsi="Arial" w:cs="Arial"/>
          <w:b/>
          <w:bCs/>
          <w:sz w:val="20"/>
        </w:rPr>
      </w:pPr>
      <w:r w:rsidRPr="00806B7F">
        <w:rPr>
          <w:rFonts w:ascii="Arial" w:hAnsi="Arial" w:cs="Arial"/>
          <w:b/>
          <w:bCs/>
          <w:sz w:val="20"/>
        </w:rPr>
        <w:t>Revenue Budget</w:t>
      </w:r>
    </w:p>
    <w:p w14:paraId="078ECFFA" w14:textId="77777777" w:rsidR="00C24569" w:rsidRPr="00806B7F" w:rsidRDefault="00C24569" w:rsidP="003C3CC6">
      <w:pPr>
        <w:spacing w:line="259" w:lineRule="auto"/>
        <w:ind w:left="34"/>
        <w:jc w:val="both"/>
        <w:rPr>
          <w:rFonts w:ascii="Arial" w:hAnsi="Arial" w:cs="Arial"/>
          <w:sz w:val="20"/>
        </w:rPr>
      </w:pPr>
    </w:p>
    <w:p w14:paraId="0CCD50B6"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The capital financing budget currently shows that income received exceeds expenditure. This excludes the PFI and Finance lease payments, which are included in other budgets. Based on the Strategy outlined above then the proposed budget for capital financing </w:t>
      </w:r>
      <w:proofErr w:type="gramStart"/>
      <w:r w:rsidRPr="00806B7F">
        <w:rPr>
          <w:rFonts w:ascii="Arial" w:hAnsi="Arial" w:cs="Arial"/>
          <w:sz w:val="20"/>
        </w:rPr>
        <w:t>are</w:t>
      </w:r>
      <w:proofErr w:type="gramEnd"/>
      <w:r w:rsidRPr="00806B7F">
        <w:rPr>
          <w:rFonts w:ascii="Arial" w:hAnsi="Arial" w:cs="Arial"/>
          <w:sz w:val="20"/>
        </w:rPr>
        <w:t>:</w:t>
      </w:r>
    </w:p>
    <w:p w14:paraId="3B9E1402" w14:textId="77777777" w:rsidR="00C24569" w:rsidRPr="00806B7F" w:rsidRDefault="00C24569" w:rsidP="003C3CC6">
      <w:pPr>
        <w:spacing w:line="259" w:lineRule="auto"/>
        <w:ind w:left="34"/>
        <w:jc w:val="both"/>
        <w:rPr>
          <w:rFonts w:ascii="Arial" w:hAnsi="Arial" w:cs="Arial"/>
          <w:sz w:val="20"/>
        </w:rPr>
      </w:pPr>
    </w:p>
    <w:p w14:paraId="3A726BEA" w14:textId="77777777" w:rsidR="00C24569" w:rsidRPr="00806B7F" w:rsidRDefault="00C24569" w:rsidP="003C3CC6">
      <w:pPr>
        <w:keepNext/>
        <w:spacing w:after="200"/>
        <w:jc w:val="both"/>
        <w:rPr>
          <w:rFonts w:ascii="Arial" w:eastAsia="Calibri" w:hAnsi="Arial" w:cs="Arial"/>
          <w:i/>
          <w:iCs/>
          <w:color w:val="44546A"/>
          <w:sz w:val="20"/>
          <w:lang w:eastAsia="en-US"/>
        </w:rPr>
      </w:pPr>
      <w:r w:rsidRPr="00806B7F">
        <w:rPr>
          <w:rFonts w:ascii="Arial" w:eastAsia="Calibri" w:hAnsi="Arial" w:cs="Arial"/>
          <w:i/>
          <w:iCs/>
          <w:color w:val="44546A"/>
          <w:sz w:val="20"/>
          <w:lang w:eastAsia="en-US"/>
        </w:rPr>
        <w:t>Table 12 Capital Financing Charges Included in Revenue Budget</w:t>
      </w:r>
    </w:p>
    <w:tbl>
      <w:tblPr>
        <w:tblStyle w:val="TableGrid"/>
        <w:tblW w:w="0" w:type="auto"/>
        <w:tblInd w:w="34" w:type="dxa"/>
        <w:tblLayout w:type="fixed"/>
        <w:tblLook w:val="04A0" w:firstRow="1" w:lastRow="0" w:firstColumn="1" w:lastColumn="0" w:noHBand="0" w:noVBand="1"/>
      </w:tblPr>
      <w:tblGrid>
        <w:gridCol w:w="2088"/>
        <w:gridCol w:w="1559"/>
        <w:gridCol w:w="1559"/>
        <w:gridCol w:w="1559"/>
        <w:gridCol w:w="1560"/>
      </w:tblGrid>
      <w:tr w:rsidR="00C24569" w:rsidRPr="00806B7F" w14:paraId="685FC32F" w14:textId="77777777" w:rsidTr="00A369A1">
        <w:tc>
          <w:tcPr>
            <w:tcW w:w="2088" w:type="dxa"/>
          </w:tcPr>
          <w:p w14:paraId="52A2CC05" w14:textId="77777777" w:rsidR="00C24569" w:rsidRPr="00806B7F" w:rsidRDefault="00C24569" w:rsidP="00A369A1">
            <w:pPr>
              <w:spacing w:line="259" w:lineRule="auto"/>
              <w:rPr>
                <w:rFonts w:ascii="Arial" w:hAnsi="Arial" w:cs="Arial"/>
                <w:sz w:val="20"/>
              </w:rPr>
            </w:pPr>
          </w:p>
        </w:tc>
        <w:tc>
          <w:tcPr>
            <w:tcW w:w="1559" w:type="dxa"/>
          </w:tcPr>
          <w:p w14:paraId="4A79B7C1"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2022/23</w:t>
            </w:r>
          </w:p>
        </w:tc>
        <w:tc>
          <w:tcPr>
            <w:tcW w:w="1559" w:type="dxa"/>
          </w:tcPr>
          <w:p w14:paraId="3A8B3C15"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2023/24</w:t>
            </w:r>
          </w:p>
        </w:tc>
        <w:tc>
          <w:tcPr>
            <w:tcW w:w="1559" w:type="dxa"/>
          </w:tcPr>
          <w:p w14:paraId="0A8CCAB9"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2024/25</w:t>
            </w:r>
          </w:p>
        </w:tc>
        <w:tc>
          <w:tcPr>
            <w:tcW w:w="1560" w:type="dxa"/>
          </w:tcPr>
          <w:p w14:paraId="5649CD8F"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2025/26</w:t>
            </w:r>
          </w:p>
        </w:tc>
      </w:tr>
      <w:tr w:rsidR="00C24569" w:rsidRPr="00806B7F" w14:paraId="2D5DE0C9" w14:textId="77777777" w:rsidTr="00A369A1">
        <w:tc>
          <w:tcPr>
            <w:tcW w:w="2088" w:type="dxa"/>
          </w:tcPr>
          <w:p w14:paraId="3CCFD2EB" w14:textId="77777777" w:rsidR="00C24569" w:rsidRPr="00806B7F" w:rsidRDefault="00C24569" w:rsidP="00A369A1">
            <w:pPr>
              <w:spacing w:line="259" w:lineRule="auto"/>
              <w:rPr>
                <w:rFonts w:ascii="Arial" w:hAnsi="Arial" w:cs="Arial"/>
                <w:sz w:val="20"/>
              </w:rPr>
            </w:pPr>
          </w:p>
        </w:tc>
        <w:tc>
          <w:tcPr>
            <w:tcW w:w="1559" w:type="dxa"/>
          </w:tcPr>
          <w:p w14:paraId="0BDB49FB"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£m</w:t>
            </w:r>
          </w:p>
        </w:tc>
        <w:tc>
          <w:tcPr>
            <w:tcW w:w="1559" w:type="dxa"/>
          </w:tcPr>
          <w:p w14:paraId="76B1D608"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£m</w:t>
            </w:r>
          </w:p>
        </w:tc>
        <w:tc>
          <w:tcPr>
            <w:tcW w:w="1559" w:type="dxa"/>
          </w:tcPr>
          <w:p w14:paraId="1F6CE56C"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£m</w:t>
            </w:r>
          </w:p>
        </w:tc>
        <w:tc>
          <w:tcPr>
            <w:tcW w:w="1560" w:type="dxa"/>
          </w:tcPr>
          <w:p w14:paraId="2FAA2518"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£m</w:t>
            </w:r>
          </w:p>
        </w:tc>
      </w:tr>
      <w:tr w:rsidR="00C24569" w:rsidRPr="00806B7F" w14:paraId="462DAB7F" w14:textId="77777777" w:rsidTr="00A369A1">
        <w:tc>
          <w:tcPr>
            <w:tcW w:w="2088" w:type="dxa"/>
          </w:tcPr>
          <w:p w14:paraId="05855B69" w14:textId="77777777" w:rsidR="00C24569" w:rsidRPr="00806B7F" w:rsidRDefault="00C24569" w:rsidP="00A369A1">
            <w:pPr>
              <w:spacing w:line="259" w:lineRule="auto"/>
              <w:rPr>
                <w:rFonts w:ascii="Arial" w:hAnsi="Arial" w:cs="Arial"/>
                <w:sz w:val="20"/>
              </w:rPr>
            </w:pPr>
            <w:r w:rsidRPr="00806B7F">
              <w:rPr>
                <w:rFonts w:ascii="Arial" w:hAnsi="Arial" w:cs="Arial"/>
                <w:sz w:val="20"/>
              </w:rPr>
              <w:t>Interest payable</w:t>
            </w:r>
          </w:p>
        </w:tc>
        <w:tc>
          <w:tcPr>
            <w:tcW w:w="1559" w:type="dxa"/>
          </w:tcPr>
          <w:p w14:paraId="68107D32"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0.090</w:t>
            </w:r>
          </w:p>
        </w:tc>
        <w:tc>
          <w:tcPr>
            <w:tcW w:w="1559" w:type="dxa"/>
          </w:tcPr>
          <w:p w14:paraId="5B9FCDE4"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0.090</w:t>
            </w:r>
          </w:p>
        </w:tc>
        <w:tc>
          <w:tcPr>
            <w:tcW w:w="1559" w:type="dxa"/>
          </w:tcPr>
          <w:p w14:paraId="1CAA7ECB"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0.090</w:t>
            </w:r>
          </w:p>
        </w:tc>
        <w:tc>
          <w:tcPr>
            <w:tcW w:w="1560" w:type="dxa"/>
          </w:tcPr>
          <w:p w14:paraId="53CEF8DA"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0.090</w:t>
            </w:r>
          </w:p>
        </w:tc>
      </w:tr>
      <w:tr w:rsidR="00C24569" w:rsidRPr="00806B7F" w14:paraId="22308BF0" w14:textId="77777777" w:rsidTr="00A369A1">
        <w:tc>
          <w:tcPr>
            <w:tcW w:w="2088" w:type="dxa"/>
          </w:tcPr>
          <w:p w14:paraId="6118FAFB" w14:textId="77777777" w:rsidR="00C24569" w:rsidRPr="00806B7F" w:rsidRDefault="00C24569" w:rsidP="00A369A1">
            <w:pPr>
              <w:spacing w:line="259" w:lineRule="auto"/>
              <w:rPr>
                <w:rFonts w:ascii="Arial" w:hAnsi="Arial" w:cs="Arial"/>
                <w:sz w:val="20"/>
              </w:rPr>
            </w:pPr>
            <w:r w:rsidRPr="00806B7F">
              <w:rPr>
                <w:rFonts w:ascii="Arial" w:hAnsi="Arial" w:cs="Arial"/>
                <w:sz w:val="20"/>
              </w:rPr>
              <w:t>MRP</w:t>
            </w:r>
          </w:p>
        </w:tc>
        <w:tc>
          <w:tcPr>
            <w:tcW w:w="1559" w:type="dxa"/>
          </w:tcPr>
          <w:p w14:paraId="166152D7"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0.010</w:t>
            </w:r>
          </w:p>
        </w:tc>
        <w:tc>
          <w:tcPr>
            <w:tcW w:w="1559" w:type="dxa"/>
          </w:tcPr>
          <w:p w14:paraId="2EB3CBE9"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w:t>
            </w:r>
          </w:p>
        </w:tc>
        <w:tc>
          <w:tcPr>
            <w:tcW w:w="1559" w:type="dxa"/>
          </w:tcPr>
          <w:p w14:paraId="42A28043"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w:t>
            </w:r>
          </w:p>
        </w:tc>
        <w:tc>
          <w:tcPr>
            <w:tcW w:w="1560" w:type="dxa"/>
          </w:tcPr>
          <w:p w14:paraId="6F1F6347"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w:t>
            </w:r>
          </w:p>
        </w:tc>
      </w:tr>
      <w:tr w:rsidR="00C24569" w:rsidRPr="00806B7F" w14:paraId="287E01EB" w14:textId="77777777" w:rsidTr="00A369A1">
        <w:tc>
          <w:tcPr>
            <w:tcW w:w="2088" w:type="dxa"/>
          </w:tcPr>
          <w:p w14:paraId="3B753474" w14:textId="77777777" w:rsidR="00C24569" w:rsidRPr="00806B7F" w:rsidRDefault="00C24569" w:rsidP="00A369A1">
            <w:pPr>
              <w:spacing w:line="259" w:lineRule="auto"/>
              <w:rPr>
                <w:rFonts w:ascii="Arial" w:hAnsi="Arial" w:cs="Arial"/>
                <w:sz w:val="20"/>
              </w:rPr>
            </w:pPr>
            <w:r w:rsidRPr="00806B7F">
              <w:rPr>
                <w:rFonts w:ascii="Arial" w:hAnsi="Arial" w:cs="Arial"/>
                <w:sz w:val="20"/>
              </w:rPr>
              <w:t>Interest receivable</w:t>
            </w:r>
          </w:p>
        </w:tc>
        <w:tc>
          <w:tcPr>
            <w:tcW w:w="1559" w:type="dxa"/>
          </w:tcPr>
          <w:p w14:paraId="1A6A1DCF"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(0.770)</w:t>
            </w:r>
          </w:p>
        </w:tc>
        <w:tc>
          <w:tcPr>
            <w:tcW w:w="1559" w:type="dxa"/>
          </w:tcPr>
          <w:p w14:paraId="7406559A"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(1.300)</w:t>
            </w:r>
          </w:p>
        </w:tc>
        <w:tc>
          <w:tcPr>
            <w:tcW w:w="1559" w:type="dxa"/>
          </w:tcPr>
          <w:p w14:paraId="320EF91F"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(1.000)</w:t>
            </w:r>
          </w:p>
        </w:tc>
        <w:tc>
          <w:tcPr>
            <w:tcW w:w="1560" w:type="dxa"/>
          </w:tcPr>
          <w:p w14:paraId="0377DDA0"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(0.650)</w:t>
            </w:r>
          </w:p>
        </w:tc>
      </w:tr>
      <w:tr w:rsidR="00C24569" w:rsidRPr="00806B7F" w14:paraId="67C25459" w14:textId="77777777" w:rsidTr="00A369A1">
        <w:tc>
          <w:tcPr>
            <w:tcW w:w="2088" w:type="dxa"/>
          </w:tcPr>
          <w:p w14:paraId="051C5018" w14:textId="77777777" w:rsidR="00C24569" w:rsidRPr="00806B7F" w:rsidRDefault="00C24569" w:rsidP="00A369A1">
            <w:pPr>
              <w:spacing w:line="259" w:lineRule="auto"/>
              <w:rPr>
                <w:rFonts w:ascii="Arial" w:hAnsi="Arial" w:cs="Arial"/>
                <w:sz w:val="20"/>
              </w:rPr>
            </w:pPr>
            <w:r w:rsidRPr="00806B7F">
              <w:rPr>
                <w:rFonts w:ascii="Arial" w:hAnsi="Arial" w:cs="Arial"/>
                <w:sz w:val="20"/>
              </w:rPr>
              <w:t>Net budget</w:t>
            </w:r>
          </w:p>
        </w:tc>
        <w:tc>
          <w:tcPr>
            <w:tcW w:w="1559" w:type="dxa"/>
          </w:tcPr>
          <w:p w14:paraId="2A395348"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(0.680)</w:t>
            </w:r>
          </w:p>
        </w:tc>
        <w:tc>
          <w:tcPr>
            <w:tcW w:w="1559" w:type="dxa"/>
          </w:tcPr>
          <w:p w14:paraId="743CAB39"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(1.210)</w:t>
            </w:r>
          </w:p>
        </w:tc>
        <w:tc>
          <w:tcPr>
            <w:tcW w:w="1559" w:type="dxa"/>
          </w:tcPr>
          <w:p w14:paraId="5681A124"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(0.910)</w:t>
            </w:r>
          </w:p>
        </w:tc>
        <w:tc>
          <w:tcPr>
            <w:tcW w:w="1560" w:type="dxa"/>
          </w:tcPr>
          <w:p w14:paraId="460FD099" w14:textId="77777777" w:rsidR="00C24569" w:rsidRPr="00806B7F" w:rsidRDefault="00C24569" w:rsidP="00A369A1">
            <w:pPr>
              <w:spacing w:line="259" w:lineRule="auto"/>
              <w:jc w:val="center"/>
              <w:rPr>
                <w:rFonts w:ascii="Arial" w:hAnsi="Arial" w:cs="Arial"/>
                <w:sz w:val="20"/>
              </w:rPr>
            </w:pPr>
            <w:r w:rsidRPr="00806B7F">
              <w:rPr>
                <w:rFonts w:ascii="Arial" w:hAnsi="Arial" w:cs="Arial"/>
                <w:sz w:val="20"/>
              </w:rPr>
              <w:t>(0.560)</w:t>
            </w:r>
          </w:p>
        </w:tc>
      </w:tr>
    </w:tbl>
    <w:p w14:paraId="252AC136" w14:textId="77777777" w:rsidR="00C24569" w:rsidRPr="00806B7F" w:rsidRDefault="00C24569" w:rsidP="00C24569">
      <w:pPr>
        <w:spacing w:line="259" w:lineRule="auto"/>
        <w:ind w:left="34"/>
        <w:rPr>
          <w:rFonts w:ascii="Arial" w:hAnsi="Arial" w:cs="Arial"/>
          <w:sz w:val="20"/>
        </w:rPr>
      </w:pPr>
    </w:p>
    <w:p w14:paraId="7442F727" w14:textId="77777777" w:rsidR="00C24569" w:rsidRPr="00806B7F" w:rsidRDefault="00C24569" w:rsidP="00C24569">
      <w:pPr>
        <w:spacing w:line="250" w:lineRule="auto"/>
        <w:ind w:left="29"/>
        <w:rPr>
          <w:rFonts w:ascii="Arial" w:hAnsi="Arial" w:cs="Arial"/>
          <w:sz w:val="20"/>
        </w:rPr>
      </w:pPr>
      <w:r w:rsidRPr="00806B7F">
        <w:rPr>
          <w:rFonts w:ascii="Arial" w:hAnsi="Arial" w:cs="Arial"/>
          <w:b/>
          <w:sz w:val="20"/>
        </w:rPr>
        <w:t xml:space="preserve">Prudential Indicators for 2022/23 to 2025/26 in respect of the Combined Fire Authority's Treasury Management Activities. </w:t>
      </w:r>
    </w:p>
    <w:p w14:paraId="48107865" w14:textId="77777777" w:rsidR="00C24569" w:rsidRPr="00806B7F" w:rsidRDefault="00C24569" w:rsidP="00C24569">
      <w:pPr>
        <w:spacing w:line="259" w:lineRule="auto"/>
        <w:ind w:left="34"/>
        <w:rPr>
          <w:rFonts w:ascii="Arial" w:hAnsi="Arial" w:cs="Arial"/>
          <w:sz w:val="20"/>
          <w:highlight w:val="yellow"/>
        </w:rPr>
      </w:pPr>
      <w:r w:rsidRPr="00806B7F">
        <w:rPr>
          <w:rFonts w:ascii="Arial" w:hAnsi="Arial" w:cs="Arial"/>
          <w:b/>
          <w:sz w:val="20"/>
          <w:highlight w:val="yellow"/>
        </w:rPr>
        <w:t xml:space="preserve"> </w:t>
      </w:r>
    </w:p>
    <w:p w14:paraId="3AE7A3D1"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In accordance with its statutory duty and with the requirements of the Prudential Code for Capital Finance and the CIPFA Code for Treasury Management, the Combined Fire Authority produces each year a set of prudential indicators which regulate and control its treasury management activities. </w:t>
      </w:r>
    </w:p>
    <w:p w14:paraId="63845CB2"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67E4F559" w14:textId="77777777" w:rsidR="00C24569" w:rsidRPr="00806B7F" w:rsidRDefault="00C24569" w:rsidP="003C3CC6">
      <w:pPr>
        <w:ind w:left="29" w:right="53"/>
        <w:jc w:val="both"/>
        <w:rPr>
          <w:rFonts w:ascii="Arial" w:hAnsi="Arial" w:cs="Arial"/>
          <w:sz w:val="20"/>
        </w:rPr>
      </w:pPr>
      <w:r w:rsidRPr="00806B7F">
        <w:rPr>
          <w:rFonts w:ascii="Arial" w:hAnsi="Arial" w:cs="Arial"/>
          <w:sz w:val="20"/>
        </w:rPr>
        <w:t xml:space="preserve">The following table sets out the debt and investment-related indicators which provide the framework for the Authority’s proposed borrowing and lending activities over the coming three years.  These indicators will also be approved by members as part of the Capital Programme approval process along with other capital expenditure-related </w:t>
      </w:r>
      <w:proofErr w:type="gramStart"/>
      <w:r w:rsidRPr="00806B7F">
        <w:rPr>
          <w:rFonts w:ascii="Arial" w:hAnsi="Arial" w:cs="Arial"/>
          <w:sz w:val="20"/>
        </w:rPr>
        <w:t>indicators, but</w:t>
      </w:r>
      <w:proofErr w:type="gramEnd"/>
      <w:r w:rsidRPr="00806B7F">
        <w:rPr>
          <w:rFonts w:ascii="Arial" w:hAnsi="Arial" w:cs="Arial"/>
          <w:sz w:val="20"/>
        </w:rPr>
        <w:t xml:space="preserve"> need to be reaffirmed and approved as part of this Treasury Management Strategy. </w:t>
      </w:r>
    </w:p>
    <w:p w14:paraId="55A54B9F" w14:textId="77777777" w:rsidR="00C24569" w:rsidRPr="00806B7F" w:rsidRDefault="00C24569" w:rsidP="003C3CC6">
      <w:pPr>
        <w:spacing w:line="259" w:lineRule="auto"/>
        <w:ind w:left="34"/>
        <w:jc w:val="both"/>
        <w:rPr>
          <w:rFonts w:ascii="Arial" w:hAnsi="Arial" w:cs="Arial"/>
          <w:sz w:val="20"/>
        </w:rPr>
      </w:pPr>
      <w:r w:rsidRPr="00806B7F">
        <w:rPr>
          <w:rFonts w:ascii="Arial" w:hAnsi="Arial" w:cs="Arial"/>
          <w:sz w:val="20"/>
        </w:rPr>
        <w:t xml:space="preserve"> </w:t>
      </w:r>
    </w:p>
    <w:p w14:paraId="4152E901" w14:textId="77777777" w:rsidR="00C24569" w:rsidRPr="00806B7F" w:rsidRDefault="00C24569" w:rsidP="003C3CC6">
      <w:pPr>
        <w:ind w:left="29" w:right="53"/>
        <w:jc w:val="both"/>
        <w:rPr>
          <w:rFonts w:ascii="Arial" w:hAnsi="Arial" w:cs="Arial"/>
          <w:sz w:val="20"/>
        </w:rPr>
      </w:pPr>
      <w:r w:rsidRPr="00806B7F">
        <w:rPr>
          <w:rFonts w:ascii="Arial" w:hAnsi="Arial" w:cs="Arial"/>
          <w:sz w:val="20"/>
        </w:rPr>
        <w:t>It should be noted that contained within the external debt limits, there are allowances for outstanding liabilities in respect of the PFI schemes and leases. However, accounting standards are likely to change in relation to recording leases. In effect more leases are likely to be included on the balance sheet and therefore will be included against the other long term liabilities indicators. At this stage work is on-going to quantify the impact of the change and therefore the other long term liabilities limits may be subject to change.</w:t>
      </w:r>
    </w:p>
    <w:p w14:paraId="24C1A7D4" w14:textId="77777777" w:rsidR="00C24569" w:rsidRPr="00806B7F" w:rsidRDefault="00C24569" w:rsidP="003C3CC6">
      <w:pPr>
        <w:pStyle w:val="Heading1"/>
        <w:rPr>
          <w:rFonts w:ascii="Arial" w:hAnsi="Arial" w:cs="Arial"/>
          <w:sz w:val="20"/>
          <w:highlight w:val="yellow"/>
        </w:rPr>
      </w:pPr>
    </w:p>
    <w:p w14:paraId="34502909" w14:textId="77777777" w:rsidR="00C24569" w:rsidRPr="00806B7F" w:rsidRDefault="00C24569" w:rsidP="00C24569">
      <w:pPr>
        <w:pStyle w:val="Heading1"/>
        <w:rPr>
          <w:rFonts w:ascii="Arial" w:hAnsi="Arial" w:cs="Arial"/>
          <w:sz w:val="20"/>
        </w:rPr>
      </w:pPr>
      <w:r w:rsidRPr="00806B7F">
        <w:rPr>
          <w:rFonts w:ascii="Arial" w:hAnsi="Arial" w:cs="Arial"/>
          <w:sz w:val="20"/>
        </w:rPr>
        <w:t>Treasury Management Prudential Indicators</w:t>
      </w:r>
    </w:p>
    <w:p w14:paraId="024320E1" w14:textId="77777777" w:rsidR="00C24569" w:rsidRPr="00806B7F" w:rsidRDefault="00C24569" w:rsidP="00C24569">
      <w:pPr>
        <w:pStyle w:val="Heading1"/>
        <w:rPr>
          <w:rFonts w:ascii="Arial" w:hAnsi="Arial" w:cs="Arial"/>
          <w:sz w:val="20"/>
        </w:rPr>
      </w:pPr>
      <w:r w:rsidRPr="00806B7F">
        <w:rPr>
          <w:rFonts w:ascii="Arial" w:hAnsi="Arial" w:cs="Arial"/>
          <w:sz w:val="20"/>
        </w:rPr>
        <w:t xml:space="preserve"> </w:t>
      </w:r>
    </w:p>
    <w:p w14:paraId="64510CB6" w14:textId="77777777" w:rsidR="00C24569" w:rsidRPr="00806B7F" w:rsidRDefault="00C24569" w:rsidP="00C24569">
      <w:pPr>
        <w:keepNext/>
        <w:spacing w:after="200"/>
        <w:rPr>
          <w:rFonts w:ascii="Arial" w:eastAsia="Calibri" w:hAnsi="Arial" w:cs="Arial"/>
          <w:i/>
          <w:iCs/>
          <w:color w:val="44546A"/>
          <w:sz w:val="20"/>
          <w:lang w:eastAsia="en-US"/>
        </w:rPr>
      </w:pPr>
      <w:r w:rsidRPr="00806B7F">
        <w:rPr>
          <w:rFonts w:ascii="Arial" w:eastAsia="Calibri" w:hAnsi="Arial" w:cs="Arial"/>
          <w:i/>
          <w:iCs/>
          <w:color w:val="44546A"/>
          <w:sz w:val="20"/>
          <w:lang w:eastAsia="en-US"/>
        </w:rPr>
        <w:t xml:space="preserve"> Table 13 Treasury Management Prudential Indicators</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4"/>
        <w:gridCol w:w="1193"/>
        <w:gridCol w:w="1194"/>
        <w:gridCol w:w="1193"/>
        <w:gridCol w:w="1194"/>
      </w:tblGrid>
      <w:tr w:rsidR="00C24569" w:rsidRPr="00806B7F" w14:paraId="773483E0" w14:textId="77777777" w:rsidTr="00A369A1">
        <w:tc>
          <w:tcPr>
            <w:tcW w:w="4854" w:type="dxa"/>
          </w:tcPr>
          <w:p w14:paraId="14618C12" w14:textId="77777777" w:rsidR="00C24569" w:rsidRPr="00806B7F" w:rsidRDefault="00C24569" w:rsidP="00A369A1">
            <w:pPr>
              <w:pStyle w:val="Heading1"/>
              <w:rPr>
                <w:rFonts w:ascii="Arial" w:hAnsi="Arial" w:cs="Arial"/>
                <w:sz w:val="20"/>
              </w:rPr>
            </w:pPr>
          </w:p>
        </w:tc>
        <w:tc>
          <w:tcPr>
            <w:tcW w:w="1193" w:type="dxa"/>
            <w:vAlign w:val="center"/>
          </w:tcPr>
          <w:p w14:paraId="7D4752DF" w14:textId="77777777" w:rsidR="00C24569" w:rsidRPr="00806B7F" w:rsidRDefault="00C24569" w:rsidP="00A369A1">
            <w:pPr>
              <w:jc w:val="center"/>
              <w:rPr>
                <w:rFonts w:ascii="Arial" w:hAnsi="Arial" w:cs="Arial"/>
                <w:b/>
                <w:sz w:val="20"/>
              </w:rPr>
            </w:pPr>
            <w:r w:rsidRPr="00806B7F">
              <w:rPr>
                <w:rFonts w:ascii="Arial" w:hAnsi="Arial" w:cs="Arial"/>
                <w:b/>
                <w:sz w:val="20"/>
              </w:rPr>
              <w:t>2022/23Revised</w:t>
            </w:r>
          </w:p>
        </w:tc>
        <w:tc>
          <w:tcPr>
            <w:tcW w:w="1194" w:type="dxa"/>
            <w:vAlign w:val="center"/>
          </w:tcPr>
          <w:p w14:paraId="34432807" w14:textId="77777777" w:rsidR="00C24569" w:rsidRPr="00806B7F" w:rsidRDefault="00C24569" w:rsidP="00A369A1">
            <w:pPr>
              <w:jc w:val="center"/>
              <w:rPr>
                <w:rFonts w:ascii="Arial" w:hAnsi="Arial" w:cs="Arial"/>
                <w:b/>
                <w:sz w:val="20"/>
              </w:rPr>
            </w:pPr>
            <w:r w:rsidRPr="00806B7F">
              <w:rPr>
                <w:rFonts w:ascii="Arial" w:hAnsi="Arial" w:cs="Arial"/>
                <w:b/>
                <w:sz w:val="20"/>
              </w:rPr>
              <w:t>2023/24</w:t>
            </w:r>
          </w:p>
        </w:tc>
        <w:tc>
          <w:tcPr>
            <w:tcW w:w="1193" w:type="dxa"/>
            <w:vAlign w:val="center"/>
          </w:tcPr>
          <w:p w14:paraId="0F63677E" w14:textId="77777777" w:rsidR="00C24569" w:rsidRPr="00806B7F" w:rsidRDefault="00C24569" w:rsidP="00A369A1">
            <w:pPr>
              <w:jc w:val="center"/>
              <w:rPr>
                <w:rFonts w:ascii="Arial" w:hAnsi="Arial" w:cs="Arial"/>
                <w:b/>
                <w:sz w:val="20"/>
              </w:rPr>
            </w:pPr>
            <w:r w:rsidRPr="00806B7F">
              <w:rPr>
                <w:rFonts w:ascii="Arial" w:hAnsi="Arial" w:cs="Arial"/>
                <w:b/>
                <w:sz w:val="20"/>
              </w:rPr>
              <w:t>2024/25</w:t>
            </w:r>
          </w:p>
        </w:tc>
        <w:tc>
          <w:tcPr>
            <w:tcW w:w="1194" w:type="dxa"/>
            <w:vAlign w:val="center"/>
          </w:tcPr>
          <w:p w14:paraId="7386032B" w14:textId="77777777" w:rsidR="00C24569" w:rsidRPr="00806B7F" w:rsidRDefault="00C24569" w:rsidP="00A369A1">
            <w:pPr>
              <w:jc w:val="center"/>
              <w:rPr>
                <w:rFonts w:ascii="Arial" w:hAnsi="Arial" w:cs="Arial"/>
                <w:b/>
                <w:sz w:val="20"/>
              </w:rPr>
            </w:pPr>
            <w:r w:rsidRPr="00806B7F">
              <w:rPr>
                <w:rFonts w:ascii="Arial" w:hAnsi="Arial" w:cs="Arial"/>
                <w:b/>
                <w:sz w:val="20"/>
              </w:rPr>
              <w:t>2025/26</w:t>
            </w:r>
          </w:p>
        </w:tc>
      </w:tr>
      <w:tr w:rsidR="00C24569" w:rsidRPr="00806B7F" w14:paraId="4C6F44CD" w14:textId="77777777" w:rsidTr="00A369A1">
        <w:tc>
          <w:tcPr>
            <w:tcW w:w="4854" w:type="dxa"/>
          </w:tcPr>
          <w:p w14:paraId="34B420F0" w14:textId="77777777" w:rsidR="00C24569" w:rsidRPr="00806B7F" w:rsidRDefault="00C24569" w:rsidP="00A369A1">
            <w:pPr>
              <w:spacing w:after="120"/>
              <w:rPr>
                <w:rFonts w:ascii="Arial" w:hAnsi="Arial" w:cs="Arial"/>
                <w:sz w:val="20"/>
              </w:rPr>
            </w:pPr>
          </w:p>
        </w:tc>
        <w:tc>
          <w:tcPr>
            <w:tcW w:w="1193" w:type="dxa"/>
          </w:tcPr>
          <w:p w14:paraId="7D6054B3"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w:t>
            </w:r>
            <w:r w:rsidRPr="00806B7F">
              <w:rPr>
                <w:rFonts w:ascii="Arial" w:hAnsi="Arial" w:cs="Arial"/>
                <w:sz w:val="20"/>
              </w:rPr>
              <w:t>m</w:t>
            </w:r>
          </w:p>
        </w:tc>
        <w:tc>
          <w:tcPr>
            <w:tcW w:w="1194" w:type="dxa"/>
          </w:tcPr>
          <w:p w14:paraId="739E5C19"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w:t>
            </w:r>
            <w:r w:rsidRPr="00806B7F">
              <w:rPr>
                <w:rFonts w:ascii="Arial" w:hAnsi="Arial" w:cs="Arial"/>
                <w:sz w:val="20"/>
              </w:rPr>
              <w:t>m</w:t>
            </w:r>
          </w:p>
        </w:tc>
        <w:tc>
          <w:tcPr>
            <w:tcW w:w="1193" w:type="dxa"/>
          </w:tcPr>
          <w:p w14:paraId="1D401BB4" w14:textId="77777777" w:rsidR="00C24569" w:rsidRPr="00806B7F" w:rsidRDefault="00C24569" w:rsidP="00A369A1">
            <w:pPr>
              <w:spacing w:after="120"/>
              <w:jc w:val="center"/>
              <w:rPr>
                <w:rFonts w:ascii="Arial" w:hAnsi="Arial" w:cs="Arial"/>
                <w:sz w:val="20"/>
              </w:rPr>
            </w:pPr>
            <w:r w:rsidRPr="00806B7F">
              <w:rPr>
                <w:rFonts w:ascii="Arial" w:hAnsi="Arial" w:cs="Arial"/>
                <w:caps/>
                <w:sz w:val="20"/>
              </w:rPr>
              <w:t>£</w:t>
            </w:r>
            <w:r w:rsidRPr="00806B7F">
              <w:rPr>
                <w:rFonts w:ascii="Arial" w:hAnsi="Arial" w:cs="Arial"/>
                <w:sz w:val="20"/>
              </w:rPr>
              <w:t>m</w:t>
            </w:r>
          </w:p>
        </w:tc>
        <w:tc>
          <w:tcPr>
            <w:tcW w:w="1194" w:type="dxa"/>
          </w:tcPr>
          <w:p w14:paraId="3F737C2B"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w:t>
            </w:r>
            <w:r w:rsidRPr="00806B7F">
              <w:rPr>
                <w:rFonts w:ascii="Arial" w:hAnsi="Arial" w:cs="Arial"/>
                <w:sz w:val="20"/>
              </w:rPr>
              <w:t>m</w:t>
            </w:r>
          </w:p>
        </w:tc>
      </w:tr>
      <w:tr w:rsidR="00C24569" w:rsidRPr="00806B7F" w14:paraId="39B61E6B" w14:textId="77777777" w:rsidTr="00A369A1">
        <w:trPr>
          <w:cantSplit/>
          <w:trHeight w:val="861"/>
        </w:trPr>
        <w:tc>
          <w:tcPr>
            <w:tcW w:w="4854" w:type="dxa"/>
          </w:tcPr>
          <w:p w14:paraId="63AF5BBD" w14:textId="77777777" w:rsidR="00C24569" w:rsidRPr="00806B7F" w:rsidRDefault="00C24569" w:rsidP="00C24569">
            <w:pPr>
              <w:numPr>
                <w:ilvl w:val="0"/>
                <w:numId w:val="11"/>
              </w:numPr>
              <w:tabs>
                <w:tab w:val="clear" w:pos="720"/>
                <w:tab w:val="num" w:pos="342"/>
              </w:tabs>
              <w:spacing w:after="240"/>
              <w:ind w:left="342" w:hanging="342"/>
              <w:jc w:val="both"/>
              <w:rPr>
                <w:rFonts w:ascii="Arial" w:hAnsi="Arial" w:cs="Arial"/>
                <w:b/>
                <w:sz w:val="20"/>
              </w:rPr>
            </w:pPr>
            <w:r w:rsidRPr="00806B7F">
              <w:rPr>
                <w:rFonts w:ascii="Arial" w:hAnsi="Arial" w:cs="Arial"/>
                <w:b/>
                <w:sz w:val="20"/>
              </w:rPr>
              <w:t>Adoption of the Revised CIPFA Code of Practice on Treasury Management (2011)</w:t>
            </w:r>
          </w:p>
        </w:tc>
        <w:tc>
          <w:tcPr>
            <w:tcW w:w="4774" w:type="dxa"/>
            <w:gridSpan w:val="4"/>
            <w:vAlign w:val="center"/>
          </w:tcPr>
          <w:p w14:paraId="595F57BF" w14:textId="77777777" w:rsidR="00C24569" w:rsidRPr="00806B7F" w:rsidRDefault="00C24569" w:rsidP="00A369A1">
            <w:pPr>
              <w:spacing w:after="240"/>
              <w:jc w:val="center"/>
              <w:rPr>
                <w:rFonts w:ascii="Arial" w:hAnsi="Arial" w:cs="Arial"/>
                <w:sz w:val="20"/>
              </w:rPr>
            </w:pPr>
            <w:r w:rsidRPr="00806B7F">
              <w:rPr>
                <w:rFonts w:ascii="Arial" w:hAnsi="Arial" w:cs="Arial"/>
                <w:sz w:val="20"/>
              </w:rPr>
              <w:t>Adopted for all years</w:t>
            </w:r>
          </w:p>
        </w:tc>
      </w:tr>
      <w:tr w:rsidR="00C24569" w:rsidRPr="00806B7F" w14:paraId="5C3236EA" w14:textId="77777777" w:rsidTr="00A369A1">
        <w:tc>
          <w:tcPr>
            <w:tcW w:w="4854" w:type="dxa"/>
          </w:tcPr>
          <w:p w14:paraId="1AB9B528" w14:textId="77777777" w:rsidR="00C24569" w:rsidRPr="00806B7F" w:rsidRDefault="00C24569" w:rsidP="00C24569">
            <w:pPr>
              <w:numPr>
                <w:ilvl w:val="0"/>
                <w:numId w:val="11"/>
              </w:numPr>
              <w:tabs>
                <w:tab w:val="clear" w:pos="720"/>
                <w:tab w:val="num" w:pos="342"/>
              </w:tabs>
              <w:spacing w:after="120"/>
              <w:ind w:left="342" w:hanging="342"/>
              <w:jc w:val="both"/>
              <w:rPr>
                <w:rFonts w:ascii="Arial" w:hAnsi="Arial" w:cs="Arial"/>
                <w:b/>
                <w:sz w:val="20"/>
              </w:rPr>
            </w:pPr>
            <w:r w:rsidRPr="00806B7F">
              <w:rPr>
                <w:rFonts w:ascii="Arial" w:hAnsi="Arial" w:cs="Arial"/>
                <w:b/>
                <w:sz w:val="20"/>
              </w:rPr>
              <w:t>Authorised limit for external debt</w:t>
            </w:r>
            <w:r w:rsidRPr="00806B7F">
              <w:rPr>
                <w:rFonts w:ascii="Arial" w:hAnsi="Arial" w:cs="Arial"/>
                <w:sz w:val="20"/>
              </w:rPr>
              <w:t xml:space="preserve"> - A prudent estimate of external debt, which includes sufficient headroom for unusual cash movements.</w:t>
            </w:r>
          </w:p>
        </w:tc>
        <w:tc>
          <w:tcPr>
            <w:tcW w:w="1193" w:type="dxa"/>
          </w:tcPr>
          <w:p w14:paraId="6167818B" w14:textId="77777777" w:rsidR="00C24569" w:rsidRPr="00806B7F" w:rsidRDefault="00C24569" w:rsidP="00A369A1">
            <w:pPr>
              <w:tabs>
                <w:tab w:val="decimal" w:pos="792"/>
              </w:tabs>
              <w:spacing w:after="120"/>
              <w:jc w:val="center"/>
              <w:rPr>
                <w:rFonts w:ascii="Arial" w:hAnsi="Arial" w:cs="Arial"/>
                <w:caps/>
                <w:sz w:val="20"/>
              </w:rPr>
            </w:pPr>
          </w:p>
        </w:tc>
        <w:tc>
          <w:tcPr>
            <w:tcW w:w="1194" w:type="dxa"/>
          </w:tcPr>
          <w:p w14:paraId="5AE18C4F" w14:textId="77777777" w:rsidR="00C24569" w:rsidRPr="00806B7F" w:rsidRDefault="00C24569" w:rsidP="00A369A1">
            <w:pPr>
              <w:tabs>
                <w:tab w:val="decimal" w:pos="792"/>
              </w:tabs>
              <w:spacing w:after="120"/>
              <w:jc w:val="center"/>
              <w:rPr>
                <w:rFonts w:ascii="Arial" w:hAnsi="Arial" w:cs="Arial"/>
                <w:caps/>
                <w:sz w:val="20"/>
              </w:rPr>
            </w:pPr>
          </w:p>
        </w:tc>
        <w:tc>
          <w:tcPr>
            <w:tcW w:w="1193" w:type="dxa"/>
          </w:tcPr>
          <w:p w14:paraId="19D0923C" w14:textId="77777777" w:rsidR="00C24569" w:rsidRPr="00806B7F" w:rsidRDefault="00C24569" w:rsidP="00A369A1">
            <w:pPr>
              <w:tabs>
                <w:tab w:val="decimal" w:pos="792"/>
              </w:tabs>
              <w:spacing w:after="120"/>
              <w:jc w:val="center"/>
              <w:rPr>
                <w:rFonts w:ascii="Arial" w:hAnsi="Arial" w:cs="Arial"/>
                <w:sz w:val="20"/>
              </w:rPr>
            </w:pPr>
          </w:p>
        </w:tc>
        <w:tc>
          <w:tcPr>
            <w:tcW w:w="1194" w:type="dxa"/>
          </w:tcPr>
          <w:p w14:paraId="7186D1F9" w14:textId="77777777" w:rsidR="00C24569" w:rsidRPr="00806B7F" w:rsidRDefault="00C24569" w:rsidP="00A369A1">
            <w:pPr>
              <w:tabs>
                <w:tab w:val="decimal" w:pos="792"/>
              </w:tabs>
              <w:spacing w:after="120"/>
              <w:jc w:val="center"/>
              <w:rPr>
                <w:rFonts w:ascii="Arial" w:hAnsi="Arial" w:cs="Arial"/>
                <w:sz w:val="20"/>
              </w:rPr>
            </w:pPr>
          </w:p>
        </w:tc>
      </w:tr>
      <w:tr w:rsidR="00C24569" w:rsidRPr="00806B7F" w14:paraId="36BC12C1" w14:textId="77777777" w:rsidTr="00A369A1">
        <w:tc>
          <w:tcPr>
            <w:tcW w:w="4854" w:type="dxa"/>
          </w:tcPr>
          <w:p w14:paraId="0D7199C9" w14:textId="77777777" w:rsidR="00C24569" w:rsidRPr="00806B7F" w:rsidRDefault="00C24569" w:rsidP="00A369A1">
            <w:pPr>
              <w:tabs>
                <w:tab w:val="left" w:pos="342"/>
              </w:tabs>
              <w:spacing w:after="120"/>
              <w:ind w:left="342"/>
              <w:rPr>
                <w:rFonts w:ascii="Arial" w:hAnsi="Arial" w:cs="Arial"/>
                <w:sz w:val="20"/>
              </w:rPr>
            </w:pPr>
            <w:r w:rsidRPr="00806B7F">
              <w:rPr>
                <w:rFonts w:ascii="Arial" w:hAnsi="Arial" w:cs="Arial"/>
                <w:sz w:val="20"/>
              </w:rPr>
              <w:t>Borrowing</w:t>
            </w:r>
          </w:p>
        </w:tc>
        <w:tc>
          <w:tcPr>
            <w:tcW w:w="1193" w:type="dxa"/>
            <w:vAlign w:val="center"/>
          </w:tcPr>
          <w:p w14:paraId="5A256146"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4.000</w:t>
            </w:r>
          </w:p>
        </w:tc>
        <w:tc>
          <w:tcPr>
            <w:tcW w:w="1194" w:type="dxa"/>
            <w:vAlign w:val="center"/>
          </w:tcPr>
          <w:p w14:paraId="6711AF8A"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4.000</w:t>
            </w:r>
          </w:p>
        </w:tc>
        <w:tc>
          <w:tcPr>
            <w:tcW w:w="1193" w:type="dxa"/>
            <w:vAlign w:val="center"/>
          </w:tcPr>
          <w:p w14:paraId="2C883DAA"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4.000</w:t>
            </w:r>
          </w:p>
        </w:tc>
        <w:tc>
          <w:tcPr>
            <w:tcW w:w="1194" w:type="dxa"/>
            <w:vAlign w:val="center"/>
          </w:tcPr>
          <w:p w14:paraId="01B27841"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4.000</w:t>
            </w:r>
          </w:p>
        </w:tc>
      </w:tr>
      <w:tr w:rsidR="00C24569" w:rsidRPr="00806B7F" w14:paraId="50DCB5B3" w14:textId="77777777" w:rsidTr="00A369A1">
        <w:tc>
          <w:tcPr>
            <w:tcW w:w="4854" w:type="dxa"/>
          </w:tcPr>
          <w:p w14:paraId="68285858" w14:textId="77777777" w:rsidR="00C24569" w:rsidRPr="00806B7F" w:rsidRDefault="00C24569" w:rsidP="00A369A1">
            <w:pPr>
              <w:tabs>
                <w:tab w:val="left" w:pos="342"/>
              </w:tabs>
              <w:spacing w:after="120"/>
              <w:ind w:left="342"/>
              <w:rPr>
                <w:rFonts w:ascii="Arial" w:hAnsi="Arial" w:cs="Arial"/>
                <w:sz w:val="20"/>
              </w:rPr>
            </w:pPr>
            <w:r w:rsidRPr="00806B7F">
              <w:rPr>
                <w:rFonts w:ascii="Arial" w:hAnsi="Arial" w:cs="Arial"/>
                <w:sz w:val="20"/>
              </w:rPr>
              <w:t>Other long-term liabilities</w:t>
            </w:r>
          </w:p>
        </w:tc>
        <w:tc>
          <w:tcPr>
            <w:tcW w:w="1193" w:type="dxa"/>
          </w:tcPr>
          <w:p w14:paraId="6ED21DD4"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30.000</w:t>
            </w:r>
          </w:p>
        </w:tc>
        <w:tc>
          <w:tcPr>
            <w:tcW w:w="1194" w:type="dxa"/>
          </w:tcPr>
          <w:p w14:paraId="0DCF4382"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30.000</w:t>
            </w:r>
          </w:p>
        </w:tc>
        <w:tc>
          <w:tcPr>
            <w:tcW w:w="1193" w:type="dxa"/>
          </w:tcPr>
          <w:p w14:paraId="635D7E82"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30.000</w:t>
            </w:r>
          </w:p>
        </w:tc>
        <w:tc>
          <w:tcPr>
            <w:tcW w:w="1194" w:type="dxa"/>
          </w:tcPr>
          <w:p w14:paraId="14CB287B"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30.000</w:t>
            </w:r>
          </w:p>
        </w:tc>
      </w:tr>
      <w:tr w:rsidR="00C24569" w:rsidRPr="00806B7F" w14:paraId="796C6DE7" w14:textId="77777777" w:rsidTr="00A369A1">
        <w:tc>
          <w:tcPr>
            <w:tcW w:w="4854" w:type="dxa"/>
          </w:tcPr>
          <w:p w14:paraId="3E3364A7"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TOTAL</w:t>
            </w:r>
          </w:p>
        </w:tc>
        <w:tc>
          <w:tcPr>
            <w:tcW w:w="1193" w:type="dxa"/>
            <w:vAlign w:val="center"/>
          </w:tcPr>
          <w:p w14:paraId="54A91F3A"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34.000</w:t>
            </w:r>
          </w:p>
        </w:tc>
        <w:tc>
          <w:tcPr>
            <w:tcW w:w="1194" w:type="dxa"/>
            <w:vAlign w:val="center"/>
          </w:tcPr>
          <w:p w14:paraId="771FD5A0"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34.000</w:t>
            </w:r>
          </w:p>
        </w:tc>
        <w:tc>
          <w:tcPr>
            <w:tcW w:w="1193" w:type="dxa"/>
            <w:vAlign w:val="center"/>
          </w:tcPr>
          <w:p w14:paraId="1B534800"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34.000</w:t>
            </w:r>
          </w:p>
        </w:tc>
        <w:tc>
          <w:tcPr>
            <w:tcW w:w="1194" w:type="dxa"/>
            <w:vAlign w:val="center"/>
          </w:tcPr>
          <w:p w14:paraId="64FDD8A0"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34.000</w:t>
            </w:r>
          </w:p>
        </w:tc>
      </w:tr>
      <w:tr w:rsidR="00C24569" w:rsidRPr="00806B7F" w14:paraId="22CB00B5" w14:textId="77777777" w:rsidTr="00A369A1">
        <w:tc>
          <w:tcPr>
            <w:tcW w:w="4854" w:type="dxa"/>
          </w:tcPr>
          <w:p w14:paraId="4FC139D1" w14:textId="77777777" w:rsidR="00C24569" w:rsidRPr="00806B7F" w:rsidRDefault="00C24569" w:rsidP="00C24569">
            <w:pPr>
              <w:numPr>
                <w:ilvl w:val="0"/>
                <w:numId w:val="11"/>
              </w:numPr>
              <w:tabs>
                <w:tab w:val="clear" w:pos="720"/>
                <w:tab w:val="num" w:pos="342"/>
              </w:tabs>
              <w:spacing w:before="240" w:after="120"/>
              <w:ind w:left="342" w:hanging="342"/>
              <w:jc w:val="both"/>
              <w:rPr>
                <w:rFonts w:ascii="Arial" w:hAnsi="Arial" w:cs="Arial"/>
                <w:b/>
                <w:sz w:val="20"/>
              </w:rPr>
            </w:pPr>
            <w:r w:rsidRPr="00806B7F">
              <w:rPr>
                <w:rFonts w:ascii="Arial" w:hAnsi="Arial" w:cs="Arial"/>
                <w:b/>
                <w:sz w:val="20"/>
              </w:rPr>
              <w:t>Operational boundary for external debt</w:t>
            </w:r>
            <w:r w:rsidRPr="00806B7F">
              <w:rPr>
                <w:rFonts w:ascii="Arial" w:hAnsi="Arial" w:cs="Arial"/>
                <w:sz w:val="20"/>
              </w:rPr>
              <w:t xml:space="preserve"> - A prudent estimate of debt, but no provision for unusual cash movements.  It represents the estimated maximum external debt arising </w:t>
            </w:r>
            <w:proofErr w:type="gramStart"/>
            <w:r w:rsidRPr="00806B7F">
              <w:rPr>
                <w:rFonts w:ascii="Arial" w:hAnsi="Arial" w:cs="Arial"/>
                <w:sz w:val="20"/>
              </w:rPr>
              <w:t>as a consequence of</w:t>
            </w:r>
            <w:proofErr w:type="gramEnd"/>
            <w:r w:rsidRPr="00806B7F">
              <w:rPr>
                <w:rFonts w:ascii="Arial" w:hAnsi="Arial" w:cs="Arial"/>
                <w:sz w:val="20"/>
              </w:rPr>
              <w:t xml:space="preserve"> the Authority's current plans.</w:t>
            </w:r>
          </w:p>
        </w:tc>
        <w:tc>
          <w:tcPr>
            <w:tcW w:w="1193" w:type="dxa"/>
          </w:tcPr>
          <w:p w14:paraId="42D3ED5A" w14:textId="77777777" w:rsidR="00C24569" w:rsidRPr="00806B7F" w:rsidRDefault="00C24569" w:rsidP="00A369A1">
            <w:pPr>
              <w:tabs>
                <w:tab w:val="decimal" w:pos="792"/>
              </w:tabs>
              <w:spacing w:before="240" w:after="120"/>
              <w:jc w:val="center"/>
              <w:rPr>
                <w:rFonts w:ascii="Arial" w:hAnsi="Arial" w:cs="Arial"/>
                <w:caps/>
                <w:sz w:val="20"/>
              </w:rPr>
            </w:pPr>
          </w:p>
        </w:tc>
        <w:tc>
          <w:tcPr>
            <w:tcW w:w="1194" w:type="dxa"/>
          </w:tcPr>
          <w:p w14:paraId="57457B26" w14:textId="77777777" w:rsidR="00C24569" w:rsidRPr="00806B7F" w:rsidRDefault="00C24569" w:rsidP="00A369A1">
            <w:pPr>
              <w:tabs>
                <w:tab w:val="decimal" w:pos="792"/>
              </w:tabs>
              <w:spacing w:before="240" w:after="120"/>
              <w:jc w:val="center"/>
              <w:rPr>
                <w:rFonts w:ascii="Arial" w:hAnsi="Arial" w:cs="Arial"/>
                <w:caps/>
                <w:sz w:val="20"/>
              </w:rPr>
            </w:pPr>
          </w:p>
        </w:tc>
        <w:tc>
          <w:tcPr>
            <w:tcW w:w="1193" w:type="dxa"/>
          </w:tcPr>
          <w:p w14:paraId="1F923866" w14:textId="77777777" w:rsidR="00C24569" w:rsidRPr="00806B7F" w:rsidRDefault="00C24569" w:rsidP="00A369A1">
            <w:pPr>
              <w:tabs>
                <w:tab w:val="decimal" w:pos="792"/>
              </w:tabs>
              <w:spacing w:before="240" w:after="120"/>
              <w:rPr>
                <w:rFonts w:ascii="Arial" w:hAnsi="Arial" w:cs="Arial"/>
                <w:sz w:val="20"/>
              </w:rPr>
            </w:pPr>
          </w:p>
        </w:tc>
        <w:tc>
          <w:tcPr>
            <w:tcW w:w="1194" w:type="dxa"/>
          </w:tcPr>
          <w:p w14:paraId="478A617E" w14:textId="77777777" w:rsidR="00C24569" w:rsidRPr="00806B7F" w:rsidRDefault="00C24569" w:rsidP="00A369A1">
            <w:pPr>
              <w:tabs>
                <w:tab w:val="decimal" w:pos="792"/>
              </w:tabs>
              <w:spacing w:before="240" w:after="120"/>
              <w:jc w:val="center"/>
              <w:rPr>
                <w:rFonts w:ascii="Arial" w:hAnsi="Arial" w:cs="Arial"/>
                <w:sz w:val="20"/>
              </w:rPr>
            </w:pPr>
          </w:p>
        </w:tc>
      </w:tr>
      <w:tr w:rsidR="00C24569" w:rsidRPr="00806B7F" w14:paraId="2DF6F043" w14:textId="77777777" w:rsidTr="00A369A1">
        <w:tc>
          <w:tcPr>
            <w:tcW w:w="4854" w:type="dxa"/>
          </w:tcPr>
          <w:p w14:paraId="60E6E2BD" w14:textId="77777777" w:rsidR="00C24569" w:rsidRPr="00806B7F" w:rsidRDefault="00C24569" w:rsidP="00A369A1">
            <w:pPr>
              <w:tabs>
                <w:tab w:val="left" w:pos="342"/>
              </w:tabs>
              <w:spacing w:after="120"/>
              <w:ind w:left="342"/>
              <w:rPr>
                <w:rFonts w:ascii="Arial" w:hAnsi="Arial" w:cs="Arial"/>
                <w:sz w:val="20"/>
              </w:rPr>
            </w:pPr>
            <w:r w:rsidRPr="00806B7F">
              <w:rPr>
                <w:rFonts w:ascii="Arial" w:hAnsi="Arial" w:cs="Arial"/>
                <w:sz w:val="20"/>
              </w:rPr>
              <w:t>Borrowing</w:t>
            </w:r>
          </w:p>
        </w:tc>
        <w:tc>
          <w:tcPr>
            <w:tcW w:w="1193" w:type="dxa"/>
          </w:tcPr>
          <w:p w14:paraId="14955557"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w:t>
            </w:r>
          </w:p>
        </w:tc>
        <w:tc>
          <w:tcPr>
            <w:tcW w:w="1194" w:type="dxa"/>
          </w:tcPr>
          <w:p w14:paraId="3FF79491"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w:t>
            </w:r>
          </w:p>
        </w:tc>
        <w:tc>
          <w:tcPr>
            <w:tcW w:w="1193" w:type="dxa"/>
          </w:tcPr>
          <w:p w14:paraId="180B4DBA"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w:t>
            </w:r>
          </w:p>
        </w:tc>
        <w:tc>
          <w:tcPr>
            <w:tcW w:w="1194" w:type="dxa"/>
          </w:tcPr>
          <w:p w14:paraId="04B1A440"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3.000</w:t>
            </w:r>
          </w:p>
        </w:tc>
      </w:tr>
      <w:tr w:rsidR="00C24569" w:rsidRPr="00806B7F" w14:paraId="30CBDCC2" w14:textId="77777777" w:rsidTr="00A369A1">
        <w:tc>
          <w:tcPr>
            <w:tcW w:w="4854" w:type="dxa"/>
          </w:tcPr>
          <w:p w14:paraId="756BF8FA" w14:textId="77777777" w:rsidR="00C24569" w:rsidRPr="00806B7F" w:rsidRDefault="00C24569" w:rsidP="00A369A1">
            <w:pPr>
              <w:tabs>
                <w:tab w:val="left" w:pos="342"/>
              </w:tabs>
              <w:spacing w:after="120"/>
              <w:ind w:left="342"/>
              <w:rPr>
                <w:rFonts w:ascii="Arial" w:hAnsi="Arial" w:cs="Arial"/>
                <w:sz w:val="20"/>
              </w:rPr>
            </w:pPr>
            <w:r w:rsidRPr="00806B7F">
              <w:rPr>
                <w:rFonts w:ascii="Arial" w:hAnsi="Arial" w:cs="Arial"/>
                <w:sz w:val="20"/>
              </w:rPr>
              <w:t>Other long-term liabilities</w:t>
            </w:r>
          </w:p>
        </w:tc>
        <w:tc>
          <w:tcPr>
            <w:tcW w:w="1193" w:type="dxa"/>
          </w:tcPr>
          <w:p w14:paraId="4A3B8954"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16.000</w:t>
            </w:r>
          </w:p>
        </w:tc>
        <w:tc>
          <w:tcPr>
            <w:tcW w:w="1194" w:type="dxa"/>
          </w:tcPr>
          <w:p w14:paraId="691034C1"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16.000</w:t>
            </w:r>
          </w:p>
        </w:tc>
        <w:tc>
          <w:tcPr>
            <w:tcW w:w="1193" w:type="dxa"/>
          </w:tcPr>
          <w:p w14:paraId="2DC4B6C4"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16.000</w:t>
            </w:r>
          </w:p>
        </w:tc>
        <w:tc>
          <w:tcPr>
            <w:tcW w:w="1194" w:type="dxa"/>
          </w:tcPr>
          <w:p w14:paraId="6EA45132"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15.000</w:t>
            </w:r>
          </w:p>
        </w:tc>
      </w:tr>
      <w:tr w:rsidR="00C24569" w:rsidRPr="00806B7F" w14:paraId="0E01064F" w14:textId="77777777" w:rsidTr="00A369A1">
        <w:tc>
          <w:tcPr>
            <w:tcW w:w="4854" w:type="dxa"/>
          </w:tcPr>
          <w:p w14:paraId="17E0C00B"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TOTAL</w:t>
            </w:r>
          </w:p>
        </w:tc>
        <w:tc>
          <w:tcPr>
            <w:tcW w:w="1193" w:type="dxa"/>
          </w:tcPr>
          <w:p w14:paraId="24341700"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19.000</w:t>
            </w:r>
          </w:p>
        </w:tc>
        <w:tc>
          <w:tcPr>
            <w:tcW w:w="1194" w:type="dxa"/>
          </w:tcPr>
          <w:p w14:paraId="7D632CE5"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19.000</w:t>
            </w:r>
          </w:p>
        </w:tc>
        <w:tc>
          <w:tcPr>
            <w:tcW w:w="1193" w:type="dxa"/>
          </w:tcPr>
          <w:p w14:paraId="60BE3B7C"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19.000</w:t>
            </w:r>
          </w:p>
        </w:tc>
        <w:tc>
          <w:tcPr>
            <w:tcW w:w="1194" w:type="dxa"/>
          </w:tcPr>
          <w:p w14:paraId="7CFCEC45" w14:textId="77777777" w:rsidR="00C24569" w:rsidRPr="00806B7F" w:rsidRDefault="00C24569" w:rsidP="00A369A1">
            <w:pPr>
              <w:spacing w:after="120"/>
              <w:jc w:val="center"/>
              <w:rPr>
                <w:rFonts w:ascii="Arial" w:hAnsi="Arial" w:cs="Arial"/>
                <w:caps/>
                <w:sz w:val="20"/>
              </w:rPr>
            </w:pPr>
            <w:r w:rsidRPr="00806B7F">
              <w:rPr>
                <w:rFonts w:ascii="Arial" w:hAnsi="Arial" w:cs="Arial"/>
                <w:caps/>
                <w:sz w:val="20"/>
              </w:rPr>
              <w:t>18.000</w:t>
            </w:r>
          </w:p>
        </w:tc>
      </w:tr>
      <w:tr w:rsidR="00C24569" w:rsidRPr="00806B7F" w14:paraId="4C35A513" w14:textId="77777777" w:rsidTr="00A369A1">
        <w:tc>
          <w:tcPr>
            <w:tcW w:w="4854" w:type="dxa"/>
          </w:tcPr>
          <w:p w14:paraId="585BC643" w14:textId="77777777" w:rsidR="00C24569" w:rsidRPr="00806B7F" w:rsidRDefault="00C24569" w:rsidP="00A369A1">
            <w:pPr>
              <w:spacing w:line="259" w:lineRule="auto"/>
              <w:ind w:left="108"/>
              <w:rPr>
                <w:rFonts w:ascii="Arial" w:hAnsi="Arial" w:cs="Arial"/>
                <w:b/>
                <w:sz w:val="20"/>
              </w:rPr>
            </w:pPr>
            <w:r w:rsidRPr="00806B7F">
              <w:rPr>
                <w:rFonts w:ascii="Arial" w:hAnsi="Arial" w:cs="Arial"/>
                <w:b/>
                <w:sz w:val="20"/>
              </w:rPr>
              <w:t xml:space="preserve">4. Upper limit for fixed interest rate exposure </w:t>
            </w:r>
          </w:p>
        </w:tc>
        <w:tc>
          <w:tcPr>
            <w:tcW w:w="1193" w:type="dxa"/>
          </w:tcPr>
          <w:p w14:paraId="53D1CFB5"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 xml:space="preserve"> </w:t>
            </w:r>
          </w:p>
        </w:tc>
        <w:tc>
          <w:tcPr>
            <w:tcW w:w="1194" w:type="dxa"/>
          </w:tcPr>
          <w:p w14:paraId="331A24A7"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 xml:space="preserve"> </w:t>
            </w:r>
          </w:p>
        </w:tc>
        <w:tc>
          <w:tcPr>
            <w:tcW w:w="1193" w:type="dxa"/>
          </w:tcPr>
          <w:p w14:paraId="0CFCE29A"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 xml:space="preserve"> </w:t>
            </w:r>
          </w:p>
        </w:tc>
        <w:tc>
          <w:tcPr>
            <w:tcW w:w="1194" w:type="dxa"/>
          </w:tcPr>
          <w:p w14:paraId="5C8DEFCE"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 xml:space="preserve"> </w:t>
            </w:r>
          </w:p>
        </w:tc>
      </w:tr>
      <w:tr w:rsidR="00C24569" w:rsidRPr="00806B7F" w14:paraId="07E5B081" w14:textId="77777777" w:rsidTr="00A369A1">
        <w:tc>
          <w:tcPr>
            <w:tcW w:w="4854" w:type="dxa"/>
          </w:tcPr>
          <w:p w14:paraId="410AB1AE"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Upper limit of borrowing at fixed rates </w:t>
            </w:r>
          </w:p>
        </w:tc>
        <w:tc>
          <w:tcPr>
            <w:tcW w:w="1193" w:type="dxa"/>
          </w:tcPr>
          <w:p w14:paraId="524F29A4"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41FD52B8"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3" w:type="dxa"/>
          </w:tcPr>
          <w:p w14:paraId="2E5B2407"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7981E972"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r>
      <w:tr w:rsidR="00C24569" w:rsidRPr="00806B7F" w14:paraId="0D074CE7" w14:textId="77777777" w:rsidTr="00A369A1">
        <w:tc>
          <w:tcPr>
            <w:tcW w:w="4854" w:type="dxa"/>
          </w:tcPr>
          <w:p w14:paraId="11B10288"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Upper limit of investments at fixed rates </w:t>
            </w:r>
          </w:p>
        </w:tc>
        <w:tc>
          <w:tcPr>
            <w:tcW w:w="1193" w:type="dxa"/>
          </w:tcPr>
          <w:p w14:paraId="4EBAE1B0"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7271054F"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3" w:type="dxa"/>
          </w:tcPr>
          <w:p w14:paraId="74E5A8DF"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298C78E9"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r>
      <w:tr w:rsidR="00C24569" w:rsidRPr="00806B7F" w14:paraId="4B8C006E" w14:textId="77777777" w:rsidTr="00A369A1">
        <w:tc>
          <w:tcPr>
            <w:tcW w:w="4854" w:type="dxa"/>
          </w:tcPr>
          <w:p w14:paraId="6C1DED9E" w14:textId="77777777" w:rsidR="00C24569" w:rsidRPr="00806B7F" w:rsidRDefault="00C24569" w:rsidP="00A369A1">
            <w:pPr>
              <w:spacing w:line="259" w:lineRule="auto"/>
              <w:ind w:left="108"/>
              <w:rPr>
                <w:rFonts w:ascii="Arial" w:hAnsi="Arial" w:cs="Arial"/>
                <w:b/>
                <w:sz w:val="20"/>
              </w:rPr>
            </w:pPr>
            <w:r w:rsidRPr="00806B7F">
              <w:rPr>
                <w:rFonts w:ascii="Arial" w:hAnsi="Arial" w:cs="Arial"/>
                <w:b/>
                <w:sz w:val="20"/>
              </w:rPr>
              <w:t xml:space="preserve">5. Upper limit for variable rate exposure </w:t>
            </w:r>
          </w:p>
        </w:tc>
        <w:tc>
          <w:tcPr>
            <w:tcW w:w="1193" w:type="dxa"/>
          </w:tcPr>
          <w:p w14:paraId="5331ACF9" w14:textId="77777777" w:rsidR="00C24569" w:rsidRPr="00806B7F" w:rsidRDefault="00C24569" w:rsidP="00A369A1">
            <w:pPr>
              <w:spacing w:after="120"/>
              <w:jc w:val="center"/>
              <w:rPr>
                <w:rFonts w:ascii="Arial" w:hAnsi="Arial" w:cs="Arial"/>
                <w:caps/>
                <w:sz w:val="20"/>
              </w:rPr>
            </w:pPr>
          </w:p>
        </w:tc>
        <w:tc>
          <w:tcPr>
            <w:tcW w:w="1194" w:type="dxa"/>
          </w:tcPr>
          <w:p w14:paraId="33C5BFEC" w14:textId="77777777" w:rsidR="00C24569" w:rsidRPr="00806B7F" w:rsidRDefault="00C24569" w:rsidP="00A369A1">
            <w:pPr>
              <w:spacing w:after="120"/>
              <w:jc w:val="center"/>
              <w:rPr>
                <w:rFonts w:ascii="Arial" w:hAnsi="Arial" w:cs="Arial"/>
                <w:caps/>
                <w:sz w:val="20"/>
              </w:rPr>
            </w:pPr>
          </w:p>
        </w:tc>
        <w:tc>
          <w:tcPr>
            <w:tcW w:w="1193" w:type="dxa"/>
          </w:tcPr>
          <w:p w14:paraId="4460970D" w14:textId="77777777" w:rsidR="00C24569" w:rsidRPr="00806B7F" w:rsidRDefault="00C24569" w:rsidP="00A369A1">
            <w:pPr>
              <w:spacing w:after="120"/>
              <w:jc w:val="center"/>
              <w:rPr>
                <w:rFonts w:ascii="Arial" w:hAnsi="Arial" w:cs="Arial"/>
                <w:caps/>
                <w:sz w:val="20"/>
              </w:rPr>
            </w:pPr>
          </w:p>
        </w:tc>
        <w:tc>
          <w:tcPr>
            <w:tcW w:w="1194" w:type="dxa"/>
          </w:tcPr>
          <w:p w14:paraId="488FB127" w14:textId="77777777" w:rsidR="00C24569" w:rsidRPr="00806B7F" w:rsidRDefault="00C24569" w:rsidP="00A369A1">
            <w:pPr>
              <w:spacing w:after="120"/>
              <w:jc w:val="center"/>
              <w:rPr>
                <w:rFonts w:ascii="Arial" w:hAnsi="Arial" w:cs="Arial"/>
                <w:caps/>
                <w:sz w:val="20"/>
              </w:rPr>
            </w:pPr>
          </w:p>
        </w:tc>
      </w:tr>
      <w:tr w:rsidR="00C24569" w:rsidRPr="00806B7F" w14:paraId="708B3C43" w14:textId="77777777" w:rsidTr="00A369A1">
        <w:tc>
          <w:tcPr>
            <w:tcW w:w="4854" w:type="dxa"/>
          </w:tcPr>
          <w:p w14:paraId="54F95EF1"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Upper limit of borrowing at variable rates </w:t>
            </w:r>
          </w:p>
        </w:tc>
        <w:tc>
          <w:tcPr>
            <w:tcW w:w="1193" w:type="dxa"/>
          </w:tcPr>
          <w:p w14:paraId="7DBC1B5D"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50%</w:t>
            </w:r>
          </w:p>
        </w:tc>
        <w:tc>
          <w:tcPr>
            <w:tcW w:w="1194" w:type="dxa"/>
          </w:tcPr>
          <w:p w14:paraId="3472BA7E"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50%</w:t>
            </w:r>
          </w:p>
        </w:tc>
        <w:tc>
          <w:tcPr>
            <w:tcW w:w="1193" w:type="dxa"/>
          </w:tcPr>
          <w:p w14:paraId="3069496B"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50%</w:t>
            </w:r>
          </w:p>
        </w:tc>
        <w:tc>
          <w:tcPr>
            <w:tcW w:w="1194" w:type="dxa"/>
          </w:tcPr>
          <w:p w14:paraId="523258F3"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50%</w:t>
            </w:r>
          </w:p>
        </w:tc>
      </w:tr>
      <w:tr w:rsidR="00C24569" w:rsidRPr="00806B7F" w14:paraId="6403C77B" w14:textId="77777777" w:rsidTr="00A369A1">
        <w:tc>
          <w:tcPr>
            <w:tcW w:w="4854" w:type="dxa"/>
          </w:tcPr>
          <w:p w14:paraId="2893DC50"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Upper limit of investments at variable rates</w:t>
            </w:r>
          </w:p>
        </w:tc>
        <w:tc>
          <w:tcPr>
            <w:tcW w:w="1193" w:type="dxa"/>
          </w:tcPr>
          <w:p w14:paraId="4B77BA36"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4B2F7897"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3" w:type="dxa"/>
          </w:tcPr>
          <w:p w14:paraId="773223ED"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c>
          <w:tcPr>
            <w:tcW w:w="1194" w:type="dxa"/>
          </w:tcPr>
          <w:p w14:paraId="59992A97" w14:textId="77777777" w:rsidR="00C24569" w:rsidRPr="00806B7F" w:rsidRDefault="00C24569" w:rsidP="00A369A1">
            <w:pPr>
              <w:spacing w:after="120"/>
              <w:jc w:val="center"/>
              <w:rPr>
                <w:rFonts w:ascii="Arial" w:hAnsi="Arial" w:cs="Arial"/>
                <w:caps/>
                <w:sz w:val="20"/>
              </w:rPr>
            </w:pPr>
            <w:r w:rsidRPr="00806B7F">
              <w:rPr>
                <w:rFonts w:ascii="Arial" w:hAnsi="Arial" w:cs="Arial"/>
                <w:sz w:val="20"/>
              </w:rPr>
              <w:t>100%</w:t>
            </w:r>
          </w:p>
        </w:tc>
      </w:tr>
      <w:tr w:rsidR="00C24569" w:rsidRPr="00806B7F" w14:paraId="7BB953D7" w14:textId="77777777" w:rsidTr="00A369A1">
        <w:tc>
          <w:tcPr>
            <w:tcW w:w="4854" w:type="dxa"/>
          </w:tcPr>
          <w:p w14:paraId="0008B7B8" w14:textId="77777777" w:rsidR="00C24569" w:rsidRPr="00806B7F" w:rsidRDefault="00C24569" w:rsidP="00A369A1">
            <w:pPr>
              <w:spacing w:line="259" w:lineRule="auto"/>
              <w:ind w:left="108"/>
              <w:rPr>
                <w:rFonts w:ascii="Arial" w:hAnsi="Arial" w:cs="Arial"/>
                <w:b/>
                <w:sz w:val="20"/>
              </w:rPr>
            </w:pPr>
            <w:r w:rsidRPr="00806B7F">
              <w:rPr>
                <w:rFonts w:ascii="Arial" w:hAnsi="Arial" w:cs="Arial"/>
                <w:b/>
                <w:sz w:val="20"/>
              </w:rPr>
              <w:t xml:space="preserve">6. Upper limit for total principal sums invested for over 364 days (per maturity date) </w:t>
            </w:r>
          </w:p>
        </w:tc>
        <w:tc>
          <w:tcPr>
            <w:tcW w:w="1193" w:type="dxa"/>
          </w:tcPr>
          <w:p w14:paraId="697CAEE3" w14:textId="77777777" w:rsidR="00C24569" w:rsidRPr="00806B7F" w:rsidRDefault="00C24569" w:rsidP="00A369A1">
            <w:pPr>
              <w:spacing w:after="120"/>
              <w:jc w:val="center"/>
              <w:rPr>
                <w:rFonts w:ascii="Arial" w:hAnsi="Arial" w:cs="Arial"/>
                <w:sz w:val="20"/>
              </w:rPr>
            </w:pPr>
            <w:r w:rsidRPr="00806B7F">
              <w:rPr>
                <w:rFonts w:ascii="Arial" w:hAnsi="Arial" w:cs="Arial"/>
                <w:sz w:val="20"/>
              </w:rPr>
              <w:t>25.000</w:t>
            </w:r>
          </w:p>
        </w:tc>
        <w:tc>
          <w:tcPr>
            <w:tcW w:w="1194" w:type="dxa"/>
          </w:tcPr>
          <w:p w14:paraId="6F4E1846" w14:textId="77777777" w:rsidR="00C24569" w:rsidRPr="00806B7F" w:rsidRDefault="00C24569" w:rsidP="00A369A1">
            <w:pPr>
              <w:spacing w:after="120"/>
              <w:jc w:val="center"/>
              <w:rPr>
                <w:rFonts w:ascii="Arial" w:hAnsi="Arial" w:cs="Arial"/>
                <w:sz w:val="20"/>
              </w:rPr>
            </w:pPr>
            <w:r w:rsidRPr="00806B7F">
              <w:rPr>
                <w:rFonts w:ascii="Arial" w:hAnsi="Arial" w:cs="Arial"/>
                <w:sz w:val="20"/>
              </w:rPr>
              <w:t>25.000</w:t>
            </w:r>
          </w:p>
        </w:tc>
        <w:tc>
          <w:tcPr>
            <w:tcW w:w="1193" w:type="dxa"/>
          </w:tcPr>
          <w:p w14:paraId="22062CCB" w14:textId="77777777" w:rsidR="00C24569" w:rsidRPr="00806B7F" w:rsidRDefault="00C24569" w:rsidP="00A369A1">
            <w:pPr>
              <w:spacing w:after="120"/>
              <w:jc w:val="center"/>
              <w:rPr>
                <w:rFonts w:ascii="Arial" w:hAnsi="Arial" w:cs="Arial"/>
                <w:sz w:val="20"/>
              </w:rPr>
            </w:pPr>
            <w:r w:rsidRPr="00806B7F">
              <w:rPr>
                <w:rFonts w:ascii="Arial" w:hAnsi="Arial" w:cs="Arial"/>
                <w:sz w:val="20"/>
              </w:rPr>
              <w:t>25.000</w:t>
            </w:r>
          </w:p>
        </w:tc>
        <w:tc>
          <w:tcPr>
            <w:tcW w:w="1194" w:type="dxa"/>
          </w:tcPr>
          <w:p w14:paraId="61F128DB" w14:textId="77777777" w:rsidR="00C24569" w:rsidRPr="00806B7F" w:rsidRDefault="00C24569" w:rsidP="00A369A1">
            <w:pPr>
              <w:spacing w:after="120"/>
              <w:jc w:val="center"/>
              <w:rPr>
                <w:rFonts w:ascii="Arial" w:hAnsi="Arial" w:cs="Arial"/>
                <w:sz w:val="20"/>
              </w:rPr>
            </w:pPr>
            <w:r w:rsidRPr="00806B7F">
              <w:rPr>
                <w:rFonts w:ascii="Arial" w:hAnsi="Arial" w:cs="Arial"/>
                <w:sz w:val="20"/>
              </w:rPr>
              <w:t>25.000</w:t>
            </w:r>
          </w:p>
        </w:tc>
      </w:tr>
      <w:tr w:rsidR="00C24569" w:rsidRPr="00806B7F" w14:paraId="7A47FFA2" w14:textId="77777777" w:rsidTr="00A369A1">
        <w:tc>
          <w:tcPr>
            <w:tcW w:w="4854" w:type="dxa"/>
          </w:tcPr>
          <w:p w14:paraId="0FD249BB" w14:textId="77777777" w:rsidR="00C24569" w:rsidRPr="00806B7F" w:rsidRDefault="00C24569" w:rsidP="00A369A1">
            <w:pPr>
              <w:spacing w:line="259" w:lineRule="auto"/>
              <w:ind w:left="108"/>
              <w:rPr>
                <w:rFonts w:ascii="Arial" w:hAnsi="Arial" w:cs="Arial"/>
                <w:b/>
                <w:sz w:val="20"/>
              </w:rPr>
            </w:pPr>
            <w:r w:rsidRPr="00806B7F">
              <w:rPr>
                <w:rFonts w:ascii="Arial" w:hAnsi="Arial" w:cs="Arial"/>
                <w:b/>
                <w:sz w:val="20"/>
              </w:rPr>
              <w:t xml:space="preserve">7. Maturity Structure of Debt </w:t>
            </w:r>
          </w:p>
        </w:tc>
        <w:tc>
          <w:tcPr>
            <w:tcW w:w="2387" w:type="dxa"/>
            <w:gridSpan w:val="2"/>
          </w:tcPr>
          <w:p w14:paraId="116350B2" w14:textId="77777777" w:rsidR="00C24569" w:rsidRPr="00806B7F" w:rsidRDefault="00C24569" w:rsidP="00A369A1">
            <w:pPr>
              <w:spacing w:after="120"/>
              <w:jc w:val="center"/>
              <w:rPr>
                <w:rFonts w:ascii="Arial" w:hAnsi="Arial" w:cs="Arial"/>
                <w:sz w:val="20"/>
              </w:rPr>
            </w:pPr>
            <w:r w:rsidRPr="00806B7F">
              <w:rPr>
                <w:rFonts w:ascii="Arial" w:hAnsi="Arial" w:cs="Arial"/>
                <w:sz w:val="20"/>
              </w:rPr>
              <w:t>Upper Limit %</w:t>
            </w:r>
          </w:p>
        </w:tc>
        <w:tc>
          <w:tcPr>
            <w:tcW w:w="2387" w:type="dxa"/>
            <w:gridSpan w:val="2"/>
          </w:tcPr>
          <w:p w14:paraId="2A1B7443" w14:textId="77777777" w:rsidR="00C24569" w:rsidRPr="00806B7F" w:rsidRDefault="00C24569" w:rsidP="00A369A1">
            <w:pPr>
              <w:spacing w:after="120"/>
              <w:jc w:val="center"/>
              <w:rPr>
                <w:rFonts w:ascii="Arial" w:hAnsi="Arial" w:cs="Arial"/>
                <w:sz w:val="20"/>
              </w:rPr>
            </w:pPr>
            <w:r w:rsidRPr="00806B7F">
              <w:rPr>
                <w:rFonts w:ascii="Arial" w:hAnsi="Arial" w:cs="Arial"/>
                <w:sz w:val="20"/>
              </w:rPr>
              <w:t>Lower Limit %</w:t>
            </w:r>
          </w:p>
        </w:tc>
      </w:tr>
      <w:tr w:rsidR="00C24569" w:rsidRPr="00806B7F" w14:paraId="698D9656" w14:textId="77777777" w:rsidTr="00A369A1">
        <w:tc>
          <w:tcPr>
            <w:tcW w:w="4854" w:type="dxa"/>
          </w:tcPr>
          <w:p w14:paraId="3726ED20"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Under 12 months </w:t>
            </w:r>
          </w:p>
        </w:tc>
        <w:tc>
          <w:tcPr>
            <w:tcW w:w="2387" w:type="dxa"/>
            <w:gridSpan w:val="2"/>
          </w:tcPr>
          <w:p w14:paraId="6B63C774" w14:textId="77777777" w:rsidR="00C24569" w:rsidRPr="00806B7F" w:rsidRDefault="00C24569" w:rsidP="00A369A1">
            <w:pPr>
              <w:spacing w:after="120"/>
              <w:jc w:val="center"/>
              <w:rPr>
                <w:rFonts w:ascii="Arial" w:hAnsi="Arial" w:cs="Arial"/>
                <w:sz w:val="20"/>
              </w:rPr>
            </w:pPr>
            <w:r w:rsidRPr="00806B7F">
              <w:rPr>
                <w:rFonts w:ascii="Arial" w:hAnsi="Arial" w:cs="Arial"/>
                <w:sz w:val="20"/>
              </w:rPr>
              <w:t>100</w:t>
            </w:r>
          </w:p>
        </w:tc>
        <w:tc>
          <w:tcPr>
            <w:tcW w:w="2387" w:type="dxa"/>
            <w:gridSpan w:val="2"/>
          </w:tcPr>
          <w:p w14:paraId="6DE79D61" w14:textId="77777777" w:rsidR="00C24569" w:rsidRPr="00806B7F" w:rsidRDefault="00C24569" w:rsidP="00A369A1">
            <w:pPr>
              <w:spacing w:after="120"/>
              <w:jc w:val="center"/>
              <w:rPr>
                <w:rFonts w:ascii="Arial" w:hAnsi="Arial" w:cs="Arial"/>
                <w:sz w:val="20"/>
              </w:rPr>
            </w:pPr>
            <w:r w:rsidRPr="00806B7F">
              <w:rPr>
                <w:rFonts w:ascii="Arial" w:hAnsi="Arial" w:cs="Arial"/>
                <w:sz w:val="20"/>
              </w:rPr>
              <w:t>-</w:t>
            </w:r>
          </w:p>
        </w:tc>
      </w:tr>
      <w:tr w:rsidR="00C24569" w:rsidRPr="00806B7F" w14:paraId="3D722316" w14:textId="77777777" w:rsidTr="00A369A1">
        <w:tc>
          <w:tcPr>
            <w:tcW w:w="4854" w:type="dxa"/>
          </w:tcPr>
          <w:p w14:paraId="77CD4412"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12 months and within 24 months </w:t>
            </w:r>
          </w:p>
        </w:tc>
        <w:tc>
          <w:tcPr>
            <w:tcW w:w="2387" w:type="dxa"/>
            <w:gridSpan w:val="2"/>
          </w:tcPr>
          <w:p w14:paraId="18B956C9" w14:textId="77777777" w:rsidR="00C24569" w:rsidRPr="00806B7F" w:rsidRDefault="00C24569" w:rsidP="00A369A1">
            <w:pPr>
              <w:spacing w:after="120"/>
              <w:jc w:val="center"/>
              <w:rPr>
                <w:rFonts w:ascii="Arial" w:hAnsi="Arial" w:cs="Arial"/>
                <w:sz w:val="20"/>
              </w:rPr>
            </w:pPr>
            <w:r w:rsidRPr="00806B7F">
              <w:rPr>
                <w:rFonts w:ascii="Arial" w:hAnsi="Arial" w:cs="Arial"/>
                <w:sz w:val="20"/>
              </w:rPr>
              <w:t xml:space="preserve">  50</w:t>
            </w:r>
          </w:p>
        </w:tc>
        <w:tc>
          <w:tcPr>
            <w:tcW w:w="2387" w:type="dxa"/>
            <w:gridSpan w:val="2"/>
          </w:tcPr>
          <w:p w14:paraId="19431465" w14:textId="77777777" w:rsidR="00C24569" w:rsidRPr="00806B7F" w:rsidRDefault="00C24569" w:rsidP="00A369A1">
            <w:pPr>
              <w:spacing w:after="120"/>
              <w:jc w:val="center"/>
              <w:rPr>
                <w:rFonts w:ascii="Arial" w:hAnsi="Arial" w:cs="Arial"/>
                <w:sz w:val="20"/>
              </w:rPr>
            </w:pPr>
            <w:r w:rsidRPr="00806B7F">
              <w:rPr>
                <w:rFonts w:ascii="Arial" w:hAnsi="Arial" w:cs="Arial"/>
                <w:sz w:val="20"/>
              </w:rPr>
              <w:t>-</w:t>
            </w:r>
          </w:p>
        </w:tc>
      </w:tr>
      <w:tr w:rsidR="00C24569" w:rsidRPr="00806B7F" w14:paraId="2AA715CA" w14:textId="77777777" w:rsidTr="00A369A1">
        <w:tc>
          <w:tcPr>
            <w:tcW w:w="4854" w:type="dxa"/>
          </w:tcPr>
          <w:p w14:paraId="5EB8C5E7"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24 months and within 5 years </w:t>
            </w:r>
          </w:p>
        </w:tc>
        <w:tc>
          <w:tcPr>
            <w:tcW w:w="2387" w:type="dxa"/>
            <w:gridSpan w:val="2"/>
          </w:tcPr>
          <w:p w14:paraId="718D109F" w14:textId="77777777" w:rsidR="00C24569" w:rsidRPr="00806B7F" w:rsidRDefault="00C24569" w:rsidP="00A369A1">
            <w:pPr>
              <w:spacing w:after="120"/>
              <w:jc w:val="center"/>
              <w:rPr>
                <w:rFonts w:ascii="Arial" w:hAnsi="Arial" w:cs="Arial"/>
                <w:sz w:val="20"/>
              </w:rPr>
            </w:pPr>
            <w:r w:rsidRPr="00806B7F">
              <w:rPr>
                <w:rFonts w:ascii="Arial" w:hAnsi="Arial" w:cs="Arial"/>
                <w:sz w:val="20"/>
              </w:rPr>
              <w:t xml:space="preserve">  50</w:t>
            </w:r>
          </w:p>
        </w:tc>
        <w:tc>
          <w:tcPr>
            <w:tcW w:w="2387" w:type="dxa"/>
            <w:gridSpan w:val="2"/>
          </w:tcPr>
          <w:p w14:paraId="4BC39E92" w14:textId="77777777" w:rsidR="00C24569" w:rsidRPr="00806B7F" w:rsidRDefault="00C24569" w:rsidP="00A369A1">
            <w:pPr>
              <w:spacing w:after="120"/>
              <w:jc w:val="center"/>
              <w:rPr>
                <w:rFonts w:ascii="Arial" w:hAnsi="Arial" w:cs="Arial"/>
                <w:sz w:val="20"/>
              </w:rPr>
            </w:pPr>
            <w:r w:rsidRPr="00806B7F">
              <w:rPr>
                <w:rFonts w:ascii="Arial" w:hAnsi="Arial" w:cs="Arial"/>
                <w:sz w:val="20"/>
              </w:rPr>
              <w:t>-</w:t>
            </w:r>
          </w:p>
        </w:tc>
      </w:tr>
      <w:tr w:rsidR="00C24569" w:rsidRPr="00806B7F" w14:paraId="00A42AC8" w14:textId="77777777" w:rsidTr="00A369A1">
        <w:tc>
          <w:tcPr>
            <w:tcW w:w="4854" w:type="dxa"/>
          </w:tcPr>
          <w:p w14:paraId="66FBBC8C"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5 years and within 10 years </w:t>
            </w:r>
          </w:p>
        </w:tc>
        <w:tc>
          <w:tcPr>
            <w:tcW w:w="2387" w:type="dxa"/>
            <w:gridSpan w:val="2"/>
          </w:tcPr>
          <w:p w14:paraId="627D42B7" w14:textId="77777777" w:rsidR="00C24569" w:rsidRPr="00806B7F" w:rsidRDefault="00C24569" w:rsidP="00A369A1">
            <w:pPr>
              <w:spacing w:after="120"/>
              <w:jc w:val="center"/>
              <w:rPr>
                <w:rFonts w:ascii="Arial" w:hAnsi="Arial" w:cs="Arial"/>
                <w:sz w:val="20"/>
              </w:rPr>
            </w:pPr>
            <w:r w:rsidRPr="00806B7F">
              <w:rPr>
                <w:rFonts w:ascii="Arial" w:hAnsi="Arial" w:cs="Arial"/>
                <w:sz w:val="20"/>
              </w:rPr>
              <w:t xml:space="preserve">  75</w:t>
            </w:r>
          </w:p>
        </w:tc>
        <w:tc>
          <w:tcPr>
            <w:tcW w:w="2387" w:type="dxa"/>
            <w:gridSpan w:val="2"/>
          </w:tcPr>
          <w:p w14:paraId="7A7549FB" w14:textId="77777777" w:rsidR="00C24569" w:rsidRPr="00806B7F" w:rsidRDefault="00C24569" w:rsidP="00A369A1">
            <w:pPr>
              <w:spacing w:after="120"/>
              <w:jc w:val="center"/>
              <w:rPr>
                <w:rFonts w:ascii="Arial" w:hAnsi="Arial" w:cs="Arial"/>
                <w:sz w:val="20"/>
              </w:rPr>
            </w:pPr>
            <w:r w:rsidRPr="00806B7F">
              <w:rPr>
                <w:rFonts w:ascii="Arial" w:hAnsi="Arial" w:cs="Arial"/>
                <w:sz w:val="20"/>
              </w:rPr>
              <w:t>-</w:t>
            </w:r>
          </w:p>
        </w:tc>
      </w:tr>
      <w:tr w:rsidR="00C24569" w:rsidRPr="00806B7F" w14:paraId="616DFC3D" w14:textId="77777777" w:rsidTr="00A369A1">
        <w:tc>
          <w:tcPr>
            <w:tcW w:w="4854" w:type="dxa"/>
          </w:tcPr>
          <w:p w14:paraId="3509F33A" w14:textId="77777777" w:rsidR="00C24569" w:rsidRPr="00806B7F" w:rsidRDefault="00C24569" w:rsidP="00A369A1">
            <w:pPr>
              <w:tabs>
                <w:tab w:val="left" w:pos="342"/>
              </w:tabs>
              <w:spacing w:before="120" w:after="120"/>
              <w:ind w:left="342"/>
              <w:rPr>
                <w:rFonts w:ascii="Arial" w:hAnsi="Arial" w:cs="Arial"/>
                <w:sz w:val="20"/>
              </w:rPr>
            </w:pPr>
            <w:r w:rsidRPr="00806B7F">
              <w:rPr>
                <w:rFonts w:ascii="Arial" w:hAnsi="Arial" w:cs="Arial"/>
                <w:sz w:val="20"/>
              </w:rPr>
              <w:t xml:space="preserve">10 years and above </w:t>
            </w:r>
          </w:p>
        </w:tc>
        <w:tc>
          <w:tcPr>
            <w:tcW w:w="2387" w:type="dxa"/>
            <w:gridSpan w:val="2"/>
          </w:tcPr>
          <w:p w14:paraId="59C4D73B" w14:textId="77777777" w:rsidR="00C24569" w:rsidRPr="00806B7F" w:rsidRDefault="00C24569" w:rsidP="00A369A1">
            <w:pPr>
              <w:spacing w:after="120"/>
              <w:jc w:val="center"/>
              <w:rPr>
                <w:rFonts w:ascii="Arial" w:hAnsi="Arial" w:cs="Arial"/>
                <w:sz w:val="20"/>
              </w:rPr>
            </w:pPr>
            <w:r w:rsidRPr="00806B7F">
              <w:rPr>
                <w:rFonts w:ascii="Arial" w:hAnsi="Arial" w:cs="Arial"/>
                <w:sz w:val="20"/>
              </w:rPr>
              <w:t>100</w:t>
            </w:r>
          </w:p>
        </w:tc>
        <w:tc>
          <w:tcPr>
            <w:tcW w:w="2387" w:type="dxa"/>
            <w:gridSpan w:val="2"/>
          </w:tcPr>
          <w:p w14:paraId="6F81CBA2" w14:textId="77777777" w:rsidR="00C24569" w:rsidRPr="00806B7F" w:rsidRDefault="00C24569" w:rsidP="00A369A1">
            <w:pPr>
              <w:spacing w:after="120"/>
              <w:jc w:val="center"/>
              <w:rPr>
                <w:rFonts w:ascii="Arial" w:hAnsi="Arial" w:cs="Arial"/>
                <w:sz w:val="20"/>
              </w:rPr>
            </w:pPr>
            <w:r w:rsidRPr="00806B7F">
              <w:rPr>
                <w:rFonts w:ascii="Arial" w:hAnsi="Arial" w:cs="Arial"/>
                <w:sz w:val="20"/>
              </w:rPr>
              <w:t>-</w:t>
            </w:r>
          </w:p>
        </w:tc>
      </w:tr>
    </w:tbl>
    <w:p w14:paraId="537289B3" w14:textId="77777777" w:rsidR="00C24569" w:rsidRPr="00806B7F" w:rsidRDefault="00C24569" w:rsidP="00C24569">
      <w:pPr>
        <w:rPr>
          <w:rFonts w:ascii="Arial" w:hAnsi="Arial" w:cs="Arial"/>
          <w:sz w:val="20"/>
        </w:rPr>
      </w:pPr>
    </w:p>
    <w:p w14:paraId="2E106DF4" w14:textId="77777777" w:rsidR="00027459" w:rsidRPr="00806B7F" w:rsidRDefault="00027459" w:rsidP="00C24569">
      <w:pPr>
        <w:spacing w:line="259" w:lineRule="auto"/>
        <w:ind w:left="34"/>
        <w:rPr>
          <w:rFonts w:ascii="Arial" w:hAnsi="Arial" w:cs="Arial"/>
          <w:b/>
          <w:sz w:val="20"/>
        </w:rPr>
      </w:pPr>
    </w:p>
    <w:sectPr w:rsidR="00027459" w:rsidRPr="00806B7F" w:rsidSect="008E6858">
      <w:footerReference w:type="default" r:id="rId20"/>
      <w:headerReference w:type="first" r:id="rId21"/>
      <w:footerReference w:type="first" r:id="rId22"/>
      <w:pgSz w:w="11907" w:h="16834" w:code="9"/>
      <w:pgMar w:top="1440" w:right="1080" w:bottom="1440" w:left="108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0426" w14:textId="77777777" w:rsidR="00854A7B" w:rsidRDefault="00854A7B">
      <w:r>
        <w:separator/>
      </w:r>
    </w:p>
  </w:endnote>
  <w:endnote w:type="continuationSeparator" w:id="0">
    <w:p w14:paraId="06486DD7" w14:textId="77777777" w:rsidR="00854A7B" w:rsidRDefault="0085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0DBF" w14:textId="77777777" w:rsidR="00136004" w:rsidRDefault="00136004" w:rsidP="006250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32051" w14:textId="77777777" w:rsidR="00136004" w:rsidRDefault="0013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FFB6" w14:textId="77777777" w:rsidR="00026AD4" w:rsidRDefault="00026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106D" w14:textId="77777777" w:rsidR="00026AD4" w:rsidRDefault="00026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F28B" w14:textId="77777777" w:rsidR="00136004" w:rsidRPr="00026AD4" w:rsidRDefault="00136004" w:rsidP="00625087">
    <w:pPr>
      <w:pStyle w:val="Footer"/>
      <w:framePr w:wrap="around" w:vAnchor="text" w:hAnchor="margin" w:xAlign="center" w:y="1"/>
      <w:rPr>
        <w:rStyle w:val="PageNumber"/>
        <w:rFonts w:ascii="Arial" w:hAnsi="Arial" w:cs="Arial"/>
      </w:rPr>
    </w:pPr>
    <w:r w:rsidRPr="00026AD4">
      <w:rPr>
        <w:rStyle w:val="PageNumber"/>
        <w:rFonts w:ascii="Arial" w:hAnsi="Arial" w:cs="Arial"/>
      </w:rPr>
      <w:fldChar w:fldCharType="begin"/>
    </w:r>
    <w:r w:rsidRPr="00026AD4">
      <w:rPr>
        <w:rStyle w:val="PageNumber"/>
        <w:rFonts w:ascii="Arial" w:hAnsi="Arial" w:cs="Arial"/>
      </w:rPr>
      <w:instrText xml:space="preserve">PAGE  </w:instrText>
    </w:r>
    <w:r w:rsidRPr="00026AD4">
      <w:rPr>
        <w:rStyle w:val="PageNumber"/>
        <w:rFonts w:ascii="Arial" w:hAnsi="Arial" w:cs="Arial"/>
      </w:rPr>
      <w:fldChar w:fldCharType="separate"/>
    </w:r>
    <w:r w:rsidRPr="00026AD4">
      <w:rPr>
        <w:rStyle w:val="PageNumber"/>
        <w:rFonts w:ascii="Arial" w:hAnsi="Arial" w:cs="Arial"/>
        <w:noProof/>
      </w:rPr>
      <w:t>44</w:t>
    </w:r>
    <w:r w:rsidRPr="00026AD4">
      <w:rPr>
        <w:rStyle w:val="PageNumber"/>
        <w:rFonts w:ascii="Arial" w:hAnsi="Arial" w:cs="Arial"/>
      </w:rPr>
      <w:fldChar w:fldCharType="end"/>
    </w:r>
  </w:p>
  <w:p w14:paraId="03F9A647" w14:textId="77777777" w:rsidR="00136004" w:rsidRDefault="001360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C18A" w14:textId="77777777" w:rsidR="00136004" w:rsidRDefault="0013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BFE1" w14:textId="77777777" w:rsidR="00854A7B" w:rsidRDefault="00854A7B">
      <w:r>
        <w:separator/>
      </w:r>
    </w:p>
  </w:footnote>
  <w:footnote w:type="continuationSeparator" w:id="0">
    <w:p w14:paraId="4333DF72" w14:textId="77777777" w:rsidR="00854A7B" w:rsidRDefault="0085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2D45" w14:textId="77777777" w:rsidR="00026AD4" w:rsidRDefault="0002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77ED" w14:textId="77777777" w:rsidR="00026AD4" w:rsidRDefault="00026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C75D1" w14:textId="77777777" w:rsidR="00026AD4" w:rsidRDefault="00026A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610" w14:textId="77777777" w:rsidR="00136004" w:rsidRDefault="0013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D7"/>
    <w:multiLevelType w:val="hybridMultilevel"/>
    <w:tmpl w:val="4380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B52CF"/>
    <w:multiLevelType w:val="hybridMultilevel"/>
    <w:tmpl w:val="42A64E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744A13"/>
    <w:multiLevelType w:val="hybridMultilevel"/>
    <w:tmpl w:val="0E9C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34254"/>
    <w:multiLevelType w:val="hybridMultilevel"/>
    <w:tmpl w:val="B2C0EA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575D8"/>
    <w:multiLevelType w:val="hybridMultilevel"/>
    <w:tmpl w:val="46BA9C26"/>
    <w:lvl w:ilvl="0" w:tplc="0809000B">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15:restartNumberingAfterBreak="0">
    <w:nsid w:val="17635DFB"/>
    <w:multiLevelType w:val="hybridMultilevel"/>
    <w:tmpl w:val="615C6C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8331FE"/>
    <w:multiLevelType w:val="hybridMultilevel"/>
    <w:tmpl w:val="84A4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C5CEA"/>
    <w:multiLevelType w:val="hybridMultilevel"/>
    <w:tmpl w:val="B15CB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92C84"/>
    <w:multiLevelType w:val="hybridMultilevel"/>
    <w:tmpl w:val="8BFE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72C8F"/>
    <w:multiLevelType w:val="hybridMultilevel"/>
    <w:tmpl w:val="3DE2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91771"/>
    <w:multiLevelType w:val="hybridMultilevel"/>
    <w:tmpl w:val="E230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E1D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36326B"/>
    <w:multiLevelType w:val="hybridMultilevel"/>
    <w:tmpl w:val="F31617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630238"/>
    <w:multiLevelType w:val="hybridMultilevel"/>
    <w:tmpl w:val="08226B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48B74C67"/>
    <w:multiLevelType w:val="singleLevel"/>
    <w:tmpl w:val="55A8656E"/>
    <w:lvl w:ilvl="0">
      <w:start w:val="1"/>
      <w:numFmt w:val="decimal"/>
      <w:lvlText w:val="%1."/>
      <w:lvlJc w:val="left"/>
      <w:pPr>
        <w:tabs>
          <w:tab w:val="num" w:pos="720"/>
        </w:tabs>
        <w:ind w:left="720" w:hanging="720"/>
      </w:pPr>
      <w:rPr>
        <w:rFonts w:cs="Times New Roman"/>
      </w:rPr>
    </w:lvl>
  </w:abstractNum>
  <w:abstractNum w:abstractNumId="15" w15:restartNumberingAfterBreak="0">
    <w:nsid w:val="49806D50"/>
    <w:multiLevelType w:val="hybridMultilevel"/>
    <w:tmpl w:val="782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73D89"/>
    <w:multiLevelType w:val="hybridMultilevel"/>
    <w:tmpl w:val="CB400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D410D"/>
    <w:multiLevelType w:val="hybridMultilevel"/>
    <w:tmpl w:val="C7AEFFF6"/>
    <w:lvl w:ilvl="0" w:tplc="465A8194">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4A7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1C7E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4EB4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A26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D892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721D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20F3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CEE7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264B78"/>
    <w:multiLevelType w:val="hybridMultilevel"/>
    <w:tmpl w:val="F028EF8E"/>
    <w:lvl w:ilvl="0" w:tplc="B76882A4">
      <w:start w:val="1"/>
      <w:numFmt w:val="bullet"/>
      <w:lvlText w:val="•"/>
      <w:lvlJc w:val="left"/>
      <w:pPr>
        <w:ind w:left="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086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AEB5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C4B7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CA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830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EB9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68C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D4D0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09398129">
    <w:abstractNumId w:val="12"/>
  </w:num>
  <w:num w:numId="2" w16cid:durableId="119762114">
    <w:abstractNumId w:val="11"/>
  </w:num>
  <w:num w:numId="3" w16cid:durableId="1418793822">
    <w:abstractNumId w:val="1"/>
  </w:num>
  <w:num w:numId="4" w16cid:durableId="759569243">
    <w:abstractNumId w:val="16"/>
  </w:num>
  <w:num w:numId="5" w16cid:durableId="541551029">
    <w:abstractNumId w:val="3"/>
  </w:num>
  <w:num w:numId="6" w16cid:durableId="2104718817">
    <w:abstractNumId w:val="7"/>
  </w:num>
  <w:num w:numId="7" w16cid:durableId="1349792513">
    <w:abstractNumId w:val="9"/>
  </w:num>
  <w:num w:numId="8" w16cid:durableId="1322155808">
    <w:abstractNumId w:val="15"/>
  </w:num>
  <w:num w:numId="9" w16cid:durableId="2050180483">
    <w:abstractNumId w:val="5"/>
  </w:num>
  <w:num w:numId="10" w16cid:durableId="632758155">
    <w:abstractNumId w:val="13"/>
  </w:num>
  <w:num w:numId="11" w16cid:durableId="542444314">
    <w:abstractNumId w:val="14"/>
  </w:num>
  <w:num w:numId="12" w16cid:durableId="1100487586">
    <w:abstractNumId w:val="10"/>
  </w:num>
  <w:num w:numId="13" w16cid:durableId="2102555674">
    <w:abstractNumId w:val="18"/>
  </w:num>
  <w:num w:numId="14" w16cid:durableId="1176767014">
    <w:abstractNumId w:val="17"/>
  </w:num>
  <w:num w:numId="15" w16cid:durableId="814956613">
    <w:abstractNumId w:val="8"/>
  </w:num>
  <w:num w:numId="16" w16cid:durableId="425150617">
    <w:abstractNumId w:val="4"/>
  </w:num>
  <w:num w:numId="17" w16cid:durableId="1488395775">
    <w:abstractNumId w:val="2"/>
  </w:num>
  <w:num w:numId="18" w16cid:durableId="707220473">
    <w:abstractNumId w:val="0"/>
  </w:num>
  <w:num w:numId="19" w16cid:durableId="36401621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2B"/>
    <w:rsid w:val="0000543B"/>
    <w:rsid w:val="00007FD0"/>
    <w:rsid w:val="0001098D"/>
    <w:rsid w:val="000141B1"/>
    <w:rsid w:val="00015C0F"/>
    <w:rsid w:val="00021280"/>
    <w:rsid w:val="000214EF"/>
    <w:rsid w:val="00026AD4"/>
    <w:rsid w:val="00027459"/>
    <w:rsid w:val="00034A5E"/>
    <w:rsid w:val="00036AA1"/>
    <w:rsid w:val="0005052B"/>
    <w:rsid w:val="00060929"/>
    <w:rsid w:val="00065C6A"/>
    <w:rsid w:val="00070265"/>
    <w:rsid w:val="00081C9F"/>
    <w:rsid w:val="0009103B"/>
    <w:rsid w:val="000C29F7"/>
    <w:rsid w:val="000E3E97"/>
    <w:rsid w:val="000F1F6A"/>
    <w:rsid w:val="00105C65"/>
    <w:rsid w:val="00116EC7"/>
    <w:rsid w:val="001201E8"/>
    <w:rsid w:val="0012083F"/>
    <w:rsid w:val="00133AAE"/>
    <w:rsid w:val="001356C5"/>
    <w:rsid w:val="00136004"/>
    <w:rsid w:val="00150D8D"/>
    <w:rsid w:val="00154C21"/>
    <w:rsid w:val="00166156"/>
    <w:rsid w:val="0016679E"/>
    <w:rsid w:val="00167508"/>
    <w:rsid w:val="0018155C"/>
    <w:rsid w:val="001A5816"/>
    <w:rsid w:val="001A6983"/>
    <w:rsid w:val="001D3A0B"/>
    <w:rsid w:val="001D5110"/>
    <w:rsid w:val="001F2F63"/>
    <w:rsid w:val="001F60D7"/>
    <w:rsid w:val="002071B1"/>
    <w:rsid w:val="00222BD5"/>
    <w:rsid w:val="00226855"/>
    <w:rsid w:val="0023121E"/>
    <w:rsid w:val="0023166B"/>
    <w:rsid w:val="00235C6B"/>
    <w:rsid w:val="00235F53"/>
    <w:rsid w:val="00243823"/>
    <w:rsid w:val="00264065"/>
    <w:rsid w:val="00272F2E"/>
    <w:rsid w:val="0028132F"/>
    <w:rsid w:val="00282615"/>
    <w:rsid w:val="00282FEA"/>
    <w:rsid w:val="00291EB6"/>
    <w:rsid w:val="002924BC"/>
    <w:rsid w:val="00294E2C"/>
    <w:rsid w:val="002B7371"/>
    <w:rsid w:val="002C7ACF"/>
    <w:rsid w:val="002D5432"/>
    <w:rsid w:val="002F10FA"/>
    <w:rsid w:val="0030082B"/>
    <w:rsid w:val="003038E2"/>
    <w:rsid w:val="00303D32"/>
    <w:rsid w:val="0031502F"/>
    <w:rsid w:val="00326E02"/>
    <w:rsid w:val="0032729E"/>
    <w:rsid w:val="00333158"/>
    <w:rsid w:val="00333D98"/>
    <w:rsid w:val="0033433C"/>
    <w:rsid w:val="00336961"/>
    <w:rsid w:val="00337A0C"/>
    <w:rsid w:val="003450AD"/>
    <w:rsid w:val="003648B4"/>
    <w:rsid w:val="00373543"/>
    <w:rsid w:val="00373EAD"/>
    <w:rsid w:val="0038257D"/>
    <w:rsid w:val="003867D4"/>
    <w:rsid w:val="003978A8"/>
    <w:rsid w:val="003B3AB3"/>
    <w:rsid w:val="003C2354"/>
    <w:rsid w:val="003C3AFB"/>
    <w:rsid w:val="003C3CC6"/>
    <w:rsid w:val="003C5CD0"/>
    <w:rsid w:val="003C6747"/>
    <w:rsid w:val="003C6901"/>
    <w:rsid w:val="003C7F1A"/>
    <w:rsid w:val="003D3C4C"/>
    <w:rsid w:val="00422FFC"/>
    <w:rsid w:val="00425015"/>
    <w:rsid w:val="00425C71"/>
    <w:rsid w:val="0043227D"/>
    <w:rsid w:val="00434574"/>
    <w:rsid w:val="00442156"/>
    <w:rsid w:val="00456C02"/>
    <w:rsid w:val="00462AF6"/>
    <w:rsid w:val="0047241B"/>
    <w:rsid w:val="004749C0"/>
    <w:rsid w:val="00475899"/>
    <w:rsid w:val="004827FA"/>
    <w:rsid w:val="004A1938"/>
    <w:rsid w:val="004A5453"/>
    <w:rsid w:val="004A6FCC"/>
    <w:rsid w:val="004B7D0D"/>
    <w:rsid w:val="004C23B6"/>
    <w:rsid w:val="004C52FC"/>
    <w:rsid w:val="004D7E8E"/>
    <w:rsid w:val="004E32D8"/>
    <w:rsid w:val="004F6E54"/>
    <w:rsid w:val="004F747B"/>
    <w:rsid w:val="0050462C"/>
    <w:rsid w:val="00504F6E"/>
    <w:rsid w:val="00514E8F"/>
    <w:rsid w:val="00533275"/>
    <w:rsid w:val="00537310"/>
    <w:rsid w:val="00537472"/>
    <w:rsid w:val="00540D30"/>
    <w:rsid w:val="00542586"/>
    <w:rsid w:val="00543AAF"/>
    <w:rsid w:val="00546719"/>
    <w:rsid w:val="00551B2E"/>
    <w:rsid w:val="005604DD"/>
    <w:rsid w:val="0056439F"/>
    <w:rsid w:val="00574473"/>
    <w:rsid w:val="00590C55"/>
    <w:rsid w:val="005960A8"/>
    <w:rsid w:val="005A2361"/>
    <w:rsid w:val="005A6387"/>
    <w:rsid w:val="005A6BC0"/>
    <w:rsid w:val="005B0061"/>
    <w:rsid w:val="005C6A76"/>
    <w:rsid w:val="005D4345"/>
    <w:rsid w:val="005F1D5D"/>
    <w:rsid w:val="00625087"/>
    <w:rsid w:val="0062634A"/>
    <w:rsid w:val="00630341"/>
    <w:rsid w:val="006546AC"/>
    <w:rsid w:val="00655F9C"/>
    <w:rsid w:val="00660003"/>
    <w:rsid w:val="00663373"/>
    <w:rsid w:val="006662A9"/>
    <w:rsid w:val="0067166D"/>
    <w:rsid w:val="00677DC7"/>
    <w:rsid w:val="006878ED"/>
    <w:rsid w:val="006915AB"/>
    <w:rsid w:val="006940C8"/>
    <w:rsid w:val="00697755"/>
    <w:rsid w:val="006C508D"/>
    <w:rsid w:val="006C5661"/>
    <w:rsid w:val="006D7731"/>
    <w:rsid w:val="006D7871"/>
    <w:rsid w:val="006E1EE9"/>
    <w:rsid w:val="006E602F"/>
    <w:rsid w:val="00705F6C"/>
    <w:rsid w:val="00716048"/>
    <w:rsid w:val="0071702F"/>
    <w:rsid w:val="00724835"/>
    <w:rsid w:val="00732E63"/>
    <w:rsid w:val="00732F52"/>
    <w:rsid w:val="007549EE"/>
    <w:rsid w:val="007617EB"/>
    <w:rsid w:val="0077091C"/>
    <w:rsid w:val="00774333"/>
    <w:rsid w:val="00775632"/>
    <w:rsid w:val="00777B08"/>
    <w:rsid w:val="00784EC9"/>
    <w:rsid w:val="007973D5"/>
    <w:rsid w:val="007B3106"/>
    <w:rsid w:val="007B49D0"/>
    <w:rsid w:val="007C2EFD"/>
    <w:rsid w:val="007C46B7"/>
    <w:rsid w:val="007C5B19"/>
    <w:rsid w:val="007F0FAF"/>
    <w:rsid w:val="007F2CC1"/>
    <w:rsid w:val="007F4FEF"/>
    <w:rsid w:val="007F68E7"/>
    <w:rsid w:val="0080516D"/>
    <w:rsid w:val="00806B7F"/>
    <w:rsid w:val="00823408"/>
    <w:rsid w:val="008245B2"/>
    <w:rsid w:val="00826031"/>
    <w:rsid w:val="008300BC"/>
    <w:rsid w:val="00832C48"/>
    <w:rsid w:val="00845E52"/>
    <w:rsid w:val="00854A7B"/>
    <w:rsid w:val="00855189"/>
    <w:rsid w:val="00860FB8"/>
    <w:rsid w:val="0086591F"/>
    <w:rsid w:val="0086734E"/>
    <w:rsid w:val="008738F2"/>
    <w:rsid w:val="00875EF8"/>
    <w:rsid w:val="00876E15"/>
    <w:rsid w:val="00891A1B"/>
    <w:rsid w:val="008931B1"/>
    <w:rsid w:val="0089370A"/>
    <w:rsid w:val="00895646"/>
    <w:rsid w:val="008A28BB"/>
    <w:rsid w:val="008B341B"/>
    <w:rsid w:val="008B37BC"/>
    <w:rsid w:val="008B38D5"/>
    <w:rsid w:val="008B486B"/>
    <w:rsid w:val="008B66F2"/>
    <w:rsid w:val="008D6564"/>
    <w:rsid w:val="008D7CB5"/>
    <w:rsid w:val="008E44B6"/>
    <w:rsid w:val="008E6858"/>
    <w:rsid w:val="008F0C80"/>
    <w:rsid w:val="008F5108"/>
    <w:rsid w:val="008F77A0"/>
    <w:rsid w:val="00917342"/>
    <w:rsid w:val="009209AD"/>
    <w:rsid w:val="009310B3"/>
    <w:rsid w:val="009333AE"/>
    <w:rsid w:val="00955248"/>
    <w:rsid w:val="009569F6"/>
    <w:rsid w:val="009611D3"/>
    <w:rsid w:val="0096667D"/>
    <w:rsid w:val="00973C78"/>
    <w:rsid w:val="009776AF"/>
    <w:rsid w:val="00980D0D"/>
    <w:rsid w:val="009A6539"/>
    <w:rsid w:val="009C24F0"/>
    <w:rsid w:val="009D1251"/>
    <w:rsid w:val="009D4AD8"/>
    <w:rsid w:val="009D4CB9"/>
    <w:rsid w:val="009D6788"/>
    <w:rsid w:val="009E2AAE"/>
    <w:rsid w:val="009F5360"/>
    <w:rsid w:val="009F5732"/>
    <w:rsid w:val="009F71DC"/>
    <w:rsid w:val="00A04C6E"/>
    <w:rsid w:val="00A06D38"/>
    <w:rsid w:val="00A269EA"/>
    <w:rsid w:val="00A36327"/>
    <w:rsid w:val="00A40227"/>
    <w:rsid w:val="00A515AB"/>
    <w:rsid w:val="00A53D23"/>
    <w:rsid w:val="00A5782F"/>
    <w:rsid w:val="00A71407"/>
    <w:rsid w:val="00A8083E"/>
    <w:rsid w:val="00A83671"/>
    <w:rsid w:val="00A83D2A"/>
    <w:rsid w:val="00A851BC"/>
    <w:rsid w:val="00A92669"/>
    <w:rsid w:val="00A942A9"/>
    <w:rsid w:val="00A968BC"/>
    <w:rsid w:val="00AA09FF"/>
    <w:rsid w:val="00AD6CB3"/>
    <w:rsid w:val="00B00818"/>
    <w:rsid w:val="00B01740"/>
    <w:rsid w:val="00B10401"/>
    <w:rsid w:val="00B129D5"/>
    <w:rsid w:val="00B14BE6"/>
    <w:rsid w:val="00B22C6D"/>
    <w:rsid w:val="00B36E3B"/>
    <w:rsid w:val="00B40984"/>
    <w:rsid w:val="00B40B21"/>
    <w:rsid w:val="00B40FDA"/>
    <w:rsid w:val="00B455A9"/>
    <w:rsid w:val="00B47AB7"/>
    <w:rsid w:val="00B51FDE"/>
    <w:rsid w:val="00B532B1"/>
    <w:rsid w:val="00B65AB4"/>
    <w:rsid w:val="00B76E38"/>
    <w:rsid w:val="00BA43F1"/>
    <w:rsid w:val="00BB4119"/>
    <w:rsid w:val="00BC58CB"/>
    <w:rsid w:val="00BD2C0C"/>
    <w:rsid w:val="00BF2DCD"/>
    <w:rsid w:val="00BF5048"/>
    <w:rsid w:val="00BF5737"/>
    <w:rsid w:val="00BF6550"/>
    <w:rsid w:val="00C0108D"/>
    <w:rsid w:val="00C0236F"/>
    <w:rsid w:val="00C1376D"/>
    <w:rsid w:val="00C200D6"/>
    <w:rsid w:val="00C230F1"/>
    <w:rsid w:val="00C24569"/>
    <w:rsid w:val="00C30F24"/>
    <w:rsid w:val="00C4508A"/>
    <w:rsid w:val="00C47520"/>
    <w:rsid w:val="00C559DC"/>
    <w:rsid w:val="00C60E10"/>
    <w:rsid w:val="00C636C2"/>
    <w:rsid w:val="00C64CAD"/>
    <w:rsid w:val="00C71872"/>
    <w:rsid w:val="00C74206"/>
    <w:rsid w:val="00C744C1"/>
    <w:rsid w:val="00C74C05"/>
    <w:rsid w:val="00C76267"/>
    <w:rsid w:val="00C835F6"/>
    <w:rsid w:val="00C85803"/>
    <w:rsid w:val="00C85993"/>
    <w:rsid w:val="00CA11D6"/>
    <w:rsid w:val="00CB5734"/>
    <w:rsid w:val="00CB7EC3"/>
    <w:rsid w:val="00CC0721"/>
    <w:rsid w:val="00CC5D68"/>
    <w:rsid w:val="00CD2245"/>
    <w:rsid w:val="00CD611A"/>
    <w:rsid w:val="00CE09FB"/>
    <w:rsid w:val="00CE7EFC"/>
    <w:rsid w:val="00CF0669"/>
    <w:rsid w:val="00D07A80"/>
    <w:rsid w:val="00D14037"/>
    <w:rsid w:val="00D34AEF"/>
    <w:rsid w:val="00D4109B"/>
    <w:rsid w:val="00D54108"/>
    <w:rsid w:val="00D56A33"/>
    <w:rsid w:val="00D8030A"/>
    <w:rsid w:val="00D90016"/>
    <w:rsid w:val="00D9359A"/>
    <w:rsid w:val="00DA2734"/>
    <w:rsid w:val="00DA4F83"/>
    <w:rsid w:val="00DA579B"/>
    <w:rsid w:val="00DB42BE"/>
    <w:rsid w:val="00DB57F7"/>
    <w:rsid w:val="00DB5DCF"/>
    <w:rsid w:val="00DC6DDE"/>
    <w:rsid w:val="00DE2C1F"/>
    <w:rsid w:val="00DE3AED"/>
    <w:rsid w:val="00DE4521"/>
    <w:rsid w:val="00DE686B"/>
    <w:rsid w:val="00DF2BE5"/>
    <w:rsid w:val="00DF529D"/>
    <w:rsid w:val="00E022F8"/>
    <w:rsid w:val="00E274EE"/>
    <w:rsid w:val="00E27F63"/>
    <w:rsid w:val="00E410F0"/>
    <w:rsid w:val="00E42BE8"/>
    <w:rsid w:val="00E43B66"/>
    <w:rsid w:val="00E46DF3"/>
    <w:rsid w:val="00E5629A"/>
    <w:rsid w:val="00E67C28"/>
    <w:rsid w:val="00E74AF5"/>
    <w:rsid w:val="00EA27CF"/>
    <w:rsid w:val="00EB05A9"/>
    <w:rsid w:val="00EB2310"/>
    <w:rsid w:val="00EC6243"/>
    <w:rsid w:val="00EE6432"/>
    <w:rsid w:val="00EF12B9"/>
    <w:rsid w:val="00EF5EBD"/>
    <w:rsid w:val="00F23351"/>
    <w:rsid w:val="00F24B68"/>
    <w:rsid w:val="00F3252E"/>
    <w:rsid w:val="00F52BAE"/>
    <w:rsid w:val="00F61D70"/>
    <w:rsid w:val="00F630B8"/>
    <w:rsid w:val="00F63966"/>
    <w:rsid w:val="00F84CF5"/>
    <w:rsid w:val="00F86F4E"/>
    <w:rsid w:val="00F92455"/>
    <w:rsid w:val="00F96FC1"/>
    <w:rsid w:val="00F97FC2"/>
    <w:rsid w:val="00FA6A89"/>
    <w:rsid w:val="00FB0EBC"/>
    <w:rsid w:val="00FC3AD2"/>
    <w:rsid w:val="00FC3E18"/>
    <w:rsid w:val="00FC53B8"/>
    <w:rsid w:val="00FC573A"/>
    <w:rsid w:val="00FC5AF7"/>
    <w:rsid w:val="00FE7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1190F"/>
  <w15:docId w15:val="{E0B8DF3B-58C3-460F-AD2E-B2431042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52B"/>
    <w:rPr>
      <w:sz w:val="24"/>
    </w:rPr>
  </w:style>
  <w:style w:type="paragraph" w:styleId="Heading1">
    <w:name w:val="heading 1"/>
    <w:basedOn w:val="Normal"/>
    <w:next w:val="Normal"/>
    <w:link w:val="Heading1Char"/>
    <w:uiPriority w:val="9"/>
    <w:qFormat/>
    <w:rsid w:val="0005052B"/>
    <w:pPr>
      <w:keepNext/>
      <w:jc w:val="both"/>
      <w:outlineLvl w:val="0"/>
    </w:pPr>
    <w:rPr>
      <w:b/>
    </w:rPr>
  </w:style>
  <w:style w:type="paragraph" w:styleId="Heading2">
    <w:name w:val="heading 2"/>
    <w:basedOn w:val="Normal"/>
    <w:next w:val="Normal"/>
    <w:link w:val="Heading2Char"/>
    <w:uiPriority w:val="9"/>
    <w:qFormat/>
    <w:rsid w:val="009776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78E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776AF"/>
    <w:pPr>
      <w:keepNext/>
      <w:spacing w:before="240" w:after="60"/>
      <w:outlineLvl w:val="3"/>
    </w:pPr>
    <w:rPr>
      <w:b/>
      <w:bCs/>
      <w:sz w:val="28"/>
      <w:szCs w:val="28"/>
    </w:rPr>
  </w:style>
  <w:style w:type="paragraph" w:styleId="Heading5">
    <w:name w:val="heading 5"/>
    <w:basedOn w:val="Normal"/>
    <w:next w:val="Normal"/>
    <w:link w:val="Heading5Char"/>
    <w:qFormat/>
    <w:rsid w:val="006878ED"/>
    <w:pPr>
      <w:spacing w:before="240" w:after="60"/>
      <w:outlineLvl w:val="4"/>
    </w:pPr>
    <w:rPr>
      <w:b/>
      <w:bCs/>
      <w:i/>
      <w:iCs/>
      <w:sz w:val="26"/>
      <w:szCs w:val="26"/>
    </w:rPr>
  </w:style>
  <w:style w:type="paragraph" w:styleId="Heading6">
    <w:name w:val="heading 6"/>
    <w:basedOn w:val="Normal"/>
    <w:next w:val="Normal"/>
    <w:link w:val="Heading6Char"/>
    <w:qFormat/>
    <w:rsid w:val="00504F6E"/>
    <w:pPr>
      <w:spacing w:before="240" w:after="60"/>
      <w:outlineLvl w:val="5"/>
    </w:pPr>
    <w:rPr>
      <w:b/>
      <w:bCs/>
      <w:sz w:val="22"/>
      <w:szCs w:val="22"/>
    </w:rPr>
  </w:style>
  <w:style w:type="paragraph" w:styleId="Heading7">
    <w:name w:val="heading 7"/>
    <w:basedOn w:val="Normal"/>
    <w:next w:val="Normal"/>
    <w:link w:val="Heading7Char"/>
    <w:qFormat/>
    <w:rsid w:val="00533275"/>
    <w:pPr>
      <w:keepNext/>
      <w:outlineLvl w:val="6"/>
    </w:pPr>
    <w:rPr>
      <w:rFonts w:ascii="Univers" w:hAnsi="Univers"/>
      <w:u w:val="single"/>
    </w:rPr>
  </w:style>
  <w:style w:type="paragraph" w:styleId="Heading8">
    <w:name w:val="heading 8"/>
    <w:basedOn w:val="Normal"/>
    <w:next w:val="Normal"/>
    <w:link w:val="Heading8Char"/>
    <w:qFormat/>
    <w:rsid w:val="006878ED"/>
    <w:pPr>
      <w:spacing w:before="240" w:after="60"/>
      <w:outlineLvl w:val="7"/>
    </w:pPr>
    <w:rPr>
      <w:i/>
      <w:iCs/>
      <w:szCs w:val="24"/>
    </w:rPr>
  </w:style>
  <w:style w:type="paragraph" w:styleId="Heading9">
    <w:name w:val="heading 9"/>
    <w:basedOn w:val="Normal"/>
    <w:next w:val="Normal"/>
    <w:qFormat/>
    <w:rsid w:val="009776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5052B"/>
    <w:pPr>
      <w:jc w:val="center"/>
    </w:pPr>
    <w:rPr>
      <w:rFonts w:ascii="Arial" w:hAnsi="Arial"/>
      <w:b/>
      <w:sz w:val="32"/>
      <w:lang w:eastAsia="en-US"/>
    </w:rPr>
  </w:style>
  <w:style w:type="paragraph" w:styleId="BodyText2">
    <w:name w:val="Body Text 2"/>
    <w:basedOn w:val="Normal"/>
    <w:link w:val="BodyText2Char"/>
    <w:rsid w:val="006878ED"/>
    <w:pPr>
      <w:jc w:val="both"/>
    </w:pPr>
    <w:rPr>
      <w:rFonts w:ascii="Arial" w:hAnsi="Arial"/>
    </w:rPr>
  </w:style>
  <w:style w:type="table" w:styleId="TableGrid">
    <w:name w:val="Table Grid"/>
    <w:basedOn w:val="TableNormal"/>
    <w:uiPriority w:val="59"/>
    <w:rsid w:val="0068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878ED"/>
    <w:pPr>
      <w:tabs>
        <w:tab w:val="center" w:pos="4153"/>
        <w:tab w:val="right" w:pos="8306"/>
      </w:tabs>
    </w:pPr>
  </w:style>
  <w:style w:type="character" w:styleId="PageNumber">
    <w:name w:val="page number"/>
    <w:basedOn w:val="DefaultParagraphFont"/>
    <w:rsid w:val="006878ED"/>
  </w:style>
  <w:style w:type="paragraph" w:styleId="Header">
    <w:name w:val="header"/>
    <w:basedOn w:val="Normal"/>
    <w:link w:val="HeaderChar"/>
    <w:rsid w:val="00625087"/>
    <w:pPr>
      <w:tabs>
        <w:tab w:val="center" w:pos="4153"/>
        <w:tab w:val="right" w:pos="8306"/>
      </w:tabs>
    </w:pPr>
  </w:style>
  <w:style w:type="paragraph" w:styleId="BodyText3">
    <w:name w:val="Body Text 3"/>
    <w:basedOn w:val="Normal"/>
    <w:link w:val="BodyText3Char"/>
    <w:rsid w:val="00625087"/>
    <w:pPr>
      <w:spacing w:after="120"/>
    </w:pPr>
    <w:rPr>
      <w:sz w:val="16"/>
      <w:szCs w:val="16"/>
    </w:rPr>
  </w:style>
  <w:style w:type="paragraph" w:styleId="BodyText">
    <w:name w:val="Body Text"/>
    <w:basedOn w:val="Normal"/>
    <w:link w:val="BodyTextChar"/>
    <w:rsid w:val="007B3106"/>
    <w:pPr>
      <w:spacing w:after="120"/>
    </w:p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C5D68"/>
    <w:pPr>
      <w:ind w:left="720"/>
      <w:contextualSpacing/>
    </w:pPr>
    <w:rPr>
      <w:szCs w:val="24"/>
      <w:lang w:eastAsia="en-US"/>
    </w:rPr>
  </w:style>
  <w:style w:type="paragraph" w:styleId="BalloonText">
    <w:name w:val="Balloon Text"/>
    <w:basedOn w:val="Normal"/>
    <w:link w:val="BalloonTextChar"/>
    <w:uiPriority w:val="99"/>
    <w:semiHidden/>
    <w:rsid w:val="0071702F"/>
    <w:rPr>
      <w:rFonts w:ascii="Tahoma" w:hAnsi="Tahoma" w:cs="Tahoma"/>
      <w:sz w:val="16"/>
      <w:szCs w:val="16"/>
    </w:rPr>
  </w:style>
  <w:style w:type="character" w:customStyle="1" w:styleId="Heading7Char">
    <w:name w:val="Heading 7 Char"/>
    <w:link w:val="Heading7"/>
    <w:rsid w:val="00533275"/>
    <w:rPr>
      <w:rFonts w:ascii="Univers" w:hAnsi="Univers"/>
      <w:sz w:val="24"/>
      <w:u w:val="single"/>
    </w:rPr>
  </w:style>
  <w:style w:type="numbering" w:customStyle="1" w:styleId="NoList1">
    <w:name w:val="No List1"/>
    <w:next w:val="NoList"/>
    <w:semiHidden/>
    <w:rsid w:val="00533275"/>
  </w:style>
  <w:style w:type="paragraph" w:styleId="BodyTextIndent">
    <w:name w:val="Body Text Indent"/>
    <w:basedOn w:val="Normal"/>
    <w:link w:val="BodyTextIndentChar"/>
    <w:rsid w:val="00533275"/>
    <w:pPr>
      <w:spacing w:after="240"/>
      <w:ind w:left="720"/>
    </w:pPr>
    <w:rPr>
      <w:rFonts w:ascii="Arial" w:hAnsi="Arial"/>
    </w:rPr>
  </w:style>
  <w:style w:type="character" w:customStyle="1" w:styleId="BodyTextIndentChar">
    <w:name w:val="Body Text Indent Char"/>
    <w:link w:val="BodyTextIndent"/>
    <w:rsid w:val="00533275"/>
    <w:rPr>
      <w:rFonts w:ascii="Arial" w:hAnsi="Arial"/>
      <w:sz w:val="24"/>
    </w:rPr>
  </w:style>
  <w:style w:type="paragraph" w:styleId="BodyTextIndent2">
    <w:name w:val="Body Text Indent 2"/>
    <w:basedOn w:val="Normal"/>
    <w:link w:val="BodyTextIndent2Char"/>
    <w:rsid w:val="00533275"/>
    <w:pPr>
      <w:spacing w:after="240"/>
      <w:ind w:left="720"/>
    </w:pPr>
    <w:rPr>
      <w:rFonts w:ascii="Arial" w:hAnsi="Arial"/>
      <w:sz w:val="20"/>
    </w:rPr>
  </w:style>
  <w:style w:type="character" w:customStyle="1" w:styleId="BodyTextIndent2Char">
    <w:name w:val="Body Text Indent 2 Char"/>
    <w:link w:val="BodyTextIndent2"/>
    <w:rsid w:val="00533275"/>
    <w:rPr>
      <w:rFonts w:ascii="Arial" w:hAnsi="Arial"/>
    </w:rPr>
  </w:style>
  <w:style w:type="character" w:customStyle="1" w:styleId="HeaderChar">
    <w:name w:val="Header Char"/>
    <w:link w:val="Header"/>
    <w:locked/>
    <w:rsid w:val="00533275"/>
    <w:rPr>
      <w:sz w:val="24"/>
    </w:rPr>
  </w:style>
  <w:style w:type="paragraph" w:styleId="PlainText">
    <w:name w:val="Plain Text"/>
    <w:basedOn w:val="Normal"/>
    <w:link w:val="PlainTextChar"/>
    <w:rsid w:val="00533275"/>
    <w:rPr>
      <w:rFonts w:ascii="Consolas" w:hAnsi="Consolas"/>
      <w:sz w:val="21"/>
    </w:rPr>
  </w:style>
  <w:style w:type="character" w:customStyle="1" w:styleId="PlainTextChar">
    <w:name w:val="Plain Text Char"/>
    <w:link w:val="PlainText"/>
    <w:rsid w:val="00533275"/>
    <w:rPr>
      <w:rFonts w:ascii="Consolas" w:hAnsi="Consolas"/>
      <w:sz w:val="21"/>
    </w:rPr>
  </w:style>
  <w:style w:type="character" w:customStyle="1" w:styleId="Heading4Char">
    <w:name w:val="Heading 4 Char"/>
    <w:link w:val="Heading4"/>
    <w:locked/>
    <w:rsid w:val="00533275"/>
    <w:rPr>
      <w:b/>
      <w:bCs/>
      <w:sz w:val="28"/>
      <w:szCs w:val="28"/>
    </w:rPr>
  </w:style>
  <w:style w:type="character" w:customStyle="1" w:styleId="BodyText2Char">
    <w:name w:val="Body Text 2 Char"/>
    <w:link w:val="BodyText2"/>
    <w:locked/>
    <w:rsid w:val="00533275"/>
    <w:rPr>
      <w:rFonts w:ascii="Arial" w:hAnsi="Arial"/>
      <w:sz w:val="24"/>
    </w:rPr>
  </w:style>
  <w:style w:type="character" w:customStyle="1" w:styleId="BodyTextChar">
    <w:name w:val="Body Text Char"/>
    <w:link w:val="BodyText"/>
    <w:locked/>
    <w:rsid w:val="00533275"/>
    <w:rPr>
      <w:sz w:val="24"/>
    </w:rPr>
  </w:style>
  <w:style w:type="character" w:customStyle="1" w:styleId="Heading2Char">
    <w:name w:val="Heading 2 Char"/>
    <w:link w:val="Heading2"/>
    <w:rsid w:val="00533275"/>
    <w:rPr>
      <w:rFonts w:ascii="Arial" w:hAnsi="Arial" w:cs="Arial"/>
      <w:b/>
      <w:bCs/>
      <w:i/>
      <w:iCs/>
      <w:sz w:val="28"/>
      <w:szCs w:val="28"/>
    </w:rPr>
  </w:style>
  <w:style w:type="character" w:styleId="CommentReference">
    <w:name w:val="annotation reference"/>
    <w:uiPriority w:val="99"/>
    <w:rsid w:val="00533275"/>
    <w:rPr>
      <w:sz w:val="16"/>
      <w:szCs w:val="16"/>
    </w:rPr>
  </w:style>
  <w:style w:type="paragraph" w:styleId="CommentText">
    <w:name w:val="annotation text"/>
    <w:basedOn w:val="Normal"/>
    <w:link w:val="CommentTextChar"/>
    <w:uiPriority w:val="99"/>
    <w:rsid w:val="00533275"/>
    <w:rPr>
      <w:rFonts w:ascii="Arial" w:hAnsi="Arial"/>
      <w:sz w:val="20"/>
    </w:rPr>
  </w:style>
  <w:style w:type="character" w:customStyle="1" w:styleId="CommentTextChar">
    <w:name w:val="Comment Text Char"/>
    <w:link w:val="CommentText"/>
    <w:uiPriority w:val="99"/>
    <w:rsid w:val="00533275"/>
    <w:rPr>
      <w:rFonts w:ascii="Arial" w:hAnsi="Arial"/>
    </w:rPr>
  </w:style>
  <w:style w:type="paragraph" w:styleId="CommentSubject">
    <w:name w:val="annotation subject"/>
    <w:basedOn w:val="CommentText"/>
    <w:next w:val="CommentText"/>
    <w:link w:val="CommentSubjectChar"/>
    <w:uiPriority w:val="99"/>
    <w:rsid w:val="00533275"/>
    <w:rPr>
      <w:b/>
      <w:bCs/>
    </w:rPr>
  </w:style>
  <w:style w:type="character" w:customStyle="1" w:styleId="CommentSubjectChar">
    <w:name w:val="Comment Subject Char"/>
    <w:link w:val="CommentSubject"/>
    <w:uiPriority w:val="99"/>
    <w:rsid w:val="00533275"/>
    <w:rPr>
      <w:rFonts w:ascii="Arial" w:hAnsi="Arial"/>
      <w:b/>
      <w:bCs/>
    </w:rPr>
  </w:style>
  <w:style w:type="table" w:customStyle="1" w:styleId="TableGrid0">
    <w:name w:val="TableGrid"/>
    <w:rsid w:val="0023121E"/>
    <w:rPr>
      <w:rFonts w:ascii="Calibri" w:hAnsi="Calibri"/>
      <w:sz w:val="22"/>
      <w:szCs w:val="22"/>
    </w:rPr>
    <w:tblPr>
      <w:tblCellMar>
        <w:top w:w="0" w:type="dxa"/>
        <w:left w:w="0" w:type="dxa"/>
        <w:bottom w:w="0" w:type="dxa"/>
        <w:right w:w="0" w:type="dxa"/>
      </w:tblCellMar>
    </w:tblPr>
  </w:style>
  <w:style w:type="numbering" w:customStyle="1" w:styleId="NoList2">
    <w:name w:val="No List2"/>
    <w:next w:val="NoList"/>
    <w:uiPriority w:val="99"/>
    <w:semiHidden/>
    <w:unhideWhenUsed/>
    <w:rsid w:val="00475899"/>
  </w:style>
  <w:style w:type="character" w:customStyle="1" w:styleId="Heading1Char">
    <w:name w:val="Heading 1 Char"/>
    <w:link w:val="Heading1"/>
    <w:uiPriority w:val="9"/>
    <w:rsid w:val="00475899"/>
    <w:rPr>
      <w:b/>
      <w:sz w:val="24"/>
    </w:rPr>
  </w:style>
  <w:style w:type="table" w:customStyle="1" w:styleId="TableGrid1">
    <w:name w:val="TableGrid1"/>
    <w:rsid w:val="00475899"/>
    <w:rPr>
      <w:rFonts w:ascii="Calibri" w:hAnsi="Calibri"/>
      <w:sz w:val="22"/>
      <w:szCs w:val="22"/>
    </w:rPr>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475899"/>
    <w:rPr>
      <w:rFonts w:ascii="Tahoma" w:hAnsi="Tahoma" w:cs="Tahoma"/>
      <w:sz w:val="16"/>
      <w:szCs w:val="16"/>
    </w:rPr>
  </w:style>
  <w:style w:type="table" w:customStyle="1" w:styleId="TableGrid10">
    <w:name w:val="Table Grid1"/>
    <w:basedOn w:val="TableNormal"/>
    <w:next w:val="TableGrid"/>
    <w:uiPriority w:val="59"/>
    <w:rsid w:val="0047589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27475070msonormal">
    <w:name w:val="yiv1627475070msonormal"/>
    <w:basedOn w:val="Normal"/>
    <w:rsid w:val="00DF2BE5"/>
    <w:pPr>
      <w:spacing w:before="100" w:beforeAutospacing="1" w:after="100" w:afterAutospacing="1"/>
    </w:pPr>
    <w:rPr>
      <w:szCs w:val="24"/>
    </w:rPr>
  </w:style>
  <w:style w:type="table" w:customStyle="1" w:styleId="TableGrid2">
    <w:name w:val="Table Grid2"/>
    <w:basedOn w:val="TableNormal"/>
    <w:next w:val="TableGrid"/>
    <w:uiPriority w:val="59"/>
    <w:rsid w:val="002924BC"/>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B40FDA"/>
    <w:pPr>
      <w:shd w:val="clear" w:color="auto" w:fill="000080"/>
    </w:pPr>
    <w:rPr>
      <w:rFonts w:ascii="Tahoma" w:hAnsi="Tahoma"/>
    </w:rPr>
  </w:style>
  <w:style w:type="character" w:customStyle="1" w:styleId="DocumentMapChar">
    <w:name w:val="Document Map Char"/>
    <w:basedOn w:val="DefaultParagraphFont"/>
    <w:link w:val="DocumentMap"/>
    <w:rsid w:val="00B40FDA"/>
    <w:rPr>
      <w:rFonts w:ascii="Tahoma" w:hAnsi="Tahoma"/>
      <w:sz w:val="24"/>
      <w:shd w:val="clear" w:color="auto" w:fill="000080"/>
    </w:rPr>
  </w:style>
  <w:style w:type="paragraph" w:styleId="Subtitle">
    <w:name w:val="Subtitle"/>
    <w:basedOn w:val="Normal"/>
    <w:link w:val="SubtitleChar"/>
    <w:qFormat/>
    <w:rsid w:val="00B40FDA"/>
    <w:rPr>
      <w:b/>
      <w:u w:val="single"/>
    </w:rPr>
  </w:style>
  <w:style w:type="character" w:customStyle="1" w:styleId="SubtitleChar">
    <w:name w:val="Subtitle Char"/>
    <w:basedOn w:val="DefaultParagraphFont"/>
    <w:link w:val="Subtitle"/>
    <w:rsid w:val="00B40FDA"/>
    <w:rPr>
      <w:b/>
      <w:sz w:val="24"/>
      <w:u w:val="single"/>
    </w:rPr>
  </w:style>
  <w:style w:type="paragraph" w:customStyle="1" w:styleId="05ACHeadACharChar">
    <w:name w:val="05. AC Head A Char Char"/>
    <w:basedOn w:val="Heading1"/>
    <w:rsid w:val="00B40FDA"/>
    <w:pPr>
      <w:spacing w:before="120" w:after="120"/>
      <w:jc w:val="left"/>
      <w:outlineLvl w:val="9"/>
    </w:pPr>
    <w:rPr>
      <w:rFonts w:ascii="Helvetica" w:hAnsi="Helvetica"/>
      <w:color w:val="008080"/>
      <w:kern w:val="28"/>
      <w:sz w:val="32"/>
    </w:rPr>
  </w:style>
  <w:style w:type="paragraph" w:customStyle="1" w:styleId="verificationt2">
    <w:name w:val="verification t2"/>
    <w:basedOn w:val="Normal"/>
    <w:rsid w:val="00B40FDA"/>
    <w:pPr>
      <w:keepNext/>
      <w:spacing w:before="60" w:after="60"/>
    </w:pPr>
    <w:rPr>
      <w:rFonts w:ascii="Arial" w:hAnsi="Arial"/>
      <w:sz w:val="22"/>
    </w:rPr>
  </w:style>
  <w:style w:type="paragraph" w:customStyle="1" w:styleId="StyleBulletsBefore3ptAfter3ptLinespacingExactly">
    <w:name w:val="Style Bullets + Before:  3 pt After:  3 pt Line spacing:  Exactly..."/>
    <w:basedOn w:val="Normal"/>
    <w:rsid w:val="00B40FDA"/>
    <w:pPr>
      <w:spacing w:before="60" w:after="60" w:line="260" w:lineRule="exact"/>
      <w:ind w:left="431" w:hanging="431"/>
    </w:pPr>
    <w:rPr>
      <w:rFonts w:ascii="Arial" w:hAnsi="Arial"/>
      <w:sz w:val="22"/>
    </w:rPr>
  </w:style>
  <w:style w:type="paragraph" w:customStyle="1" w:styleId="Default">
    <w:name w:val="Default"/>
    <w:basedOn w:val="Normal"/>
    <w:rsid w:val="00B40FDA"/>
    <w:pPr>
      <w:autoSpaceDE w:val="0"/>
      <w:autoSpaceDN w:val="0"/>
    </w:pPr>
    <w:rPr>
      <w:rFonts w:ascii="Arial" w:eastAsiaTheme="minorHAnsi" w:hAnsi="Arial" w:cs="Arial"/>
      <w:color w:val="000000"/>
      <w:szCs w:val="24"/>
      <w:lang w:eastAsia="en-US"/>
    </w:rPr>
  </w:style>
  <w:style w:type="numbering" w:customStyle="1" w:styleId="NoList3">
    <w:name w:val="No List3"/>
    <w:next w:val="NoList"/>
    <w:uiPriority w:val="99"/>
    <w:semiHidden/>
    <w:unhideWhenUsed/>
    <w:rsid w:val="0001098D"/>
  </w:style>
  <w:style w:type="character" w:customStyle="1" w:styleId="Heading3Char">
    <w:name w:val="Heading 3 Char"/>
    <w:basedOn w:val="DefaultParagraphFont"/>
    <w:link w:val="Heading3"/>
    <w:rsid w:val="0001098D"/>
    <w:rPr>
      <w:rFonts w:ascii="Arial" w:hAnsi="Arial" w:cs="Arial"/>
      <w:b/>
      <w:bCs/>
      <w:sz w:val="26"/>
      <w:szCs w:val="26"/>
    </w:rPr>
  </w:style>
  <w:style w:type="character" w:customStyle="1" w:styleId="Heading5Char">
    <w:name w:val="Heading 5 Char"/>
    <w:basedOn w:val="DefaultParagraphFont"/>
    <w:link w:val="Heading5"/>
    <w:rsid w:val="0001098D"/>
    <w:rPr>
      <w:b/>
      <w:bCs/>
      <w:i/>
      <w:iCs/>
      <w:sz w:val="26"/>
      <w:szCs w:val="26"/>
    </w:rPr>
  </w:style>
  <w:style w:type="character" w:customStyle="1" w:styleId="Heading8Char">
    <w:name w:val="Heading 8 Char"/>
    <w:basedOn w:val="DefaultParagraphFont"/>
    <w:link w:val="Heading8"/>
    <w:rsid w:val="0001098D"/>
    <w:rPr>
      <w:i/>
      <w:iCs/>
      <w:sz w:val="24"/>
      <w:szCs w:val="24"/>
    </w:rPr>
  </w:style>
  <w:style w:type="character" w:customStyle="1" w:styleId="FooterChar">
    <w:name w:val="Footer Char"/>
    <w:basedOn w:val="DefaultParagraphFont"/>
    <w:link w:val="Footer"/>
    <w:rsid w:val="0001098D"/>
    <w:rPr>
      <w:sz w:val="24"/>
    </w:rPr>
  </w:style>
  <w:style w:type="character" w:customStyle="1" w:styleId="BodyText3Char">
    <w:name w:val="Body Text 3 Char"/>
    <w:basedOn w:val="DefaultParagraphFont"/>
    <w:link w:val="BodyText3"/>
    <w:rsid w:val="0001098D"/>
    <w:rPr>
      <w:sz w:val="16"/>
      <w:szCs w:val="16"/>
    </w:rPr>
  </w:style>
  <w:style w:type="character" w:customStyle="1" w:styleId="Heading6Char">
    <w:name w:val="Heading 6 Char"/>
    <w:basedOn w:val="DefaultParagraphFont"/>
    <w:link w:val="Heading6"/>
    <w:uiPriority w:val="9"/>
    <w:rsid w:val="0001098D"/>
    <w:rPr>
      <w:b/>
      <w:bCs/>
      <w:sz w:val="22"/>
      <w:szCs w:val="22"/>
    </w:rPr>
  </w:style>
  <w:style w:type="paragraph" w:styleId="Revision">
    <w:name w:val="Revision"/>
    <w:hidden/>
    <w:uiPriority w:val="99"/>
    <w:semiHidden/>
    <w:rsid w:val="0001098D"/>
  </w:style>
  <w:style w:type="numbering" w:customStyle="1" w:styleId="NoList4">
    <w:name w:val="No List4"/>
    <w:next w:val="NoList"/>
    <w:uiPriority w:val="99"/>
    <w:semiHidden/>
    <w:unhideWhenUsed/>
    <w:rsid w:val="003C6901"/>
  </w:style>
  <w:style w:type="table" w:customStyle="1" w:styleId="TableGrid20">
    <w:name w:val="TableGrid2"/>
    <w:rsid w:val="003C6901"/>
    <w:rPr>
      <w:rFonts w:ascii="Calibri" w:hAnsi="Calibri"/>
      <w:sz w:val="22"/>
      <w:szCs w:val="22"/>
    </w:rPr>
    <w:tblPr>
      <w:tblCellMar>
        <w:top w:w="0" w:type="dxa"/>
        <w:left w:w="0" w:type="dxa"/>
        <w:bottom w:w="0" w:type="dxa"/>
        <w:right w:w="0" w:type="dxa"/>
      </w:tblCellMar>
    </w:tblPr>
  </w:style>
  <w:style w:type="table" w:customStyle="1" w:styleId="TableGrid3">
    <w:name w:val="Table Grid3"/>
    <w:basedOn w:val="TableNormal"/>
    <w:next w:val="TableGrid"/>
    <w:uiPriority w:val="39"/>
    <w:rsid w:val="003C690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C6901"/>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6901"/>
    <w:rPr>
      <w:rFonts w:ascii="Arial" w:hAnsi="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6901"/>
    <w:pPr>
      <w:ind w:left="44" w:hanging="10"/>
      <w:jc w:val="both"/>
    </w:pPr>
    <w:rPr>
      <w:rFonts w:ascii="Arial" w:eastAsia="Arial" w:hAnsi="Arial" w:cs="Arial"/>
      <w:color w:val="000000"/>
      <w:sz w:val="24"/>
      <w:szCs w:val="22"/>
    </w:rPr>
  </w:style>
  <w:style w:type="table" w:customStyle="1" w:styleId="TableGrid30">
    <w:name w:val="TableGrid3"/>
    <w:rsid w:val="00DB57F7"/>
    <w:rPr>
      <w:rFonts w:ascii="Calibri" w:hAnsi="Calibri"/>
      <w:sz w:val="22"/>
      <w:szCs w:val="22"/>
    </w:rPr>
    <w:tblPr>
      <w:tblCellMar>
        <w:top w:w="0" w:type="dxa"/>
        <w:left w:w="0" w:type="dxa"/>
        <w:bottom w:w="0" w:type="dxa"/>
        <w:right w:w="0" w:type="dxa"/>
      </w:tblCellMar>
    </w:tblPr>
  </w:style>
  <w:style w:type="table" w:customStyle="1" w:styleId="TableGrid4">
    <w:name w:val="Table Grid4"/>
    <w:basedOn w:val="TableNormal"/>
    <w:next w:val="TableGrid"/>
    <w:uiPriority w:val="59"/>
    <w:rsid w:val="009310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A942A9"/>
    <w:pPr>
      <w:jc w:val="both"/>
    </w:pPr>
    <w:rPr>
      <w:rFonts w:ascii="Arial" w:hAnsi="Arial"/>
      <w:vanish/>
      <w:color w:val="FF0000"/>
    </w:rPr>
  </w:style>
  <w:style w:type="numbering" w:customStyle="1" w:styleId="NoList5">
    <w:name w:val="No List5"/>
    <w:next w:val="NoList"/>
    <w:uiPriority w:val="99"/>
    <w:semiHidden/>
    <w:unhideWhenUsed/>
    <w:rsid w:val="00DB42BE"/>
  </w:style>
  <w:style w:type="table" w:customStyle="1" w:styleId="TableGrid5">
    <w:name w:val="Table Grid5"/>
    <w:basedOn w:val="TableNormal"/>
    <w:next w:val="TableGrid"/>
    <w:uiPriority w:val="59"/>
    <w:rsid w:val="00DB42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B42BE"/>
    <w:rPr>
      <w:color w:val="0000FF"/>
      <w:u w:val="single"/>
    </w:rPr>
  </w:style>
  <w:style w:type="character" w:styleId="FollowedHyperlink">
    <w:name w:val="FollowedHyperlink"/>
    <w:basedOn w:val="DefaultParagraphFont"/>
    <w:uiPriority w:val="99"/>
    <w:semiHidden/>
    <w:unhideWhenUsed/>
    <w:rsid w:val="00DB42BE"/>
    <w:rPr>
      <w:color w:val="800080"/>
      <w:u w:val="single"/>
    </w:rPr>
  </w:style>
  <w:style w:type="paragraph" w:customStyle="1" w:styleId="msonormal0">
    <w:name w:val="msonormal"/>
    <w:basedOn w:val="Normal"/>
    <w:rsid w:val="00DB42BE"/>
    <w:pPr>
      <w:spacing w:before="100" w:beforeAutospacing="1" w:after="100" w:afterAutospacing="1"/>
    </w:pPr>
    <w:rPr>
      <w:szCs w:val="24"/>
    </w:rPr>
  </w:style>
  <w:style w:type="paragraph" w:customStyle="1" w:styleId="xl66">
    <w:name w:val="xl66"/>
    <w:basedOn w:val="Normal"/>
    <w:rsid w:val="00DB42BE"/>
    <w:pPr>
      <w:pBdr>
        <w:left w:val="single" w:sz="4" w:space="0" w:color="auto"/>
        <w:right w:val="single" w:sz="4" w:space="0" w:color="auto"/>
      </w:pBdr>
      <w:spacing w:before="100" w:beforeAutospacing="1" w:after="100" w:afterAutospacing="1"/>
    </w:pPr>
    <w:rPr>
      <w:szCs w:val="24"/>
    </w:rPr>
  </w:style>
  <w:style w:type="paragraph" w:customStyle="1" w:styleId="xl67">
    <w:name w:val="xl67"/>
    <w:basedOn w:val="Normal"/>
    <w:rsid w:val="00DB42BE"/>
    <w:pPr>
      <w:pBdr>
        <w:left w:val="single" w:sz="4" w:space="0" w:color="auto"/>
      </w:pBdr>
      <w:spacing w:before="100" w:beforeAutospacing="1" w:after="100" w:afterAutospacing="1"/>
    </w:pPr>
    <w:rPr>
      <w:szCs w:val="24"/>
    </w:rPr>
  </w:style>
  <w:style w:type="paragraph" w:customStyle="1" w:styleId="xl68">
    <w:name w:val="xl68"/>
    <w:basedOn w:val="Normal"/>
    <w:rsid w:val="00D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DB42BE"/>
    <w:pPr>
      <w:pBdr>
        <w:left w:val="single" w:sz="4" w:space="0" w:color="auto"/>
        <w:right w:val="single" w:sz="4" w:space="0" w:color="auto"/>
      </w:pBdr>
      <w:spacing w:before="100" w:beforeAutospacing="1" w:after="100" w:afterAutospacing="1"/>
    </w:pPr>
    <w:rPr>
      <w:szCs w:val="24"/>
    </w:rPr>
  </w:style>
  <w:style w:type="paragraph" w:customStyle="1" w:styleId="xl70">
    <w:name w:val="xl70"/>
    <w:basedOn w:val="Normal"/>
    <w:rsid w:val="00DB42BE"/>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1">
    <w:name w:val="xl71"/>
    <w:basedOn w:val="Normal"/>
    <w:rsid w:val="00DB42BE"/>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2">
    <w:name w:val="xl72"/>
    <w:basedOn w:val="Normal"/>
    <w:rsid w:val="00DB42BE"/>
    <w:pPr>
      <w:pBdr>
        <w:right w:val="single" w:sz="4" w:space="0" w:color="auto"/>
      </w:pBdr>
      <w:spacing w:before="100" w:beforeAutospacing="1" w:after="100" w:afterAutospacing="1"/>
    </w:pPr>
    <w:rPr>
      <w:szCs w:val="24"/>
    </w:rPr>
  </w:style>
  <w:style w:type="paragraph" w:customStyle="1" w:styleId="xl73">
    <w:name w:val="xl73"/>
    <w:basedOn w:val="Normal"/>
    <w:rsid w:val="00DB42BE"/>
    <w:pPr>
      <w:spacing w:before="100" w:beforeAutospacing="1" w:after="100" w:afterAutospacing="1"/>
      <w:jc w:val="center"/>
    </w:pPr>
    <w:rPr>
      <w:szCs w:val="24"/>
    </w:rPr>
  </w:style>
  <w:style w:type="paragraph" w:customStyle="1" w:styleId="xl74">
    <w:name w:val="xl74"/>
    <w:basedOn w:val="Normal"/>
    <w:rsid w:val="00DB42BE"/>
    <w:pPr>
      <w:pBdr>
        <w:bottom w:val="single" w:sz="4" w:space="0" w:color="auto"/>
        <w:right w:val="single" w:sz="4" w:space="0" w:color="auto"/>
      </w:pBdr>
      <w:spacing w:before="100" w:beforeAutospacing="1" w:after="100" w:afterAutospacing="1"/>
    </w:pPr>
    <w:rPr>
      <w:szCs w:val="24"/>
    </w:rPr>
  </w:style>
  <w:style w:type="paragraph" w:customStyle="1" w:styleId="xl75">
    <w:name w:val="xl75"/>
    <w:basedOn w:val="Normal"/>
    <w:rsid w:val="00DB42BE"/>
    <w:pPr>
      <w:pBdr>
        <w:bottom w:val="single" w:sz="4" w:space="0" w:color="auto"/>
        <w:right w:val="single" w:sz="4" w:space="0" w:color="auto"/>
      </w:pBdr>
      <w:spacing w:before="100" w:beforeAutospacing="1" w:after="100" w:afterAutospacing="1"/>
    </w:pPr>
    <w:rPr>
      <w:szCs w:val="24"/>
    </w:rPr>
  </w:style>
  <w:style w:type="paragraph" w:customStyle="1" w:styleId="xl76">
    <w:name w:val="xl76"/>
    <w:basedOn w:val="Normal"/>
    <w:rsid w:val="00DB42BE"/>
    <w:pPr>
      <w:shd w:val="clear" w:color="000000" w:fill="808080"/>
      <w:spacing w:before="100" w:beforeAutospacing="1" w:after="100" w:afterAutospacing="1"/>
    </w:pPr>
    <w:rPr>
      <w:szCs w:val="24"/>
    </w:rPr>
  </w:style>
  <w:style w:type="paragraph" w:customStyle="1" w:styleId="xl77">
    <w:name w:val="xl77"/>
    <w:basedOn w:val="Normal"/>
    <w:rsid w:val="00DB42BE"/>
    <w:pPr>
      <w:pBdr>
        <w:left w:val="single" w:sz="4" w:space="0" w:color="auto"/>
        <w:right w:val="single" w:sz="4" w:space="0" w:color="auto"/>
      </w:pBdr>
      <w:shd w:val="clear" w:color="000000" w:fill="808080"/>
      <w:spacing w:before="100" w:beforeAutospacing="1" w:after="100" w:afterAutospacing="1"/>
    </w:pPr>
    <w:rPr>
      <w:szCs w:val="24"/>
    </w:rPr>
  </w:style>
  <w:style w:type="paragraph" w:customStyle="1" w:styleId="xl78">
    <w:name w:val="xl78"/>
    <w:basedOn w:val="Normal"/>
    <w:rsid w:val="00DB42BE"/>
    <w:pPr>
      <w:pBdr>
        <w:left w:val="single" w:sz="4" w:space="0" w:color="auto"/>
      </w:pBdr>
      <w:shd w:val="clear" w:color="000000" w:fill="808080"/>
      <w:spacing w:before="100" w:beforeAutospacing="1" w:after="100" w:afterAutospacing="1"/>
    </w:pPr>
    <w:rPr>
      <w:szCs w:val="24"/>
    </w:rPr>
  </w:style>
  <w:style w:type="paragraph" w:customStyle="1" w:styleId="xl79">
    <w:name w:val="xl79"/>
    <w:basedOn w:val="Normal"/>
    <w:rsid w:val="00DB42BE"/>
    <w:pPr>
      <w:pBdr>
        <w:right w:val="single" w:sz="4" w:space="0" w:color="auto"/>
      </w:pBdr>
      <w:shd w:val="clear" w:color="000000" w:fill="808080"/>
      <w:spacing w:before="100" w:beforeAutospacing="1" w:after="100" w:afterAutospacing="1"/>
    </w:pPr>
    <w:rPr>
      <w:szCs w:val="24"/>
    </w:rPr>
  </w:style>
  <w:style w:type="paragraph" w:customStyle="1" w:styleId="xl80">
    <w:name w:val="xl80"/>
    <w:basedOn w:val="Normal"/>
    <w:rsid w:val="00DB42BE"/>
    <w:pPr>
      <w:shd w:val="clear" w:color="000000" w:fill="808080"/>
      <w:spacing w:before="100" w:beforeAutospacing="1" w:after="100" w:afterAutospacing="1"/>
    </w:pPr>
    <w:rPr>
      <w:szCs w:val="24"/>
    </w:rPr>
  </w:style>
  <w:style w:type="paragraph" w:customStyle="1" w:styleId="xl81">
    <w:name w:val="xl81"/>
    <w:basedOn w:val="Normal"/>
    <w:rsid w:val="00DB42BE"/>
    <w:pPr>
      <w:pBdr>
        <w:left w:val="single" w:sz="4" w:space="0" w:color="auto"/>
        <w:right w:val="single" w:sz="4" w:space="0" w:color="auto"/>
      </w:pBdr>
      <w:shd w:val="clear" w:color="000000" w:fill="BFBFBF"/>
      <w:spacing w:before="100" w:beforeAutospacing="1" w:after="100" w:afterAutospacing="1"/>
    </w:pPr>
    <w:rPr>
      <w:szCs w:val="24"/>
    </w:rPr>
  </w:style>
  <w:style w:type="paragraph" w:customStyle="1" w:styleId="xl82">
    <w:name w:val="xl82"/>
    <w:basedOn w:val="Normal"/>
    <w:rsid w:val="00DB42BE"/>
    <w:pPr>
      <w:pBdr>
        <w:left w:val="single" w:sz="4" w:space="0" w:color="auto"/>
        <w:bottom w:val="single" w:sz="4" w:space="0" w:color="auto"/>
        <w:right w:val="single" w:sz="4" w:space="0" w:color="auto"/>
      </w:pBdr>
      <w:shd w:val="clear" w:color="000000" w:fill="BFBFBF"/>
      <w:spacing w:before="100" w:beforeAutospacing="1" w:after="100" w:afterAutospacing="1"/>
    </w:pPr>
    <w:rPr>
      <w:szCs w:val="24"/>
    </w:rPr>
  </w:style>
  <w:style w:type="paragraph" w:customStyle="1" w:styleId="xl83">
    <w:name w:val="xl83"/>
    <w:basedOn w:val="Normal"/>
    <w:rsid w:val="00DB42BE"/>
    <w:pPr>
      <w:pBdr>
        <w:left w:val="single" w:sz="4" w:space="0" w:color="auto"/>
        <w:right w:val="single" w:sz="4" w:space="0" w:color="auto"/>
      </w:pBdr>
      <w:spacing w:before="100" w:beforeAutospacing="1" w:after="100" w:afterAutospacing="1"/>
    </w:pPr>
    <w:rPr>
      <w:szCs w:val="24"/>
    </w:rPr>
  </w:style>
  <w:style w:type="paragraph" w:customStyle="1" w:styleId="xl84">
    <w:name w:val="xl84"/>
    <w:basedOn w:val="Normal"/>
    <w:rsid w:val="00DB42BE"/>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DB42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6">
    <w:name w:val="xl86"/>
    <w:basedOn w:val="Normal"/>
    <w:rsid w:val="00DB42B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7">
    <w:name w:val="xl87"/>
    <w:basedOn w:val="Normal"/>
    <w:rsid w:val="00DB42BE"/>
    <w:pPr>
      <w:pBdr>
        <w:left w:val="single" w:sz="4" w:space="0" w:color="auto"/>
        <w:right w:val="single" w:sz="4" w:space="0" w:color="auto"/>
      </w:pBdr>
      <w:shd w:val="clear" w:color="000000" w:fill="808080"/>
      <w:spacing w:before="100" w:beforeAutospacing="1" w:after="100" w:afterAutospacing="1"/>
    </w:pPr>
    <w:rPr>
      <w:szCs w:val="24"/>
    </w:rPr>
  </w:style>
  <w:style w:type="paragraph" w:customStyle="1" w:styleId="xl88">
    <w:name w:val="xl88"/>
    <w:basedOn w:val="Normal"/>
    <w:rsid w:val="00DB42BE"/>
    <w:pPr>
      <w:pBdr>
        <w:right w:val="single" w:sz="4" w:space="0" w:color="auto"/>
      </w:pBdr>
      <w:shd w:val="clear" w:color="000000" w:fill="808080"/>
      <w:spacing w:before="100" w:beforeAutospacing="1" w:after="100" w:afterAutospacing="1"/>
    </w:pPr>
    <w:rPr>
      <w:szCs w:val="24"/>
    </w:rPr>
  </w:style>
  <w:style w:type="paragraph" w:customStyle="1" w:styleId="xl89">
    <w:name w:val="xl89"/>
    <w:basedOn w:val="Normal"/>
    <w:rsid w:val="00DB42BE"/>
    <w:pPr>
      <w:pBdr>
        <w:left w:val="single" w:sz="4" w:space="0" w:color="auto"/>
        <w:bottom w:val="single" w:sz="4" w:space="0" w:color="auto"/>
      </w:pBdr>
      <w:spacing w:before="100" w:beforeAutospacing="1" w:after="100" w:afterAutospacing="1"/>
    </w:pPr>
    <w:rPr>
      <w:szCs w:val="24"/>
    </w:rPr>
  </w:style>
  <w:style w:type="paragraph" w:customStyle="1" w:styleId="xl90">
    <w:name w:val="xl90"/>
    <w:basedOn w:val="Normal"/>
    <w:rsid w:val="00DB42BE"/>
    <w:pPr>
      <w:pBdr>
        <w:top w:val="single" w:sz="4" w:space="0" w:color="auto"/>
        <w:left w:val="single" w:sz="4" w:space="0" w:color="auto"/>
        <w:right w:val="single" w:sz="4" w:space="0" w:color="auto"/>
      </w:pBdr>
      <w:spacing w:before="100" w:beforeAutospacing="1" w:after="100" w:afterAutospacing="1"/>
    </w:pPr>
    <w:rPr>
      <w:szCs w:val="24"/>
    </w:rPr>
  </w:style>
  <w:style w:type="paragraph" w:customStyle="1" w:styleId="xl91">
    <w:name w:val="xl91"/>
    <w:basedOn w:val="Normal"/>
    <w:rsid w:val="00DB42BE"/>
    <w:pPr>
      <w:pBdr>
        <w:top w:val="single" w:sz="4" w:space="0" w:color="auto"/>
        <w:left w:val="single" w:sz="4" w:space="0" w:color="auto"/>
        <w:right w:val="single" w:sz="4" w:space="0" w:color="auto"/>
      </w:pBdr>
      <w:spacing w:before="100" w:beforeAutospacing="1" w:after="100" w:afterAutospacing="1"/>
    </w:pPr>
    <w:rPr>
      <w:szCs w:val="24"/>
    </w:rPr>
  </w:style>
  <w:style w:type="paragraph" w:customStyle="1" w:styleId="xl92">
    <w:name w:val="xl92"/>
    <w:basedOn w:val="Normal"/>
    <w:rsid w:val="00DB42BE"/>
    <w:pPr>
      <w:pBdr>
        <w:top w:val="single" w:sz="4" w:space="0" w:color="auto"/>
        <w:left w:val="single" w:sz="4" w:space="0" w:color="auto"/>
      </w:pBdr>
      <w:spacing w:before="100" w:beforeAutospacing="1" w:after="100" w:afterAutospacing="1"/>
    </w:pPr>
    <w:rPr>
      <w:szCs w:val="24"/>
    </w:rPr>
  </w:style>
  <w:style w:type="paragraph" w:customStyle="1" w:styleId="xl93">
    <w:name w:val="xl93"/>
    <w:basedOn w:val="Normal"/>
    <w:rsid w:val="00DB42BE"/>
    <w:pPr>
      <w:pBdr>
        <w:top w:val="single" w:sz="4" w:space="0" w:color="auto"/>
        <w:right w:val="single" w:sz="4" w:space="0" w:color="auto"/>
      </w:pBdr>
      <w:spacing w:before="100" w:beforeAutospacing="1" w:after="100" w:afterAutospacing="1"/>
    </w:pPr>
    <w:rPr>
      <w:szCs w:val="24"/>
    </w:rPr>
  </w:style>
  <w:style w:type="paragraph" w:customStyle="1" w:styleId="xl94">
    <w:name w:val="xl94"/>
    <w:basedOn w:val="Normal"/>
    <w:rsid w:val="00DB42BE"/>
    <w:pPr>
      <w:pBdr>
        <w:top w:val="single" w:sz="4" w:space="0" w:color="auto"/>
        <w:left w:val="single" w:sz="4" w:space="0" w:color="auto"/>
        <w:right w:val="single" w:sz="4" w:space="0" w:color="auto"/>
      </w:pBdr>
      <w:spacing w:before="100" w:beforeAutospacing="1" w:after="100" w:afterAutospacing="1"/>
    </w:pPr>
    <w:rPr>
      <w:szCs w:val="24"/>
    </w:rPr>
  </w:style>
  <w:style w:type="paragraph" w:customStyle="1" w:styleId="xl95">
    <w:name w:val="xl95"/>
    <w:basedOn w:val="Normal"/>
    <w:rsid w:val="00DB42BE"/>
    <w:pPr>
      <w:pBdr>
        <w:top w:val="single" w:sz="4" w:space="0" w:color="auto"/>
        <w:left w:val="single" w:sz="4" w:space="0" w:color="auto"/>
        <w:right w:val="single" w:sz="4" w:space="0" w:color="auto"/>
      </w:pBdr>
      <w:shd w:val="clear" w:color="000000" w:fill="BFBFBF"/>
      <w:spacing w:before="100" w:beforeAutospacing="1" w:after="100" w:afterAutospacing="1"/>
    </w:pPr>
    <w:rPr>
      <w:szCs w:val="24"/>
    </w:rPr>
  </w:style>
  <w:style w:type="table" w:customStyle="1" w:styleId="TableGrid6">
    <w:name w:val="Table Grid6"/>
    <w:basedOn w:val="TableNormal"/>
    <w:next w:val="TableGrid"/>
    <w:uiPriority w:val="59"/>
    <w:rsid w:val="00DB42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C2456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3" Type="http://schemas.openxmlformats.org/officeDocument/2006/relationships/oleObject" Target="file:///\\corpdata02.ad.lancscc.net\res\County%20Treasurer\Treasury\Clients\Fire\TM%20Strategy\2023-24\Fire%20Report%20Backing%20WP%20Addit%20Info%2023-24v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LIability Benchmark based on CFR and Actual Debt as at 31 March 2022</a:t>
            </a:r>
            <a:endParaRPr lang="en-GB">
              <a:effectLst/>
            </a:endParaRPr>
          </a:p>
        </c:rich>
      </c:tx>
      <c:layout>
        <c:manualLayout>
          <c:xMode val="edge"/>
          <c:yMode val="edge"/>
          <c:x val="0.26270412659397613"/>
          <c:y val="1.99825021872265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944095756146418E-2"/>
          <c:y val="0.11714009805378102"/>
          <c:w val="0.88257151159190406"/>
          <c:h val="0.80633973944746273"/>
        </c:manualLayout>
      </c:layout>
      <c:lineChart>
        <c:grouping val="standard"/>
        <c:varyColors val="0"/>
        <c:ser>
          <c:idx val="0"/>
          <c:order val="0"/>
          <c:tx>
            <c:strRef>
              <c:f>'LB Graph'!$B$20</c:f>
              <c:strCache>
                <c:ptCount val="1"/>
                <c:pt idx="0">
                  <c:v>Existing Debt outstanding</c:v>
                </c:pt>
              </c:strCache>
            </c:strRef>
          </c:tx>
          <c:spPr>
            <a:ln w="28575" cap="rnd">
              <a:solidFill>
                <a:schemeClr val="accent1"/>
              </a:solidFill>
              <a:round/>
            </a:ln>
            <a:effectLst/>
          </c:spPr>
          <c:marker>
            <c:symbol val="none"/>
          </c:marker>
          <c:cat>
            <c:strRef>
              <c:f>'LB Graph'!$A$21:$A$66</c:f>
              <c:strCache>
                <c:ptCount val="4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strCache>
            </c:strRef>
          </c:cat>
          <c:val>
            <c:numRef>
              <c:f>'LB Graph'!$B$21:$B$66</c:f>
              <c:numCache>
                <c:formatCode>#,##0.0;\(#,##0.0\)</c:formatCode>
                <c:ptCount val="46"/>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1.35</c:v>
                </c:pt>
                <c:pt idx="16">
                  <c:v>0.7</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numCache>
            </c:numRef>
          </c:val>
          <c:smooth val="0"/>
          <c:extLst>
            <c:ext xmlns:c16="http://schemas.microsoft.com/office/drawing/2014/chart" uri="{C3380CC4-5D6E-409C-BE32-E72D297353CC}">
              <c16:uniqueId val="{00000000-A0EE-462D-9A6A-5C1300D033B4}"/>
            </c:ext>
          </c:extLst>
        </c:ser>
        <c:ser>
          <c:idx val="1"/>
          <c:order val="1"/>
          <c:tx>
            <c:strRef>
              <c:f>'LB Graph'!$C$20</c:f>
              <c:strCache>
                <c:ptCount val="1"/>
                <c:pt idx="0">
                  <c:v>Forecast Net Loans Requirement</c:v>
                </c:pt>
              </c:strCache>
            </c:strRef>
          </c:tx>
          <c:spPr>
            <a:ln w="28575" cap="rnd">
              <a:solidFill>
                <a:schemeClr val="accent2"/>
              </a:solidFill>
              <a:round/>
            </a:ln>
            <a:effectLst/>
          </c:spPr>
          <c:marker>
            <c:symbol val="none"/>
          </c:marker>
          <c:cat>
            <c:strRef>
              <c:f>'LB Graph'!$A$21:$A$66</c:f>
              <c:strCache>
                <c:ptCount val="4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strCache>
            </c:strRef>
          </c:cat>
          <c:val>
            <c:numRef>
              <c:f>'LB Graph'!$C$21:$C$66</c:f>
              <c:numCache>
                <c:formatCode>#,##0.0</c:formatCode>
                <c:ptCount val="46"/>
                <c:pt idx="0">
                  <c:v>-31.571000000000002</c:v>
                </c:pt>
                <c:pt idx="1">
                  <c:v>-28.771000000000001</c:v>
                </c:pt>
                <c:pt idx="2">
                  <c:v>-22.971</c:v>
                </c:pt>
                <c:pt idx="3">
                  <c:v>-15.871</c:v>
                </c:pt>
                <c:pt idx="4">
                  <c:v>-8.5709999999999997</c:v>
                </c:pt>
                <c:pt idx="5">
                  <c:v>-1.171</c:v>
                </c:pt>
                <c:pt idx="6">
                  <c:v>6.6790000000000003</c:v>
                </c:pt>
                <c:pt idx="7">
                  <c:v>6.3289999999999997</c:v>
                </c:pt>
                <c:pt idx="8">
                  <c:v>5.9790000000000001</c:v>
                </c:pt>
                <c:pt idx="9">
                  <c:v>5.6289999999999996</c:v>
                </c:pt>
                <c:pt idx="10">
                  <c:v>5.2789999999999999</c:v>
                </c:pt>
                <c:pt idx="11">
                  <c:v>4.9290000000000003</c:v>
                </c:pt>
                <c:pt idx="12">
                  <c:v>4.5789999999999997</c:v>
                </c:pt>
                <c:pt idx="13">
                  <c:v>4.2290000000000001</c:v>
                </c:pt>
                <c:pt idx="14">
                  <c:v>3.879</c:v>
                </c:pt>
                <c:pt idx="15">
                  <c:v>3.5289999999999999</c:v>
                </c:pt>
                <c:pt idx="16">
                  <c:v>3.1789999999999998</c:v>
                </c:pt>
                <c:pt idx="17">
                  <c:v>2.8290000000000002</c:v>
                </c:pt>
                <c:pt idx="18">
                  <c:v>2.4790000000000001</c:v>
                </c:pt>
                <c:pt idx="19">
                  <c:v>2.129</c:v>
                </c:pt>
                <c:pt idx="20">
                  <c:v>1.7789999999999999</c:v>
                </c:pt>
                <c:pt idx="21">
                  <c:v>1.429</c:v>
                </c:pt>
                <c:pt idx="22">
                  <c:v>1.079</c:v>
                </c:pt>
                <c:pt idx="23">
                  <c:v>0.72899999999999998</c:v>
                </c:pt>
                <c:pt idx="24">
                  <c:v>0.379</c:v>
                </c:pt>
                <c:pt idx="25">
                  <c:v>2.9000000000000001E-2</c:v>
                </c:pt>
                <c:pt idx="26">
                  <c:v>-0.32100000000000001</c:v>
                </c:pt>
                <c:pt idx="27">
                  <c:v>-0.67100000000000004</c:v>
                </c:pt>
                <c:pt idx="28">
                  <c:v>-1.0209999999999999</c:v>
                </c:pt>
                <c:pt idx="29">
                  <c:v>-1.371</c:v>
                </c:pt>
                <c:pt idx="30">
                  <c:v>-1.7210000000000001</c:v>
                </c:pt>
                <c:pt idx="31">
                  <c:v>-2.0710000000000002</c:v>
                </c:pt>
                <c:pt idx="32">
                  <c:v>-2.4209999999999998</c:v>
                </c:pt>
                <c:pt idx="33">
                  <c:v>-2.7709999999999999</c:v>
                </c:pt>
                <c:pt idx="34">
                  <c:v>-3.121</c:v>
                </c:pt>
                <c:pt idx="35">
                  <c:v>-3.4710000000000001</c:v>
                </c:pt>
                <c:pt idx="36">
                  <c:v>-3.8210000000000002</c:v>
                </c:pt>
                <c:pt idx="37">
                  <c:v>-4.1710000000000003</c:v>
                </c:pt>
                <c:pt idx="38">
                  <c:v>-4.5209999999999999</c:v>
                </c:pt>
                <c:pt idx="39">
                  <c:v>-4.8710000000000004</c:v>
                </c:pt>
                <c:pt idx="40">
                  <c:v>-5.2210000000000001</c:v>
                </c:pt>
                <c:pt idx="41">
                  <c:v>-5.5709999999999997</c:v>
                </c:pt>
                <c:pt idx="42">
                  <c:v>-5.9210000000000003</c:v>
                </c:pt>
                <c:pt idx="43">
                  <c:v>-6.2709999999999999</c:v>
                </c:pt>
                <c:pt idx="44">
                  <c:v>-6.6210000000000004</c:v>
                </c:pt>
                <c:pt idx="45">
                  <c:v>-6.9710000000000001</c:v>
                </c:pt>
              </c:numCache>
            </c:numRef>
          </c:val>
          <c:smooth val="0"/>
          <c:extLst xmlns:c15="http://schemas.microsoft.com/office/drawing/2012/chart">
            <c:ext xmlns:c16="http://schemas.microsoft.com/office/drawing/2014/chart" uri="{C3380CC4-5D6E-409C-BE32-E72D297353CC}">
              <c16:uniqueId val="{00000001-A0EE-462D-9A6A-5C1300D033B4}"/>
            </c:ext>
          </c:extLst>
        </c:ser>
        <c:ser>
          <c:idx val="2"/>
          <c:order val="2"/>
          <c:tx>
            <c:strRef>
              <c:f>'LB Graph'!$D$20</c:f>
              <c:strCache>
                <c:ptCount val="1"/>
                <c:pt idx="0">
                  <c:v>Loans CFR</c:v>
                </c:pt>
              </c:strCache>
            </c:strRef>
          </c:tx>
          <c:spPr>
            <a:ln w="28575" cap="rnd">
              <a:solidFill>
                <a:schemeClr val="accent3"/>
              </a:solidFill>
              <a:round/>
            </a:ln>
            <a:effectLst/>
          </c:spPr>
          <c:marker>
            <c:symbol val="none"/>
          </c:marker>
          <c:cat>
            <c:strRef>
              <c:f>'LB Graph'!$A$21:$A$66</c:f>
              <c:strCache>
                <c:ptCount val="4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strCache>
            </c:strRef>
          </c:cat>
          <c:val>
            <c:numRef>
              <c:f>'LB Graph'!$D$21:$D$66</c:f>
              <c:numCache>
                <c:formatCode>#,##0.0</c:formatCode>
                <c:ptCount val="46"/>
                <c:pt idx="0">
                  <c:v>0</c:v>
                </c:pt>
                <c:pt idx="1">
                  <c:v>0</c:v>
                </c:pt>
                <c:pt idx="2">
                  <c:v>0</c:v>
                </c:pt>
                <c:pt idx="3">
                  <c:v>0</c:v>
                </c:pt>
                <c:pt idx="4">
                  <c:v>0</c:v>
                </c:pt>
                <c:pt idx="5">
                  <c:v>6</c:v>
                </c:pt>
                <c:pt idx="6">
                  <c:v>13.85</c:v>
                </c:pt>
                <c:pt idx="7">
                  <c:v>13.5</c:v>
                </c:pt>
                <c:pt idx="8">
                  <c:v>13.15</c:v>
                </c:pt>
                <c:pt idx="9">
                  <c:v>12.8</c:v>
                </c:pt>
                <c:pt idx="10">
                  <c:v>12.45</c:v>
                </c:pt>
                <c:pt idx="11">
                  <c:v>12.1</c:v>
                </c:pt>
                <c:pt idx="12">
                  <c:v>11.75</c:v>
                </c:pt>
                <c:pt idx="13">
                  <c:v>11.4</c:v>
                </c:pt>
                <c:pt idx="14">
                  <c:v>11.05</c:v>
                </c:pt>
                <c:pt idx="15">
                  <c:v>10.7</c:v>
                </c:pt>
                <c:pt idx="16">
                  <c:v>10.35</c:v>
                </c:pt>
                <c:pt idx="17">
                  <c:v>10</c:v>
                </c:pt>
                <c:pt idx="18">
                  <c:v>9.65</c:v>
                </c:pt>
                <c:pt idx="19">
                  <c:v>9.3000000000000007</c:v>
                </c:pt>
                <c:pt idx="20">
                  <c:v>8.9499999999999993</c:v>
                </c:pt>
                <c:pt idx="21">
                  <c:v>8.6</c:v>
                </c:pt>
                <c:pt idx="22">
                  <c:v>8.25</c:v>
                </c:pt>
                <c:pt idx="23">
                  <c:v>7.9</c:v>
                </c:pt>
                <c:pt idx="24">
                  <c:v>7.55</c:v>
                </c:pt>
                <c:pt idx="25">
                  <c:v>7.2</c:v>
                </c:pt>
                <c:pt idx="26">
                  <c:v>6.85</c:v>
                </c:pt>
                <c:pt idx="27">
                  <c:v>6.5</c:v>
                </c:pt>
                <c:pt idx="28">
                  <c:v>6.15</c:v>
                </c:pt>
                <c:pt idx="29">
                  <c:v>5.8</c:v>
                </c:pt>
                <c:pt idx="30">
                  <c:v>5.45</c:v>
                </c:pt>
                <c:pt idx="31">
                  <c:v>5.0999999999999996</c:v>
                </c:pt>
                <c:pt idx="32">
                  <c:v>4.75</c:v>
                </c:pt>
                <c:pt idx="33">
                  <c:v>4.4000000000000004</c:v>
                </c:pt>
                <c:pt idx="34">
                  <c:v>4.05</c:v>
                </c:pt>
                <c:pt idx="35">
                  <c:v>3.7</c:v>
                </c:pt>
                <c:pt idx="36">
                  <c:v>3.35</c:v>
                </c:pt>
                <c:pt idx="37">
                  <c:v>3</c:v>
                </c:pt>
                <c:pt idx="38">
                  <c:v>2.65</c:v>
                </c:pt>
                <c:pt idx="39">
                  <c:v>2.2999999999999998</c:v>
                </c:pt>
                <c:pt idx="40">
                  <c:v>1.95</c:v>
                </c:pt>
                <c:pt idx="41">
                  <c:v>1.6</c:v>
                </c:pt>
                <c:pt idx="42">
                  <c:v>1.25</c:v>
                </c:pt>
                <c:pt idx="43">
                  <c:v>0.9</c:v>
                </c:pt>
                <c:pt idx="44">
                  <c:v>0.55000000000000004</c:v>
                </c:pt>
                <c:pt idx="45">
                  <c:v>0.2</c:v>
                </c:pt>
              </c:numCache>
            </c:numRef>
          </c:val>
          <c:smooth val="0"/>
          <c:extLst>
            <c:ext xmlns:c16="http://schemas.microsoft.com/office/drawing/2014/chart" uri="{C3380CC4-5D6E-409C-BE32-E72D297353CC}">
              <c16:uniqueId val="{00000002-A0EE-462D-9A6A-5C1300D033B4}"/>
            </c:ext>
          </c:extLst>
        </c:ser>
        <c:ser>
          <c:idx val="3"/>
          <c:order val="3"/>
          <c:tx>
            <c:strRef>
              <c:f>'LB Graph'!$E$20</c:f>
              <c:strCache>
                <c:ptCount val="1"/>
                <c:pt idx="0">
                  <c:v>Liability Benchmark</c:v>
                </c:pt>
              </c:strCache>
            </c:strRef>
          </c:tx>
          <c:spPr>
            <a:ln w="28575" cap="rnd">
              <a:solidFill>
                <a:schemeClr val="accent4"/>
              </a:solidFill>
              <a:round/>
            </a:ln>
            <a:effectLst/>
          </c:spPr>
          <c:marker>
            <c:symbol val="none"/>
          </c:marker>
          <c:cat>
            <c:strRef>
              <c:f>'LB Graph'!$A$21:$A$66</c:f>
              <c:strCache>
                <c:ptCount val="46"/>
                <c:pt idx="0">
                  <c:v>2021/22</c:v>
                </c:pt>
                <c:pt idx="1">
                  <c:v>2022/23</c:v>
                </c:pt>
                <c:pt idx="2">
                  <c:v>2023/24</c:v>
                </c:pt>
                <c:pt idx="3">
                  <c:v>2024/25</c:v>
                </c:pt>
                <c:pt idx="4">
                  <c:v>2025/26</c:v>
                </c:pt>
                <c:pt idx="5">
                  <c:v>2026/27</c:v>
                </c:pt>
                <c:pt idx="6">
                  <c:v>2027/28</c:v>
                </c:pt>
                <c:pt idx="7">
                  <c:v>2028/29</c:v>
                </c:pt>
                <c:pt idx="8">
                  <c:v>2029/30</c:v>
                </c:pt>
                <c:pt idx="9">
                  <c:v>2030/31</c:v>
                </c:pt>
                <c:pt idx="10">
                  <c:v>2031/32</c:v>
                </c:pt>
                <c:pt idx="11">
                  <c:v>2032/33</c:v>
                </c:pt>
                <c:pt idx="12">
                  <c:v>2033/34</c:v>
                </c:pt>
                <c:pt idx="13">
                  <c:v>2034/35</c:v>
                </c:pt>
                <c:pt idx="14">
                  <c:v>2035/36</c:v>
                </c:pt>
                <c:pt idx="15">
                  <c:v>2036/37</c:v>
                </c:pt>
                <c:pt idx="16">
                  <c:v>2037/38</c:v>
                </c:pt>
                <c:pt idx="17">
                  <c:v>2038/39</c:v>
                </c:pt>
                <c:pt idx="18">
                  <c:v>2039/40</c:v>
                </c:pt>
                <c:pt idx="19">
                  <c:v>2040/41</c:v>
                </c:pt>
                <c:pt idx="20">
                  <c:v>2041/42</c:v>
                </c:pt>
                <c:pt idx="21">
                  <c:v>2042/43</c:v>
                </c:pt>
                <c:pt idx="22">
                  <c:v>2043/44</c:v>
                </c:pt>
                <c:pt idx="23">
                  <c:v>2044/45</c:v>
                </c:pt>
                <c:pt idx="24">
                  <c:v>2045/46</c:v>
                </c:pt>
                <c:pt idx="25">
                  <c:v>2046/47</c:v>
                </c:pt>
                <c:pt idx="26">
                  <c:v>2047/48</c:v>
                </c:pt>
                <c:pt idx="27">
                  <c:v>2048/49</c:v>
                </c:pt>
                <c:pt idx="28">
                  <c:v>2049/50</c:v>
                </c:pt>
                <c:pt idx="29">
                  <c:v>2050/51</c:v>
                </c:pt>
                <c:pt idx="30">
                  <c:v>2051/52</c:v>
                </c:pt>
                <c:pt idx="31">
                  <c:v>2052/53</c:v>
                </c:pt>
                <c:pt idx="32">
                  <c:v>2053/54</c:v>
                </c:pt>
                <c:pt idx="33">
                  <c:v>2054/55</c:v>
                </c:pt>
                <c:pt idx="34">
                  <c:v>2055/56</c:v>
                </c:pt>
                <c:pt idx="35">
                  <c:v>2056/57</c:v>
                </c:pt>
                <c:pt idx="36">
                  <c:v>2057/58</c:v>
                </c:pt>
                <c:pt idx="37">
                  <c:v>2058/59</c:v>
                </c:pt>
                <c:pt idx="38">
                  <c:v>2059/60</c:v>
                </c:pt>
                <c:pt idx="39">
                  <c:v>2060/61</c:v>
                </c:pt>
                <c:pt idx="40">
                  <c:v>2061/62</c:v>
                </c:pt>
                <c:pt idx="41">
                  <c:v>2062/63</c:v>
                </c:pt>
                <c:pt idx="42">
                  <c:v>2063/64</c:v>
                </c:pt>
                <c:pt idx="43">
                  <c:v>2064/65</c:v>
                </c:pt>
                <c:pt idx="44">
                  <c:v>2065/66</c:v>
                </c:pt>
                <c:pt idx="45">
                  <c:v>2066/67</c:v>
                </c:pt>
              </c:strCache>
            </c:strRef>
          </c:cat>
          <c:val>
            <c:numRef>
              <c:f>'LB Graph'!$E$21:$E$66</c:f>
              <c:numCache>
                <c:formatCode>#,##0.0</c:formatCode>
                <c:ptCount val="46"/>
                <c:pt idx="0">
                  <c:v>-21.571000000000002</c:v>
                </c:pt>
                <c:pt idx="1">
                  <c:v>-18.771000000000001</c:v>
                </c:pt>
                <c:pt idx="2">
                  <c:v>-12.971</c:v>
                </c:pt>
                <c:pt idx="3">
                  <c:v>-5.8710000000000004</c:v>
                </c:pt>
                <c:pt idx="4">
                  <c:v>1.429</c:v>
                </c:pt>
                <c:pt idx="5">
                  <c:v>8.8290000000000006</c:v>
                </c:pt>
                <c:pt idx="6">
                  <c:v>16.678999999999998</c:v>
                </c:pt>
                <c:pt idx="7">
                  <c:v>16.329000000000001</c:v>
                </c:pt>
                <c:pt idx="8">
                  <c:v>15.978999999999999</c:v>
                </c:pt>
                <c:pt idx="9">
                  <c:v>15.629</c:v>
                </c:pt>
                <c:pt idx="10">
                  <c:v>15.279</c:v>
                </c:pt>
                <c:pt idx="11">
                  <c:v>14.929</c:v>
                </c:pt>
                <c:pt idx="12">
                  <c:v>14.579000000000001</c:v>
                </c:pt>
                <c:pt idx="13">
                  <c:v>14.228999999999999</c:v>
                </c:pt>
                <c:pt idx="14">
                  <c:v>13.879</c:v>
                </c:pt>
                <c:pt idx="15">
                  <c:v>13.529</c:v>
                </c:pt>
                <c:pt idx="16">
                  <c:v>13.179</c:v>
                </c:pt>
                <c:pt idx="17">
                  <c:v>12.829000000000001</c:v>
                </c:pt>
                <c:pt idx="18">
                  <c:v>12.478999999999999</c:v>
                </c:pt>
                <c:pt idx="19">
                  <c:v>12.129</c:v>
                </c:pt>
                <c:pt idx="20">
                  <c:v>11.779</c:v>
                </c:pt>
                <c:pt idx="21">
                  <c:v>11.429</c:v>
                </c:pt>
                <c:pt idx="22">
                  <c:v>11.079000000000001</c:v>
                </c:pt>
                <c:pt idx="23">
                  <c:v>10.728999999999999</c:v>
                </c:pt>
                <c:pt idx="24">
                  <c:v>10.379</c:v>
                </c:pt>
                <c:pt idx="25">
                  <c:v>10.029</c:v>
                </c:pt>
                <c:pt idx="26">
                  <c:v>9.6790000000000003</c:v>
                </c:pt>
                <c:pt idx="27">
                  <c:v>9.3290000000000006</c:v>
                </c:pt>
                <c:pt idx="28">
                  <c:v>8.9789999999999992</c:v>
                </c:pt>
                <c:pt idx="29">
                  <c:v>8.6289999999999996</c:v>
                </c:pt>
                <c:pt idx="30">
                  <c:v>8.2789999999999999</c:v>
                </c:pt>
                <c:pt idx="31">
                  <c:v>7.9290000000000003</c:v>
                </c:pt>
                <c:pt idx="32">
                  <c:v>7.5789999999999997</c:v>
                </c:pt>
                <c:pt idx="33">
                  <c:v>7.2290000000000001</c:v>
                </c:pt>
                <c:pt idx="34">
                  <c:v>6.8789999999999996</c:v>
                </c:pt>
                <c:pt idx="35">
                  <c:v>6.5289999999999999</c:v>
                </c:pt>
                <c:pt idx="36">
                  <c:v>6.1790000000000003</c:v>
                </c:pt>
                <c:pt idx="37">
                  <c:v>5.8289999999999997</c:v>
                </c:pt>
                <c:pt idx="38">
                  <c:v>5.4790000000000001</c:v>
                </c:pt>
                <c:pt idx="39">
                  <c:v>5.1289999999999996</c:v>
                </c:pt>
                <c:pt idx="40">
                  <c:v>4.7789999999999999</c:v>
                </c:pt>
                <c:pt idx="41">
                  <c:v>4.4290000000000003</c:v>
                </c:pt>
                <c:pt idx="42">
                  <c:v>4.0789999999999997</c:v>
                </c:pt>
                <c:pt idx="43">
                  <c:v>3.7290000000000001</c:v>
                </c:pt>
                <c:pt idx="44">
                  <c:v>3.379</c:v>
                </c:pt>
                <c:pt idx="45">
                  <c:v>3.0289999999999999</c:v>
                </c:pt>
              </c:numCache>
            </c:numRef>
          </c:val>
          <c:smooth val="0"/>
          <c:extLst>
            <c:ext xmlns:c16="http://schemas.microsoft.com/office/drawing/2014/chart" uri="{C3380CC4-5D6E-409C-BE32-E72D297353CC}">
              <c16:uniqueId val="{00000003-A0EE-462D-9A6A-5C1300D033B4}"/>
            </c:ext>
          </c:extLst>
        </c:ser>
        <c:dLbls>
          <c:showLegendKey val="0"/>
          <c:showVal val="0"/>
          <c:showCatName val="0"/>
          <c:showSerName val="0"/>
          <c:showPercent val="0"/>
          <c:showBubbleSize val="0"/>
        </c:dLbls>
        <c:smooth val="0"/>
        <c:axId val="493568904"/>
        <c:axId val="493578704"/>
        <c:extLst/>
      </c:lineChart>
      <c:catAx>
        <c:axId val="493568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578704"/>
        <c:crosses val="autoZero"/>
        <c:auto val="1"/>
        <c:lblAlgn val="ctr"/>
        <c:lblOffset val="100"/>
        <c:noMultiLvlLbl val="0"/>
      </c:catAx>
      <c:valAx>
        <c:axId val="493578704"/>
        <c:scaling>
          <c:orientation val="minMax"/>
          <c:max val="35"/>
          <c:min val="-35"/>
        </c:scaling>
        <c:delete val="0"/>
        <c:axPos val="l"/>
        <c:majorGridlines>
          <c:spPr>
            <a:ln w="9525" cap="flat" cmpd="sng" algn="ctr">
              <a:solidFill>
                <a:schemeClr val="tx1">
                  <a:lumMod val="15000"/>
                  <a:lumOff val="85000"/>
                </a:schemeClr>
              </a:solidFill>
              <a:round/>
            </a:ln>
            <a:effectLst/>
          </c:spPr>
        </c:majorGridlines>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568904"/>
        <c:crosses val="autoZero"/>
        <c:crossBetween val="between"/>
        <c:majorUnit val="5"/>
      </c:valAx>
      <c:spPr>
        <a:noFill/>
        <a:ln>
          <a:noFill/>
        </a:ln>
        <a:effectLst/>
      </c:spPr>
    </c:plotArea>
    <c:legend>
      <c:legendPos val="r"/>
      <c:layout>
        <c:manualLayout>
          <c:xMode val="edge"/>
          <c:yMode val="edge"/>
          <c:x val="0.30015259344123291"/>
          <c:y val="0.71816521530314326"/>
          <c:w val="0.48645025259635399"/>
          <c:h val="0.196971726848750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16CC-075B-435D-93D3-99F59E4D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17060</Words>
  <Characters>97245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NORMAL TEMPLATE</vt:lpstr>
    </vt:vector>
  </TitlesOfParts>
  <Company>Lancs Fire and Rescue Service</Company>
  <LinksUpToDate>false</LinksUpToDate>
  <CharactersWithSpaces>114077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DOCUMENTS</dc:subject>
  <dc:creator>Joanna Bowden</dc:creator>
  <cp:lastModifiedBy>Keith Mattinson</cp:lastModifiedBy>
  <cp:revision>2</cp:revision>
  <cp:lastPrinted>2022-03-17T16:15:00Z</cp:lastPrinted>
  <dcterms:created xsi:type="dcterms:W3CDTF">2023-03-10T10:59:00Z</dcterms:created>
  <dcterms:modified xsi:type="dcterms:W3CDTF">2023-03-10T10:59:00Z</dcterms:modified>
</cp:coreProperties>
</file>