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90B3" w14:textId="3940A01D" w:rsidR="009D1EF8" w:rsidRPr="001B64DF" w:rsidRDefault="00081937" w:rsidP="00EE44EB">
      <w:pPr>
        <w:spacing w:after="0" w:line="360" w:lineRule="auto"/>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7F4B4149" wp14:editId="2C6B199B">
            <wp:simplePos x="0" y="0"/>
            <wp:positionH relativeFrom="page">
              <wp:posOffset>-28575</wp:posOffset>
            </wp:positionH>
            <wp:positionV relativeFrom="paragraph">
              <wp:posOffset>-1108710</wp:posOffset>
            </wp:positionV>
            <wp:extent cx="7572375" cy="1070870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375" cy="10708708"/>
                    </a:xfrm>
                    <a:prstGeom prst="rect">
                      <a:avLst/>
                    </a:prstGeom>
                  </pic:spPr>
                </pic:pic>
              </a:graphicData>
            </a:graphic>
            <wp14:sizeRelH relativeFrom="margin">
              <wp14:pctWidth>0</wp14:pctWidth>
            </wp14:sizeRelH>
            <wp14:sizeRelV relativeFrom="margin">
              <wp14:pctHeight>0</wp14:pctHeight>
            </wp14:sizeRelV>
          </wp:anchor>
        </w:drawing>
      </w:r>
    </w:p>
    <w:p w14:paraId="3D44C9A3" w14:textId="77777777" w:rsidR="009D1EF8" w:rsidRPr="001B64DF" w:rsidRDefault="009D1EF8" w:rsidP="00EE44EB">
      <w:pPr>
        <w:spacing w:after="0" w:line="360" w:lineRule="auto"/>
        <w:jc w:val="center"/>
        <w:rPr>
          <w:rFonts w:ascii="Arial" w:hAnsi="Arial" w:cs="Arial"/>
          <w:sz w:val="28"/>
          <w:szCs w:val="28"/>
        </w:rPr>
      </w:pPr>
    </w:p>
    <w:p w14:paraId="587F5E4B" w14:textId="77777777" w:rsidR="009D1EF8" w:rsidRPr="001B64DF" w:rsidRDefault="009D1EF8" w:rsidP="00EE44EB">
      <w:pPr>
        <w:spacing w:after="0" w:line="360" w:lineRule="auto"/>
        <w:jc w:val="center"/>
        <w:rPr>
          <w:rFonts w:ascii="Arial" w:hAnsi="Arial" w:cs="Arial"/>
          <w:sz w:val="28"/>
          <w:szCs w:val="28"/>
        </w:rPr>
      </w:pPr>
    </w:p>
    <w:p w14:paraId="2FBAA2F9" w14:textId="77777777" w:rsidR="009D1EF8" w:rsidRPr="001B64DF" w:rsidRDefault="009D1EF8" w:rsidP="00EE44EB">
      <w:pPr>
        <w:spacing w:after="0" w:line="360" w:lineRule="auto"/>
        <w:jc w:val="center"/>
        <w:rPr>
          <w:rFonts w:ascii="Arial" w:hAnsi="Arial" w:cs="Arial"/>
          <w:sz w:val="28"/>
          <w:szCs w:val="28"/>
        </w:rPr>
      </w:pPr>
    </w:p>
    <w:p w14:paraId="0BE514FF" w14:textId="77777777" w:rsidR="009D1EF8" w:rsidRPr="001B64DF" w:rsidRDefault="009D1EF8" w:rsidP="00EE44EB">
      <w:pPr>
        <w:spacing w:after="0" w:line="360" w:lineRule="auto"/>
        <w:jc w:val="center"/>
        <w:rPr>
          <w:rFonts w:ascii="Arial" w:hAnsi="Arial" w:cs="Arial"/>
          <w:sz w:val="28"/>
          <w:szCs w:val="28"/>
        </w:rPr>
      </w:pPr>
    </w:p>
    <w:p w14:paraId="6FA1CC8C" w14:textId="77777777" w:rsidR="009D1EF8" w:rsidRPr="001B64DF" w:rsidRDefault="009D1EF8" w:rsidP="00EE44EB">
      <w:pPr>
        <w:spacing w:after="0" w:line="360" w:lineRule="auto"/>
        <w:jc w:val="center"/>
        <w:rPr>
          <w:rFonts w:ascii="Arial" w:hAnsi="Arial" w:cs="Arial"/>
          <w:sz w:val="28"/>
          <w:szCs w:val="28"/>
        </w:rPr>
      </w:pPr>
    </w:p>
    <w:p w14:paraId="4D6028CE" w14:textId="77777777" w:rsidR="009D1EF8" w:rsidRPr="001B64DF" w:rsidRDefault="009D1EF8" w:rsidP="00EE44EB">
      <w:pPr>
        <w:spacing w:after="0" w:line="360" w:lineRule="auto"/>
        <w:jc w:val="center"/>
        <w:rPr>
          <w:rFonts w:ascii="Arial" w:hAnsi="Arial" w:cs="Arial"/>
          <w:sz w:val="28"/>
          <w:szCs w:val="28"/>
        </w:rPr>
      </w:pPr>
    </w:p>
    <w:p w14:paraId="0B57B5EE" w14:textId="77777777" w:rsidR="009D1EF8" w:rsidRPr="001B64DF" w:rsidRDefault="009D1EF8" w:rsidP="00EE44EB">
      <w:pPr>
        <w:spacing w:after="0" w:line="360" w:lineRule="auto"/>
        <w:jc w:val="center"/>
        <w:rPr>
          <w:rFonts w:ascii="Arial" w:hAnsi="Arial" w:cs="Arial"/>
          <w:sz w:val="28"/>
          <w:szCs w:val="28"/>
        </w:rPr>
      </w:pPr>
    </w:p>
    <w:p w14:paraId="5F8CD226" w14:textId="77777777" w:rsidR="009D1EF8" w:rsidRPr="001B64DF" w:rsidRDefault="009D1EF8" w:rsidP="00EE44EB">
      <w:pPr>
        <w:spacing w:after="0" w:line="360" w:lineRule="auto"/>
        <w:jc w:val="center"/>
        <w:rPr>
          <w:rFonts w:ascii="Arial" w:hAnsi="Arial" w:cs="Arial"/>
          <w:sz w:val="32"/>
          <w:szCs w:val="32"/>
        </w:rPr>
      </w:pPr>
    </w:p>
    <w:p w14:paraId="3B82BAFB" w14:textId="77777777" w:rsidR="00081937" w:rsidRDefault="00081937" w:rsidP="00EE44EB">
      <w:pPr>
        <w:spacing w:after="0" w:line="360" w:lineRule="auto"/>
        <w:rPr>
          <w:rFonts w:ascii="Arial" w:hAnsi="Arial" w:cs="Arial"/>
          <w:color w:val="FFFFFF" w:themeColor="background1"/>
          <w:sz w:val="32"/>
          <w:szCs w:val="32"/>
        </w:rPr>
      </w:pPr>
    </w:p>
    <w:p w14:paraId="797C6575" w14:textId="77777777" w:rsidR="00081937" w:rsidRDefault="00081937" w:rsidP="00EE44EB">
      <w:pPr>
        <w:spacing w:after="0" w:line="360" w:lineRule="auto"/>
        <w:rPr>
          <w:rFonts w:ascii="Arial" w:hAnsi="Arial" w:cs="Arial"/>
          <w:color w:val="FFFFFF" w:themeColor="background1"/>
          <w:sz w:val="32"/>
          <w:szCs w:val="32"/>
        </w:rPr>
      </w:pPr>
    </w:p>
    <w:p w14:paraId="7A5F6248" w14:textId="77777777" w:rsidR="00081937" w:rsidRDefault="00081937" w:rsidP="00EE44EB">
      <w:pPr>
        <w:spacing w:after="0" w:line="360" w:lineRule="auto"/>
        <w:rPr>
          <w:rFonts w:ascii="Arial" w:hAnsi="Arial" w:cs="Arial"/>
          <w:color w:val="FFFFFF" w:themeColor="background1"/>
          <w:sz w:val="32"/>
          <w:szCs w:val="32"/>
        </w:rPr>
      </w:pPr>
    </w:p>
    <w:p w14:paraId="2B211038" w14:textId="7983CC99" w:rsidR="009D1EF8" w:rsidRPr="00081937" w:rsidRDefault="009D1EF8" w:rsidP="00EE44EB">
      <w:pPr>
        <w:spacing w:after="0" w:line="360" w:lineRule="auto"/>
        <w:rPr>
          <w:rFonts w:ascii="Arial" w:hAnsi="Arial" w:cs="Arial"/>
          <w:color w:val="FFFFFF" w:themeColor="background1"/>
          <w:sz w:val="36"/>
          <w:szCs w:val="36"/>
        </w:rPr>
      </w:pPr>
      <w:r w:rsidRPr="00081937">
        <w:rPr>
          <w:rFonts w:ascii="Arial" w:hAnsi="Arial" w:cs="Arial"/>
          <w:color w:val="FFFFFF" w:themeColor="background1"/>
          <w:sz w:val="36"/>
          <w:szCs w:val="36"/>
        </w:rPr>
        <w:t>Lancashire Fire and Rescue Service</w:t>
      </w:r>
    </w:p>
    <w:p w14:paraId="3A508609" w14:textId="2B48667D" w:rsidR="009D1EF8" w:rsidRPr="00081937" w:rsidRDefault="009D1EF8" w:rsidP="00EE44EB">
      <w:pPr>
        <w:spacing w:after="0" w:line="360" w:lineRule="auto"/>
        <w:rPr>
          <w:rFonts w:ascii="Arial" w:hAnsi="Arial" w:cs="Arial"/>
          <w:color w:val="FFFFFF" w:themeColor="background1"/>
          <w:sz w:val="36"/>
          <w:szCs w:val="36"/>
        </w:rPr>
      </w:pPr>
      <w:r w:rsidRPr="00081937">
        <w:rPr>
          <w:rFonts w:ascii="Arial" w:hAnsi="Arial" w:cs="Arial"/>
          <w:color w:val="FFFFFF" w:themeColor="background1"/>
          <w:sz w:val="36"/>
          <w:szCs w:val="36"/>
        </w:rPr>
        <w:t>Risk Based Inspection Programme</w:t>
      </w:r>
    </w:p>
    <w:p w14:paraId="196B7645" w14:textId="45534D60" w:rsidR="009D1EF8" w:rsidRDefault="009D1EF8" w:rsidP="00EE44EB">
      <w:pPr>
        <w:spacing w:after="0" w:line="360" w:lineRule="auto"/>
        <w:rPr>
          <w:rFonts w:ascii="Arial" w:hAnsi="Arial" w:cs="Arial"/>
        </w:rPr>
      </w:pPr>
    </w:p>
    <w:p w14:paraId="27CC3797" w14:textId="607D5BEB" w:rsidR="00081937" w:rsidRDefault="00081937" w:rsidP="00EE44EB">
      <w:pPr>
        <w:spacing w:after="0" w:line="360" w:lineRule="auto"/>
        <w:rPr>
          <w:rFonts w:ascii="Arial" w:hAnsi="Arial" w:cs="Arial"/>
        </w:rPr>
      </w:pPr>
    </w:p>
    <w:p w14:paraId="443C2BD3" w14:textId="536A153E" w:rsidR="00081937" w:rsidRDefault="00081937" w:rsidP="00EE44EB">
      <w:pPr>
        <w:spacing w:after="0" w:line="360" w:lineRule="auto"/>
        <w:rPr>
          <w:rFonts w:ascii="Arial" w:hAnsi="Arial" w:cs="Arial"/>
        </w:rPr>
      </w:pPr>
    </w:p>
    <w:p w14:paraId="27BDD254" w14:textId="77777777" w:rsidR="00081937" w:rsidRPr="001B64DF" w:rsidRDefault="00081937" w:rsidP="00EE44EB">
      <w:pPr>
        <w:spacing w:after="0" w:line="360" w:lineRule="auto"/>
        <w:rPr>
          <w:rFonts w:ascii="Arial" w:hAnsi="Arial" w:cs="Arial"/>
        </w:rPr>
      </w:pPr>
    </w:p>
    <w:p w14:paraId="0212E5A5" w14:textId="2A00A72F" w:rsidR="009D1EF8" w:rsidRPr="001B64DF" w:rsidRDefault="009D1EF8" w:rsidP="00EE44EB">
      <w:pPr>
        <w:spacing w:after="0" w:line="360" w:lineRule="auto"/>
        <w:rPr>
          <w:rFonts w:ascii="Arial" w:hAnsi="Arial" w:cs="Arial"/>
        </w:rPr>
      </w:pPr>
      <w:r w:rsidRPr="001B64DF">
        <w:rPr>
          <w:rFonts w:ascii="Arial" w:hAnsi="Arial" w:cs="Arial"/>
        </w:rPr>
        <w:br w:type="page"/>
      </w:r>
    </w:p>
    <w:sdt>
      <w:sdtPr>
        <w:rPr>
          <w:rFonts w:ascii="Arial" w:eastAsiaTheme="minorHAnsi" w:hAnsi="Arial" w:cs="Arial"/>
          <w:color w:val="auto"/>
          <w:sz w:val="22"/>
          <w:szCs w:val="22"/>
          <w:lang w:val="en-GB"/>
        </w:rPr>
        <w:id w:val="-1128081753"/>
        <w:docPartObj>
          <w:docPartGallery w:val="Table of Contents"/>
          <w:docPartUnique/>
        </w:docPartObj>
      </w:sdtPr>
      <w:sdtEndPr>
        <w:rPr>
          <w:b/>
          <w:bCs/>
          <w:noProof/>
        </w:rPr>
      </w:sdtEndPr>
      <w:sdtContent>
        <w:p w14:paraId="4C73AAC6" w14:textId="689EE8CA" w:rsidR="001B64DF" w:rsidRPr="001B64DF" w:rsidRDefault="001B64DF" w:rsidP="00EE44EB">
          <w:pPr>
            <w:pStyle w:val="TOCHeading"/>
            <w:spacing w:before="0" w:line="360" w:lineRule="auto"/>
            <w:rPr>
              <w:rFonts w:ascii="Arial" w:hAnsi="Arial" w:cs="Arial"/>
            </w:rPr>
          </w:pPr>
          <w:r w:rsidRPr="001B64DF">
            <w:rPr>
              <w:rFonts w:ascii="Arial" w:hAnsi="Arial" w:cs="Arial"/>
            </w:rPr>
            <w:t>Contents</w:t>
          </w:r>
        </w:p>
        <w:p w14:paraId="5EEB8BDE" w14:textId="0FEA0B1A" w:rsidR="001B5BC1" w:rsidRPr="001B5BC1" w:rsidRDefault="001B64DF">
          <w:pPr>
            <w:pStyle w:val="TOC1"/>
            <w:rPr>
              <w:rFonts w:ascii="Arial" w:eastAsiaTheme="minorEastAsia" w:hAnsi="Arial" w:cs="Arial"/>
              <w:noProof/>
              <w:sz w:val="24"/>
              <w:szCs w:val="24"/>
              <w:lang w:eastAsia="en-GB"/>
            </w:rPr>
          </w:pPr>
          <w:r w:rsidRPr="001B5BC1">
            <w:rPr>
              <w:rFonts w:ascii="Arial" w:hAnsi="Arial" w:cs="Arial"/>
              <w:sz w:val="24"/>
              <w:szCs w:val="24"/>
            </w:rPr>
            <w:fldChar w:fldCharType="begin"/>
          </w:r>
          <w:r w:rsidRPr="001B5BC1">
            <w:rPr>
              <w:rFonts w:ascii="Arial" w:hAnsi="Arial" w:cs="Arial"/>
              <w:sz w:val="24"/>
              <w:szCs w:val="24"/>
            </w:rPr>
            <w:instrText xml:space="preserve"> TOC \o "1-3" \h \z \u </w:instrText>
          </w:r>
          <w:r w:rsidRPr="001B5BC1">
            <w:rPr>
              <w:rFonts w:ascii="Arial" w:hAnsi="Arial" w:cs="Arial"/>
              <w:sz w:val="24"/>
              <w:szCs w:val="24"/>
            </w:rPr>
            <w:fldChar w:fldCharType="separate"/>
          </w:r>
          <w:hyperlink w:anchor="_Toc85469280" w:history="1">
            <w:r w:rsidR="001B5BC1" w:rsidRPr="001B5BC1">
              <w:rPr>
                <w:rStyle w:val="Hyperlink"/>
                <w:rFonts w:ascii="Arial" w:hAnsi="Arial" w:cs="Arial"/>
                <w:noProof/>
                <w:sz w:val="24"/>
                <w:szCs w:val="24"/>
              </w:rPr>
              <w:t>Abbreviations and definitions</w:t>
            </w:r>
            <w:r w:rsidR="001B5BC1" w:rsidRPr="001B5BC1">
              <w:rPr>
                <w:rFonts w:ascii="Arial" w:hAnsi="Arial" w:cs="Arial"/>
                <w:noProof/>
                <w:webHidden/>
                <w:sz w:val="24"/>
                <w:szCs w:val="24"/>
              </w:rPr>
              <w:tab/>
            </w:r>
            <w:r w:rsidR="001B5BC1" w:rsidRPr="001B5BC1">
              <w:rPr>
                <w:rFonts w:ascii="Arial" w:hAnsi="Arial" w:cs="Arial"/>
                <w:noProof/>
                <w:webHidden/>
                <w:sz w:val="24"/>
                <w:szCs w:val="24"/>
              </w:rPr>
              <w:fldChar w:fldCharType="begin"/>
            </w:r>
            <w:r w:rsidR="001B5BC1" w:rsidRPr="001B5BC1">
              <w:rPr>
                <w:rFonts w:ascii="Arial" w:hAnsi="Arial" w:cs="Arial"/>
                <w:noProof/>
                <w:webHidden/>
                <w:sz w:val="24"/>
                <w:szCs w:val="24"/>
              </w:rPr>
              <w:instrText xml:space="preserve"> PAGEREF _Toc85469280 \h </w:instrText>
            </w:r>
            <w:r w:rsidR="001B5BC1" w:rsidRPr="001B5BC1">
              <w:rPr>
                <w:rFonts w:ascii="Arial" w:hAnsi="Arial" w:cs="Arial"/>
                <w:noProof/>
                <w:webHidden/>
                <w:sz w:val="24"/>
                <w:szCs w:val="24"/>
              </w:rPr>
            </w:r>
            <w:r w:rsidR="001B5BC1" w:rsidRPr="001B5BC1">
              <w:rPr>
                <w:rFonts w:ascii="Arial" w:hAnsi="Arial" w:cs="Arial"/>
                <w:noProof/>
                <w:webHidden/>
                <w:sz w:val="24"/>
                <w:szCs w:val="24"/>
              </w:rPr>
              <w:fldChar w:fldCharType="separate"/>
            </w:r>
            <w:r w:rsidR="001B5BC1" w:rsidRPr="001B5BC1">
              <w:rPr>
                <w:rFonts w:ascii="Arial" w:hAnsi="Arial" w:cs="Arial"/>
                <w:noProof/>
                <w:webHidden/>
                <w:sz w:val="24"/>
                <w:szCs w:val="24"/>
              </w:rPr>
              <w:t>3</w:t>
            </w:r>
            <w:r w:rsidR="001B5BC1" w:rsidRPr="001B5BC1">
              <w:rPr>
                <w:rFonts w:ascii="Arial" w:hAnsi="Arial" w:cs="Arial"/>
                <w:noProof/>
                <w:webHidden/>
                <w:sz w:val="24"/>
                <w:szCs w:val="24"/>
              </w:rPr>
              <w:fldChar w:fldCharType="end"/>
            </w:r>
          </w:hyperlink>
        </w:p>
        <w:p w14:paraId="0D61A057" w14:textId="3E8931C5" w:rsidR="001B5BC1" w:rsidRPr="001B5BC1" w:rsidRDefault="001B5BC1">
          <w:pPr>
            <w:pStyle w:val="TOC1"/>
            <w:rPr>
              <w:rFonts w:ascii="Arial" w:eastAsiaTheme="minorEastAsia" w:hAnsi="Arial" w:cs="Arial"/>
              <w:noProof/>
              <w:sz w:val="24"/>
              <w:szCs w:val="24"/>
              <w:lang w:eastAsia="en-GB"/>
            </w:rPr>
          </w:pPr>
          <w:hyperlink w:anchor="_Toc85469281" w:history="1">
            <w:r w:rsidRPr="001B5BC1">
              <w:rPr>
                <w:rStyle w:val="Hyperlink"/>
                <w:rFonts w:ascii="Arial" w:hAnsi="Arial" w:cs="Arial"/>
                <w:noProof/>
                <w:sz w:val="24"/>
                <w:szCs w:val="24"/>
              </w:rPr>
              <w:t>How we manage risk</w:t>
            </w:r>
            <w:r w:rsidRPr="001B5BC1">
              <w:rPr>
                <w:rFonts w:ascii="Arial" w:hAnsi="Arial" w:cs="Arial"/>
                <w:noProof/>
                <w:webHidden/>
                <w:sz w:val="24"/>
                <w:szCs w:val="24"/>
              </w:rPr>
              <w:tab/>
            </w:r>
            <w:r w:rsidRPr="001B5BC1">
              <w:rPr>
                <w:rFonts w:ascii="Arial" w:hAnsi="Arial" w:cs="Arial"/>
                <w:noProof/>
                <w:webHidden/>
                <w:sz w:val="24"/>
                <w:szCs w:val="24"/>
              </w:rPr>
              <w:fldChar w:fldCharType="begin"/>
            </w:r>
            <w:r w:rsidRPr="001B5BC1">
              <w:rPr>
                <w:rFonts w:ascii="Arial" w:hAnsi="Arial" w:cs="Arial"/>
                <w:noProof/>
                <w:webHidden/>
                <w:sz w:val="24"/>
                <w:szCs w:val="24"/>
              </w:rPr>
              <w:instrText xml:space="preserve"> PAGEREF _Toc85469281 \h </w:instrText>
            </w:r>
            <w:r w:rsidRPr="001B5BC1">
              <w:rPr>
                <w:rFonts w:ascii="Arial" w:hAnsi="Arial" w:cs="Arial"/>
                <w:noProof/>
                <w:webHidden/>
                <w:sz w:val="24"/>
                <w:szCs w:val="24"/>
              </w:rPr>
            </w:r>
            <w:r w:rsidRPr="001B5BC1">
              <w:rPr>
                <w:rFonts w:ascii="Arial" w:hAnsi="Arial" w:cs="Arial"/>
                <w:noProof/>
                <w:webHidden/>
                <w:sz w:val="24"/>
                <w:szCs w:val="24"/>
              </w:rPr>
              <w:fldChar w:fldCharType="separate"/>
            </w:r>
            <w:r w:rsidRPr="001B5BC1">
              <w:rPr>
                <w:rFonts w:ascii="Arial" w:hAnsi="Arial" w:cs="Arial"/>
                <w:noProof/>
                <w:webHidden/>
                <w:sz w:val="24"/>
                <w:szCs w:val="24"/>
              </w:rPr>
              <w:t>5</w:t>
            </w:r>
            <w:r w:rsidRPr="001B5BC1">
              <w:rPr>
                <w:rFonts w:ascii="Arial" w:hAnsi="Arial" w:cs="Arial"/>
                <w:noProof/>
                <w:webHidden/>
                <w:sz w:val="24"/>
                <w:szCs w:val="24"/>
              </w:rPr>
              <w:fldChar w:fldCharType="end"/>
            </w:r>
          </w:hyperlink>
        </w:p>
        <w:p w14:paraId="7550D12A" w14:textId="0635ED30" w:rsidR="001B5BC1" w:rsidRPr="001B5BC1" w:rsidRDefault="001B5BC1">
          <w:pPr>
            <w:pStyle w:val="TOC1"/>
            <w:rPr>
              <w:rFonts w:ascii="Arial" w:eastAsiaTheme="minorEastAsia" w:hAnsi="Arial" w:cs="Arial"/>
              <w:noProof/>
              <w:sz w:val="24"/>
              <w:szCs w:val="24"/>
              <w:lang w:eastAsia="en-GB"/>
            </w:rPr>
          </w:pPr>
          <w:hyperlink w:anchor="_Toc85469282" w:history="1">
            <w:r w:rsidRPr="001B5BC1">
              <w:rPr>
                <w:rStyle w:val="Hyperlink"/>
                <w:rFonts w:ascii="Arial" w:eastAsia="Times New Roman" w:hAnsi="Arial" w:cs="Arial"/>
                <w:noProof/>
                <w:sz w:val="24"/>
                <w:szCs w:val="24"/>
                <w:lang w:val="en" w:eastAsia="en-GB"/>
              </w:rPr>
              <w:t>Overview</w:t>
            </w:r>
            <w:r w:rsidRPr="001B5BC1">
              <w:rPr>
                <w:rFonts w:ascii="Arial" w:hAnsi="Arial" w:cs="Arial"/>
                <w:noProof/>
                <w:webHidden/>
                <w:sz w:val="24"/>
                <w:szCs w:val="24"/>
              </w:rPr>
              <w:tab/>
            </w:r>
            <w:r w:rsidRPr="001B5BC1">
              <w:rPr>
                <w:rFonts w:ascii="Arial" w:hAnsi="Arial" w:cs="Arial"/>
                <w:noProof/>
                <w:webHidden/>
                <w:sz w:val="24"/>
                <w:szCs w:val="24"/>
              </w:rPr>
              <w:fldChar w:fldCharType="begin"/>
            </w:r>
            <w:r w:rsidRPr="001B5BC1">
              <w:rPr>
                <w:rFonts w:ascii="Arial" w:hAnsi="Arial" w:cs="Arial"/>
                <w:noProof/>
                <w:webHidden/>
                <w:sz w:val="24"/>
                <w:szCs w:val="24"/>
              </w:rPr>
              <w:instrText xml:space="preserve"> PAGEREF _Toc85469282 \h </w:instrText>
            </w:r>
            <w:r w:rsidRPr="001B5BC1">
              <w:rPr>
                <w:rFonts w:ascii="Arial" w:hAnsi="Arial" w:cs="Arial"/>
                <w:noProof/>
                <w:webHidden/>
                <w:sz w:val="24"/>
                <w:szCs w:val="24"/>
              </w:rPr>
            </w:r>
            <w:r w:rsidRPr="001B5BC1">
              <w:rPr>
                <w:rFonts w:ascii="Arial" w:hAnsi="Arial" w:cs="Arial"/>
                <w:noProof/>
                <w:webHidden/>
                <w:sz w:val="24"/>
                <w:szCs w:val="24"/>
              </w:rPr>
              <w:fldChar w:fldCharType="separate"/>
            </w:r>
            <w:r w:rsidRPr="001B5BC1">
              <w:rPr>
                <w:rFonts w:ascii="Arial" w:hAnsi="Arial" w:cs="Arial"/>
                <w:noProof/>
                <w:webHidden/>
                <w:sz w:val="24"/>
                <w:szCs w:val="24"/>
              </w:rPr>
              <w:t>7</w:t>
            </w:r>
            <w:r w:rsidRPr="001B5BC1">
              <w:rPr>
                <w:rFonts w:ascii="Arial" w:hAnsi="Arial" w:cs="Arial"/>
                <w:noProof/>
                <w:webHidden/>
                <w:sz w:val="24"/>
                <w:szCs w:val="24"/>
              </w:rPr>
              <w:fldChar w:fldCharType="end"/>
            </w:r>
          </w:hyperlink>
        </w:p>
        <w:p w14:paraId="387534DD" w14:textId="645C4717" w:rsidR="001B5BC1" w:rsidRPr="001B5BC1" w:rsidRDefault="001B5BC1">
          <w:pPr>
            <w:pStyle w:val="TOC2"/>
            <w:tabs>
              <w:tab w:val="right" w:leader="dot" w:pos="9060"/>
            </w:tabs>
            <w:rPr>
              <w:rFonts w:ascii="Arial" w:eastAsiaTheme="minorEastAsia" w:hAnsi="Arial" w:cs="Arial"/>
              <w:noProof/>
              <w:sz w:val="24"/>
              <w:szCs w:val="24"/>
              <w:lang w:eastAsia="en-GB"/>
            </w:rPr>
          </w:pPr>
          <w:hyperlink w:anchor="_Toc85469283" w:history="1">
            <w:r w:rsidRPr="001B5BC1">
              <w:rPr>
                <w:rStyle w:val="Hyperlink"/>
                <w:rFonts w:ascii="Arial" w:eastAsia="Times New Roman" w:hAnsi="Arial" w:cs="Arial"/>
                <w:noProof/>
                <w:sz w:val="24"/>
                <w:szCs w:val="24"/>
                <w:lang w:eastAsia="en-GB"/>
              </w:rPr>
              <w:t>Datasets</w:t>
            </w:r>
            <w:r w:rsidRPr="001B5BC1">
              <w:rPr>
                <w:rFonts w:ascii="Arial" w:hAnsi="Arial" w:cs="Arial"/>
                <w:noProof/>
                <w:webHidden/>
                <w:sz w:val="24"/>
                <w:szCs w:val="24"/>
              </w:rPr>
              <w:tab/>
            </w:r>
            <w:r w:rsidRPr="001B5BC1">
              <w:rPr>
                <w:rFonts w:ascii="Arial" w:hAnsi="Arial" w:cs="Arial"/>
                <w:noProof/>
                <w:webHidden/>
                <w:sz w:val="24"/>
                <w:szCs w:val="24"/>
              </w:rPr>
              <w:fldChar w:fldCharType="begin"/>
            </w:r>
            <w:r w:rsidRPr="001B5BC1">
              <w:rPr>
                <w:rFonts w:ascii="Arial" w:hAnsi="Arial" w:cs="Arial"/>
                <w:noProof/>
                <w:webHidden/>
                <w:sz w:val="24"/>
                <w:szCs w:val="24"/>
              </w:rPr>
              <w:instrText xml:space="preserve"> PAGEREF _Toc85469283 \h </w:instrText>
            </w:r>
            <w:r w:rsidRPr="001B5BC1">
              <w:rPr>
                <w:rFonts w:ascii="Arial" w:hAnsi="Arial" w:cs="Arial"/>
                <w:noProof/>
                <w:webHidden/>
                <w:sz w:val="24"/>
                <w:szCs w:val="24"/>
              </w:rPr>
            </w:r>
            <w:r w:rsidRPr="001B5BC1">
              <w:rPr>
                <w:rFonts w:ascii="Arial" w:hAnsi="Arial" w:cs="Arial"/>
                <w:noProof/>
                <w:webHidden/>
                <w:sz w:val="24"/>
                <w:szCs w:val="24"/>
              </w:rPr>
              <w:fldChar w:fldCharType="separate"/>
            </w:r>
            <w:r w:rsidRPr="001B5BC1">
              <w:rPr>
                <w:rFonts w:ascii="Arial" w:hAnsi="Arial" w:cs="Arial"/>
                <w:noProof/>
                <w:webHidden/>
                <w:sz w:val="24"/>
                <w:szCs w:val="24"/>
              </w:rPr>
              <w:t>7</w:t>
            </w:r>
            <w:r w:rsidRPr="001B5BC1">
              <w:rPr>
                <w:rFonts w:ascii="Arial" w:hAnsi="Arial" w:cs="Arial"/>
                <w:noProof/>
                <w:webHidden/>
                <w:sz w:val="24"/>
                <w:szCs w:val="24"/>
              </w:rPr>
              <w:fldChar w:fldCharType="end"/>
            </w:r>
          </w:hyperlink>
        </w:p>
        <w:p w14:paraId="0379DED3" w14:textId="090DF750" w:rsidR="001B5BC1" w:rsidRPr="001B5BC1" w:rsidRDefault="001B5BC1">
          <w:pPr>
            <w:pStyle w:val="TOC1"/>
            <w:rPr>
              <w:rFonts w:ascii="Arial" w:eastAsiaTheme="minorEastAsia" w:hAnsi="Arial" w:cs="Arial"/>
              <w:noProof/>
              <w:sz w:val="24"/>
              <w:szCs w:val="24"/>
              <w:lang w:eastAsia="en-GB"/>
            </w:rPr>
          </w:pPr>
          <w:hyperlink w:anchor="_Toc85469284" w:history="1">
            <w:r w:rsidRPr="001B5BC1">
              <w:rPr>
                <w:rStyle w:val="Hyperlink"/>
                <w:rFonts w:ascii="Arial" w:eastAsia="Times New Roman" w:hAnsi="Arial" w:cs="Arial"/>
                <w:noProof/>
                <w:sz w:val="24"/>
                <w:szCs w:val="24"/>
                <w:lang w:val="en" w:eastAsia="en-GB"/>
              </w:rPr>
              <w:t>Calculating the overall risk score</w:t>
            </w:r>
            <w:r w:rsidRPr="001B5BC1">
              <w:rPr>
                <w:rFonts w:ascii="Arial" w:hAnsi="Arial" w:cs="Arial"/>
                <w:noProof/>
                <w:webHidden/>
                <w:sz w:val="24"/>
                <w:szCs w:val="24"/>
              </w:rPr>
              <w:tab/>
            </w:r>
            <w:r w:rsidRPr="001B5BC1">
              <w:rPr>
                <w:rFonts w:ascii="Arial" w:hAnsi="Arial" w:cs="Arial"/>
                <w:noProof/>
                <w:webHidden/>
                <w:sz w:val="24"/>
                <w:szCs w:val="24"/>
              </w:rPr>
              <w:fldChar w:fldCharType="begin"/>
            </w:r>
            <w:r w:rsidRPr="001B5BC1">
              <w:rPr>
                <w:rFonts w:ascii="Arial" w:hAnsi="Arial" w:cs="Arial"/>
                <w:noProof/>
                <w:webHidden/>
                <w:sz w:val="24"/>
                <w:szCs w:val="24"/>
              </w:rPr>
              <w:instrText xml:space="preserve"> PAGEREF _Toc85469284 \h </w:instrText>
            </w:r>
            <w:r w:rsidRPr="001B5BC1">
              <w:rPr>
                <w:rFonts w:ascii="Arial" w:hAnsi="Arial" w:cs="Arial"/>
                <w:noProof/>
                <w:webHidden/>
                <w:sz w:val="24"/>
                <w:szCs w:val="24"/>
              </w:rPr>
            </w:r>
            <w:r w:rsidRPr="001B5BC1">
              <w:rPr>
                <w:rFonts w:ascii="Arial" w:hAnsi="Arial" w:cs="Arial"/>
                <w:noProof/>
                <w:webHidden/>
                <w:sz w:val="24"/>
                <w:szCs w:val="24"/>
              </w:rPr>
              <w:fldChar w:fldCharType="separate"/>
            </w:r>
            <w:r w:rsidRPr="001B5BC1">
              <w:rPr>
                <w:rFonts w:ascii="Arial" w:hAnsi="Arial" w:cs="Arial"/>
                <w:noProof/>
                <w:webHidden/>
                <w:sz w:val="24"/>
                <w:szCs w:val="24"/>
              </w:rPr>
              <w:t>8</w:t>
            </w:r>
            <w:r w:rsidRPr="001B5BC1">
              <w:rPr>
                <w:rFonts w:ascii="Arial" w:hAnsi="Arial" w:cs="Arial"/>
                <w:noProof/>
                <w:webHidden/>
                <w:sz w:val="24"/>
                <w:szCs w:val="24"/>
              </w:rPr>
              <w:fldChar w:fldCharType="end"/>
            </w:r>
          </w:hyperlink>
        </w:p>
        <w:p w14:paraId="756604A3" w14:textId="7C0AA5FC" w:rsidR="001B5BC1" w:rsidRPr="001B5BC1" w:rsidRDefault="001B5BC1">
          <w:pPr>
            <w:pStyle w:val="TOC2"/>
            <w:tabs>
              <w:tab w:val="right" w:leader="dot" w:pos="9060"/>
            </w:tabs>
            <w:rPr>
              <w:rFonts w:ascii="Arial" w:eastAsiaTheme="minorEastAsia" w:hAnsi="Arial" w:cs="Arial"/>
              <w:noProof/>
              <w:sz w:val="24"/>
              <w:szCs w:val="24"/>
              <w:lang w:eastAsia="en-GB"/>
            </w:rPr>
          </w:pPr>
          <w:hyperlink w:anchor="_Toc85469285" w:history="1">
            <w:r w:rsidRPr="001B5BC1">
              <w:rPr>
                <w:rStyle w:val="Hyperlink"/>
                <w:rFonts w:ascii="Arial" w:eastAsia="Times New Roman" w:hAnsi="Arial" w:cs="Arial"/>
                <w:noProof/>
                <w:sz w:val="24"/>
                <w:szCs w:val="24"/>
                <w:lang w:eastAsia="en-GB"/>
              </w:rPr>
              <w:t>Selection of Premises</w:t>
            </w:r>
            <w:r w:rsidRPr="001B5BC1">
              <w:rPr>
                <w:rFonts w:ascii="Arial" w:hAnsi="Arial" w:cs="Arial"/>
                <w:noProof/>
                <w:webHidden/>
                <w:sz w:val="24"/>
                <w:szCs w:val="24"/>
              </w:rPr>
              <w:tab/>
            </w:r>
            <w:r w:rsidRPr="001B5BC1">
              <w:rPr>
                <w:rFonts w:ascii="Arial" w:hAnsi="Arial" w:cs="Arial"/>
                <w:noProof/>
                <w:webHidden/>
                <w:sz w:val="24"/>
                <w:szCs w:val="24"/>
              </w:rPr>
              <w:fldChar w:fldCharType="begin"/>
            </w:r>
            <w:r w:rsidRPr="001B5BC1">
              <w:rPr>
                <w:rFonts w:ascii="Arial" w:hAnsi="Arial" w:cs="Arial"/>
                <w:noProof/>
                <w:webHidden/>
                <w:sz w:val="24"/>
                <w:szCs w:val="24"/>
              </w:rPr>
              <w:instrText xml:space="preserve"> PAGEREF _Toc85469285 \h </w:instrText>
            </w:r>
            <w:r w:rsidRPr="001B5BC1">
              <w:rPr>
                <w:rFonts w:ascii="Arial" w:hAnsi="Arial" w:cs="Arial"/>
                <w:noProof/>
                <w:webHidden/>
                <w:sz w:val="24"/>
                <w:szCs w:val="24"/>
              </w:rPr>
            </w:r>
            <w:r w:rsidRPr="001B5BC1">
              <w:rPr>
                <w:rFonts w:ascii="Arial" w:hAnsi="Arial" w:cs="Arial"/>
                <w:noProof/>
                <w:webHidden/>
                <w:sz w:val="24"/>
                <w:szCs w:val="24"/>
              </w:rPr>
              <w:fldChar w:fldCharType="separate"/>
            </w:r>
            <w:r w:rsidRPr="001B5BC1">
              <w:rPr>
                <w:rFonts w:ascii="Arial" w:hAnsi="Arial" w:cs="Arial"/>
                <w:noProof/>
                <w:webHidden/>
                <w:sz w:val="24"/>
                <w:szCs w:val="24"/>
              </w:rPr>
              <w:t>9</w:t>
            </w:r>
            <w:r w:rsidRPr="001B5BC1">
              <w:rPr>
                <w:rFonts w:ascii="Arial" w:hAnsi="Arial" w:cs="Arial"/>
                <w:noProof/>
                <w:webHidden/>
                <w:sz w:val="24"/>
                <w:szCs w:val="24"/>
              </w:rPr>
              <w:fldChar w:fldCharType="end"/>
            </w:r>
          </w:hyperlink>
        </w:p>
        <w:p w14:paraId="65CCE610" w14:textId="28B3941F" w:rsidR="001B5BC1" w:rsidRPr="001B5BC1" w:rsidRDefault="001B5BC1">
          <w:pPr>
            <w:pStyle w:val="TOC1"/>
            <w:rPr>
              <w:rFonts w:ascii="Arial" w:eastAsiaTheme="minorEastAsia" w:hAnsi="Arial" w:cs="Arial"/>
              <w:noProof/>
              <w:sz w:val="24"/>
              <w:szCs w:val="24"/>
              <w:lang w:eastAsia="en-GB"/>
            </w:rPr>
          </w:pPr>
          <w:hyperlink w:anchor="_Toc85469286" w:history="1">
            <w:r w:rsidRPr="001B5BC1">
              <w:rPr>
                <w:rStyle w:val="Hyperlink"/>
                <w:rFonts w:ascii="Arial" w:eastAsia="Times New Roman" w:hAnsi="Arial" w:cs="Arial"/>
                <w:noProof/>
                <w:sz w:val="24"/>
                <w:szCs w:val="24"/>
                <w:lang w:val="en" w:eastAsia="en-GB"/>
              </w:rPr>
              <w:t>Appendix B – Categories of Harm</w:t>
            </w:r>
            <w:r w:rsidRPr="001B5BC1">
              <w:rPr>
                <w:rFonts w:ascii="Arial" w:hAnsi="Arial" w:cs="Arial"/>
                <w:noProof/>
                <w:webHidden/>
                <w:sz w:val="24"/>
                <w:szCs w:val="24"/>
              </w:rPr>
              <w:tab/>
            </w:r>
            <w:r w:rsidRPr="001B5BC1">
              <w:rPr>
                <w:rFonts w:ascii="Arial" w:hAnsi="Arial" w:cs="Arial"/>
                <w:noProof/>
                <w:webHidden/>
                <w:sz w:val="24"/>
                <w:szCs w:val="24"/>
              </w:rPr>
              <w:fldChar w:fldCharType="begin"/>
            </w:r>
            <w:r w:rsidRPr="001B5BC1">
              <w:rPr>
                <w:rFonts w:ascii="Arial" w:hAnsi="Arial" w:cs="Arial"/>
                <w:noProof/>
                <w:webHidden/>
                <w:sz w:val="24"/>
                <w:szCs w:val="24"/>
              </w:rPr>
              <w:instrText xml:space="preserve"> PAGEREF _Toc85469286 \h </w:instrText>
            </w:r>
            <w:r w:rsidRPr="001B5BC1">
              <w:rPr>
                <w:rFonts w:ascii="Arial" w:hAnsi="Arial" w:cs="Arial"/>
                <w:noProof/>
                <w:webHidden/>
                <w:sz w:val="24"/>
                <w:szCs w:val="24"/>
              </w:rPr>
            </w:r>
            <w:r w:rsidRPr="001B5BC1">
              <w:rPr>
                <w:rFonts w:ascii="Arial" w:hAnsi="Arial" w:cs="Arial"/>
                <w:noProof/>
                <w:webHidden/>
                <w:sz w:val="24"/>
                <w:szCs w:val="24"/>
              </w:rPr>
              <w:fldChar w:fldCharType="separate"/>
            </w:r>
            <w:r w:rsidRPr="001B5BC1">
              <w:rPr>
                <w:rFonts w:ascii="Arial" w:hAnsi="Arial" w:cs="Arial"/>
                <w:noProof/>
                <w:webHidden/>
                <w:sz w:val="24"/>
                <w:szCs w:val="24"/>
              </w:rPr>
              <w:t>11</w:t>
            </w:r>
            <w:r w:rsidRPr="001B5BC1">
              <w:rPr>
                <w:rFonts w:ascii="Arial" w:hAnsi="Arial" w:cs="Arial"/>
                <w:noProof/>
                <w:webHidden/>
                <w:sz w:val="24"/>
                <w:szCs w:val="24"/>
              </w:rPr>
              <w:fldChar w:fldCharType="end"/>
            </w:r>
          </w:hyperlink>
        </w:p>
        <w:p w14:paraId="00A2CF9B" w14:textId="24A9A427" w:rsidR="001B5BC1" w:rsidRPr="001B5BC1" w:rsidRDefault="001B5BC1">
          <w:pPr>
            <w:pStyle w:val="TOC1"/>
            <w:rPr>
              <w:rFonts w:ascii="Arial" w:eastAsiaTheme="minorEastAsia" w:hAnsi="Arial" w:cs="Arial"/>
              <w:noProof/>
              <w:sz w:val="24"/>
              <w:szCs w:val="24"/>
              <w:lang w:eastAsia="en-GB"/>
            </w:rPr>
          </w:pPr>
          <w:hyperlink w:anchor="_Toc85469287" w:history="1">
            <w:r w:rsidRPr="001B5BC1">
              <w:rPr>
                <w:rStyle w:val="Hyperlink"/>
                <w:rFonts w:ascii="Arial" w:eastAsia="Times New Roman" w:hAnsi="Arial" w:cs="Arial"/>
                <w:noProof/>
                <w:sz w:val="24"/>
                <w:szCs w:val="24"/>
                <w:lang w:val="en" w:eastAsia="en-GB"/>
              </w:rPr>
              <w:t>Appendix C – Additional Markers</w:t>
            </w:r>
            <w:r w:rsidRPr="001B5BC1">
              <w:rPr>
                <w:rFonts w:ascii="Arial" w:hAnsi="Arial" w:cs="Arial"/>
                <w:noProof/>
                <w:webHidden/>
                <w:sz w:val="24"/>
                <w:szCs w:val="24"/>
              </w:rPr>
              <w:tab/>
            </w:r>
            <w:r w:rsidRPr="001B5BC1">
              <w:rPr>
                <w:rFonts w:ascii="Arial" w:hAnsi="Arial" w:cs="Arial"/>
                <w:noProof/>
                <w:webHidden/>
                <w:sz w:val="24"/>
                <w:szCs w:val="24"/>
              </w:rPr>
              <w:fldChar w:fldCharType="begin"/>
            </w:r>
            <w:r w:rsidRPr="001B5BC1">
              <w:rPr>
                <w:rFonts w:ascii="Arial" w:hAnsi="Arial" w:cs="Arial"/>
                <w:noProof/>
                <w:webHidden/>
                <w:sz w:val="24"/>
                <w:szCs w:val="24"/>
              </w:rPr>
              <w:instrText xml:space="preserve"> PAGEREF _Toc85469287 \h </w:instrText>
            </w:r>
            <w:r w:rsidRPr="001B5BC1">
              <w:rPr>
                <w:rFonts w:ascii="Arial" w:hAnsi="Arial" w:cs="Arial"/>
                <w:noProof/>
                <w:webHidden/>
                <w:sz w:val="24"/>
                <w:szCs w:val="24"/>
              </w:rPr>
            </w:r>
            <w:r w:rsidRPr="001B5BC1">
              <w:rPr>
                <w:rFonts w:ascii="Arial" w:hAnsi="Arial" w:cs="Arial"/>
                <w:noProof/>
                <w:webHidden/>
                <w:sz w:val="24"/>
                <w:szCs w:val="24"/>
              </w:rPr>
              <w:fldChar w:fldCharType="separate"/>
            </w:r>
            <w:r w:rsidRPr="001B5BC1">
              <w:rPr>
                <w:rFonts w:ascii="Arial" w:hAnsi="Arial" w:cs="Arial"/>
                <w:noProof/>
                <w:webHidden/>
                <w:sz w:val="24"/>
                <w:szCs w:val="24"/>
              </w:rPr>
              <w:t>12</w:t>
            </w:r>
            <w:r w:rsidRPr="001B5BC1">
              <w:rPr>
                <w:rFonts w:ascii="Arial" w:hAnsi="Arial" w:cs="Arial"/>
                <w:noProof/>
                <w:webHidden/>
                <w:sz w:val="24"/>
                <w:szCs w:val="24"/>
              </w:rPr>
              <w:fldChar w:fldCharType="end"/>
            </w:r>
          </w:hyperlink>
        </w:p>
        <w:p w14:paraId="0C6B4779" w14:textId="01030DFB" w:rsidR="001B64DF" w:rsidRPr="001B64DF" w:rsidRDefault="001B64DF" w:rsidP="00EE44EB">
          <w:pPr>
            <w:spacing w:after="0" w:line="360" w:lineRule="auto"/>
            <w:rPr>
              <w:rFonts w:ascii="Arial" w:hAnsi="Arial" w:cs="Arial"/>
            </w:rPr>
          </w:pPr>
          <w:r w:rsidRPr="001B5BC1">
            <w:rPr>
              <w:rFonts w:ascii="Arial" w:hAnsi="Arial" w:cs="Arial"/>
              <w:b/>
              <w:bCs/>
              <w:noProof/>
              <w:sz w:val="24"/>
              <w:szCs w:val="24"/>
            </w:rPr>
            <w:fldChar w:fldCharType="end"/>
          </w:r>
        </w:p>
      </w:sdtContent>
    </w:sdt>
    <w:p w14:paraId="7A5C00B2" w14:textId="77777777" w:rsidR="0063608E" w:rsidRPr="001B64DF" w:rsidRDefault="0063608E" w:rsidP="00EE44EB">
      <w:pPr>
        <w:spacing w:after="0" w:line="360" w:lineRule="auto"/>
        <w:rPr>
          <w:rStyle w:val="normaltextrun"/>
          <w:rFonts w:ascii="Arial" w:eastAsia="Times New Roman" w:hAnsi="Arial" w:cs="Arial"/>
          <w:sz w:val="24"/>
          <w:szCs w:val="24"/>
          <w:lang w:eastAsia="en-GB"/>
        </w:rPr>
      </w:pPr>
      <w:r w:rsidRPr="001B64DF">
        <w:rPr>
          <w:rStyle w:val="normaltextrun"/>
          <w:rFonts w:ascii="Arial" w:hAnsi="Arial" w:cs="Arial"/>
        </w:rPr>
        <w:br w:type="page"/>
      </w:r>
    </w:p>
    <w:p w14:paraId="0D730817" w14:textId="5BC16D79" w:rsidR="001B66B3" w:rsidRPr="002D45FE" w:rsidRDefault="001B66B3" w:rsidP="00EE44EB">
      <w:pPr>
        <w:pStyle w:val="Heading1"/>
        <w:spacing w:before="0" w:line="360" w:lineRule="auto"/>
        <w:rPr>
          <w:rFonts w:ascii="Arial" w:hAnsi="Arial" w:cs="Arial"/>
        </w:rPr>
      </w:pPr>
      <w:bookmarkStart w:id="0" w:name="_Toc77267534"/>
      <w:bookmarkStart w:id="1" w:name="_Toc85469280"/>
      <w:r>
        <w:rPr>
          <w:rFonts w:ascii="Arial" w:hAnsi="Arial" w:cs="Arial"/>
        </w:rPr>
        <w:lastRenderedPageBreak/>
        <w:t>Abbreviations and definition</w:t>
      </w:r>
      <w:r w:rsidR="002D45FE">
        <w:rPr>
          <w:rFonts w:ascii="Arial" w:hAnsi="Arial" w:cs="Arial"/>
        </w:rPr>
        <w:t>s</w:t>
      </w:r>
      <w:bookmarkEnd w:id="1"/>
    </w:p>
    <w:tbl>
      <w:tblPr>
        <w:tblStyle w:val="TableGrid"/>
        <w:tblW w:w="9191" w:type="dxa"/>
        <w:tblLook w:val="04A0" w:firstRow="1" w:lastRow="0" w:firstColumn="1" w:lastColumn="0" w:noHBand="0" w:noVBand="1"/>
      </w:tblPr>
      <w:tblGrid>
        <w:gridCol w:w="2552"/>
        <w:gridCol w:w="6639"/>
      </w:tblGrid>
      <w:tr w:rsidR="001B66B3" w:rsidRPr="009D1EF8" w14:paraId="103333DE" w14:textId="77777777" w:rsidTr="007D35AC">
        <w:trPr>
          <w:cantSplit/>
        </w:trPr>
        <w:tc>
          <w:tcPr>
            <w:tcW w:w="2552" w:type="dxa"/>
          </w:tcPr>
          <w:p w14:paraId="5BC364EC" w14:textId="77777777" w:rsidR="001B66B3" w:rsidRPr="00203A3F" w:rsidRDefault="001B66B3" w:rsidP="00EE44EB">
            <w:pPr>
              <w:spacing w:line="360" w:lineRule="auto"/>
              <w:rPr>
                <w:rFonts w:eastAsia="Calibri" w:cs="Arial"/>
                <w:sz w:val="24"/>
                <w:szCs w:val="24"/>
              </w:rPr>
            </w:pPr>
            <w:proofErr w:type="spellStart"/>
            <w:r w:rsidRPr="00203A3F">
              <w:rPr>
                <w:rFonts w:eastAsia="Calibri" w:cs="Arial"/>
                <w:sz w:val="24"/>
                <w:szCs w:val="24"/>
              </w:rPr>
              <w:t>AddressBase</w:t>
            </w:r>
            <w:proofErr w:type="spellEnd"/>
          </w:p>
        </w:tc>
        <w:tc>
          <w:tcPr>
            <w:tcW w:w="6639" w:type="dxa"/>
          </w:tcPr>
          <w:p w14:paraId="7203A08D" w14:textId="77777777" w:rsidR="001B66B3" w:rsidRPr="00567535" w:rsidRDefault="001B66B3" w:rsidP="00EE44EB">
            <w:pPr>
              <w:spacing w:line="360" w:lineRule="auto"/>
              <w:rPr>
                <w:rFonts w:eastAsia="Calibri" w:cs="Arial"/>
                <w:sz w:val="24"/>
                <w:szCs w:val="24"/>
              </w:rPr>
            </w:pPr>
            <w:r w:rsidRPr="00203A3F">
              <w:rPr>
                <w:rFonts w:eastAsia="Calibri" w:cs="Arial"/>
                <w:sz w:val="24"/>
                <w:szCs w:val="24"/>
              </w:rPr>
              <w:t>The Ordnance Survey national gazetteer of all UK postal addresses.</w:t>
            </w:r>
          </w:p>
        </w:tc>
      </w:tr>
      <w:tr w:rsidR="001B66B3" w:rsidRPr="009D1EF8" w14:paraId="42B9C9CF" w14:textId="77777777" w:rsidTr="007D35AC">
        <w:trPr>
          <w:cantSplit/>
        </w:trPr>
        <w:tc>
          <w:tcPr>
            <w:tcW w:w="2552" w:type="dxa"/>
          </w:tcPr>
          <w:p w14:paraId="17597BD5"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Attribute</w:t>
            </w:r>
          </w:p>
        </w:tc>
        <w:tc>
          <w:tcPr>
            <w:tcW w:w="6639" w:type="dxa"/>
          </w:tcPr>
          <w:p w14:paraId="5EF045FC" w14:textId="77777777" w:rsidR="001B66B3" w:rsidRPr="00567535" w:rsidRDefault="001B66B3" w:rsidP="00EE44EB">
            <w:pPr>
              <w:spacing w:line="360" w:lineRule="auto"/>
              <w:rPr>
                <w:rFonts w:eastAsia="Calibri" w:cs="Arial"/>
                <w:sz w:val="24"/>
                <w:szCs w:val="24"/>
              </w:rPr>
            </w:pPr>
            <w:r w:rsidRPr="00203A3F">
              <w:rPr>
                <w:rFonts w:eastAsia="Calibri" w:cs="Arial"/>
                <w:sz w:val="24"/>
                <w:szCs w:val="24"/>
              </w:rPr>
              <w:t>A feature of a premises which has influence on the degree of harm that may be sustained in the event of fire.</w:t>
            </w:r>
          </w:p>
        </w:tc>
      </w:tr>
      <w:tr w:rsidR="001B66B3" w:rsidRPr="009D1EF8" w14:paraId="4ABEA5D2" w14:textId="77777777" w:rsidTr="007D35AC">
        <w:trPr>
          <w:cantSplit/>
        </w:trPr>
        <w:tc>
          <w:tcPr>
            <w:tcW w:w="2552" w:type="dxa"/>
          </w:tcPr>
          <w:p w14:paraId="6C7FEE4D"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(the) Authority</w:t>
            </w:r>
          </w:p>
        </w:tc>
        <w:tc>
          <w:tcPr>
            <w:tcW w:w="6639" w:type="dxa"/>
          </w:tcPr>
          <w:p w14:paraId="02E5F397" w14:textId="77777777" w:rsidR="001B66B3" w:rsidRPr="00567535" w:rsidRDefault="001B66B3" w:rsidP="00EE44EB">
            <w:pPr>
              <w:spacing w:line="360" w:lineRule="auto"/>
              <w:rPr>
                <w:rFonts w:eastAsia="Calibri" w:cs="Arial"/>
                <w:sz w:val="24"/>
                <w:szCs w:val="24"/>
              </w:rPr>
            </w:pPr>
            <w:r w:rsidRPr="00203A3F">
              <w:rPr>
                <w:rFonts w:eastAsia="Calibri" w:cs="Arial"/>
                <w:sz w:val="24"/>
                <w:szCs w:val="24"/>
              </w:rPr>
              <w:t>The public body, holding the functions of a Fire and Rescue Authority, with a statutory duty to enforce the provisions of the RR(FS)O. (Also, the Enforcing Authority).</w:t>
            </w:r>
          </w:p>
        </w:tc>
      </w:tr>
      <w:tr w:rsidR="001B66B3" w:rsidRPr="009D1EF8" w14:paraId="097E00F3" w14:textId="77777777" w:rsidTr="007D35AC">
        <w:trPr>
          <w:cantSplit/>
        </w:trPr>
        <w:tc>
          <w:tcPr>
            <w:tcW w:w="2552" w:type="dxa"/>
          </w:tcPr>
          <w:p w14:paraId="0EEC4B73"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CFRMIS</w:t>
            </w:r>
          </w:p>
        </w:tc>
        <w:tc>
          <w:tcPr>
            <w:tcW w:w="6639" w:type="dxa"/>
          </w:tcPr>
          <w:p w14:paraId="1A174350" w14:textId="7F75FF70" w:rsidR="001B66B3" w:rsidRPr="004563E5" w:rsidRDefault="001B66B3" w:rsidP="00EE44EB">
            <w:pPr>
              <w:spacing w:line="360" w:lineRule="auto"/>
              <w:rPr>
                <w:rFonts w:eastAsia="Calibri" w:cs="Arial"/>
                <w:sz w:val="24"/>
                <w:szCs w:val="24"/>
              </w:rPr>
            </w:pPr>
            <w:r w:rsidRPr="00203A3F">
              <w:rPr>
                <w:rFonts w:eastAsia="Calibri" w:cs="Arial"/>
                <w:sz w:val="24"/>
                <w:szCs w:val="24"/>
              </w:rPr>
              <w:t>Community Fire Risk Management Information System. A database that L</w:t>
            </w:r>
            <w:r w:rsidRPr="00567535">
              <w:rPr>
                <w:rFonts w:eastAsia="Calibri" w:cs="Arial"/>
                <w:sz w:val="24"/>
                <w:szCs w:val="24"/>
              </w:rPr>
              <w:t xml:space="preserve">ancashire Fire and Rescue </w:t>
            </w:r>
            <w:r w:rsidRPr="004563E5">
              <w:rPr>
                <w:rFonts w:eastAsia="Calibri" w:cs="Arial"/>
                <w:sz w:val="24"/>
                <w:szCs w:val="24"/>
              </w:rPr>
              <w:t>use to record work activity and information, including that which relates to Fire Safety.</w:t>
            </w:r>
          </w:p>
        </w:tc>
      </w:tr>
      <w:tr w:rsidR="001B66B3" w:rsidRPr="009D1EF8" w14:paraId="08099F75" w14:textId="77777777" w:rsidTr="007D35AC">
        <w:trPr>
          <w:cantSplit/>
        </w:trPr>
        <w:tc>
          <w:tcPr>
            <w:tcW w:w="2552" w:type="dxa"/>
          </w:tcPr>
          <w:p w14:paraId="41F7162F"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Dwelling</w:t>
            </w:r>
          </w:p>
        </w:tc>
        <w:tc>
          <w:tcPr>
            <w:tcW w:w="6639" w:type="dxa"/>
          </w:tcPr>
          <w:p w14:paraId="3F1AF3D9"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 xml:space="preserve">A domestic premises as defined in </w:t>
            </w:r>
            <w:hyperlink r:id="rId9" w:history="1">
              <w:r w:rsidRPr="007D35AC">
                <w:rPr>
                  <w:rFonts w:eastAsia="Calibri" w:cs="Arial"/>
                  <w:color w:val="4472C4" w:themeColor="accent1"/>
                  <w:sz w:val="24"/>
                  <w:szCs w:val="24"/>
                </w:rPr>
                <w:t>Article 2 of The Regulatory Reform (Fire Safety) Order 2005</w:t>
              </w:r>
            </w:hyperlink>
            <w:r w:rsidRPr="007D35AC">
              <w:rPr>
                <w:rFonts w:eastAsia="Calibri" w:cs="Arial"/>
                <w:color w:val="4472C4" w:themeColor="accent1"/>
                <w:sz w:val="24"/>
                <w:szCs w:val="24"/>
              </w:rPr>
              <w:t xml:space="preserve">. </w:t>
            </w:r>
          </w:p>
        </w:tc>
      </w:tr>
      <w:tr w:rsidR="001B66B3" w:rsidRPr="009D1EF8" w14:paraId="12D1D748" w14:textId="77777777" w:rsidTr="007D35AC">
        <w:trPr>
          <w:cantSplit/>
        </w:trPr>
        <w:tc>
          <w:tcPr>
            <w:tcW w:w="2552" w:type="dxa"/>
          </w:tcPr>
          <w:p w14:paraId="7436F3E3"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Fire Safety Inspection</w:t>
            </w:r>
          </w:p>
        </w:tc>
        <w:tc>
          <w:tcPr>
            <w:tcW w:w="6639" w:type="dxa"/>
          </w:tcPr>
          <w:p w14:paraId="7B3747FE" w14:textId="77777777" w:rsidR="001B66B3" w:rsidRPr="004563E5" w:rsidRDefault="001B66B3" w:rsidP="00EE44EB">
            <w:pPr>
              <w:spacing w:line="360" w:lineRule="auto"/>
              <w:rPr>
                <w:rFonts w:eastAsia="Calibri" w:cs="Arial"/>
                <w:sz w:val="24"/>
                <w:szCs w:val="24"/>
              </w:rPr>
            </w:pPr>
            <w:r w:rsidRPr="00567535">
              <w:rPr>
                <w:rFonts w:eastAsia="Calibri" w:cs="Arial"/>
                <w:sz w:val="24"/>
                <w:szCs w:val="24"/>
              </w:rPr>
              <w:t>An on-site engagement undertaken to support or check compliance or to capture data for the Protection Risk Model</w:t>
            </w:r>
          </w:p>
        </w:tc>
      </w:tr>
      <w:tr w:rsidR="001B66B3" w:rsidRPr="009D1EF8" w14:paraId="7AE0B384" w14:textId="77777777" w:rsidTr="007D35AC">
        <w:trPr>
          <w:cantSplit/>
        </w:trPr>
        <w:tc>
          <w:tcPr>
            <w:tcW w:w="2552" w:type="dxa"/>
          </w:tcPr>
          <w:p w14:paraId="173CB050" w14:textId="3E59E8DC" w:rsidR="001B66B3" w:rsidRPr="00203A3F" w:rsidRDefault="001B66B3" w:rsidP="00EE44EB">
            <w:pPr>
              <w:spacing w:line="360" w:lineRule="auto"/>
              <w:rPr>
                <w:rFonts w:eastAsia="Calibri" w:cs="Arial"/>
                <w:sz w:val="24"/>
                <w:szCs w:val="24"/>
              </w:rPr>
            </w:pPr>
            <w:r w:rsidRPr="00203A3F">
              <w:rPr>
                <w:rFonts w:eastAsia="Calibri" w:cs="Arial"/>
                <w:sz w:val="24"/>
                <w:szCs w:val="24"/>
              </w:rPr>
              <w:t xml:space="preserve">FSEC </w:t>
            </w:r>
            <w:r w:rsidR="00D9551D" w:rsidRPr="00203A3F">
              <w:rPr>
                <w:rFonts w:eastAsia="Calibri" w:cs="Arial"/>
                <w:sz w:val="24"/>
                <w:szCs w:val="24"/>
              </w:rPr>
              <w:t>(</w:t>
            </w:r>
            <w:r w:rsidRPr="00203A3F">
              <w:rPr>
                <w:rFonts w:eastAsia="Calibri" w:cs="Arial"/>
                <w:sz w:val="24"/>
                <w:szCs w:val="24"/>
              </w:rPr>
              <w:t>Categories</w:t>
            </w:r>
            <w:r w:rsidR="00D9551D" w:rsidRPr="00203A3F">
              <w:rPr>
                <w:rFonts w:eastAsia="Calibri" w:cs="Arial"/>
                <w:sz w:val="24"/>
                <w:szCs w:val="24"/>
              </w:rPr>
              <w:t>)</w:t>
            </w:r>
          </w:p>
        </w:tc>
        <w:tc>
          <w:tcPr>
            <w:tcW w:w="6639" w:type="dxa"/>
          </w:tcPr>
          <w:p w14:paraId="0E44A7A9" w14:textId="706D691F" w:rsidR="001B66B3" w:rsidRPr="004563E5" w:rsidRDefault="001B66B3" w:rsidP="00EE44EB">
            <w:pPr>
              <w:spacing w:line="360" w:lineRule="auto"/>
              <w:rPr>
                <w:rFonts w:eastAsia="Calibri" w:cs="Arial"/>
                <w:sz w:val="24"/>
                <w:szCs w:val="24"/>
              </w:rPr>
            </w:pPr>
            <w:r w:rsidRPr="00203A3F">
              <w:rPr>
                <w:rFonts w:eastAsia="Calibri" w:cs="Arial"/>
                <w:sz w:val="24"/>
                <w:szCs w:val="24"/>
              </w:rPr>
              <w:t xml:space="preserve">Fire Service Emergency Cover </w:t>
            </w:r>
            <w:r w:rsidRPr="00C76FF5">
              <w:rPr>
                <w:rFonts w:eastAsia="Calibri" w:cs="Arial"/>
                <w:sz w:val="24"/>
                <w:szCs w:val="24"/>
              </w:rPr>
              <w:t>is</w:t>
            </w:r>
            <w:r w:rsidR="00320DBE" w:rsidRPr="00C76FF5">
              <w:rPr>
                <w:rFonts w:eastAsia="Calibri" w:cs="Arial"/>
                <w:sz w:val="24"/>
                <w:szCs w:val="24"/>
              </w:rPr>
              <w:t xml:space="preserve"> a</w:t>
            </w:r>
            <w:r w:rsidR="00320DBE" w:rsidRPr="004563E5">
              <w:rPr>
                <w:sz w:val="24"/>
                <w:szCs w:val="24"/>
              </w:rPr>
              <w:t xml:space="preserve"> robust, third-party validated risk assessment and resource deployment tool </w:t>
            </w:r>
            <w:r w:rsidR="00320DBE" w:rsidRPr="00203A3F">
              <w:rPr>
                <w:sz w:val="24"/>
                <w:szCs w:val="24"/>
              </w:rPr>
              <w:t>which breaks</w:t>
            </w:r>
            <w:r w:rsidRPr="004563E5">
              <w:rPr>
                <w:rFonts w:eastAsia="Calibri" w:cs="Arial"/>
                <w:sz w:val="24"/>
                <w:szCs w:val="24"/>
              </w:rPr>
              <w:t xml:space="preserve"> </w:t>
            </w:r>
            <w:r w:rsidR="00081937" w:rsidRPr="004563E5">
              <w:rPr>
                <w:rFonts w:eastAsia="Calibri" w:cs="Arial"/>
                <w:sz w:val="24"/>
                <w:szCs w:val="24"/>
              </w:rPr>
              <w:t>down premises</w:t>
            </w:r>
            <w:r w:rsidR="00320DBE" w:rsidRPr="004563E5">
              <w:rPr>
                <w:rFonts w:eastAsia="Calibri" w:cs="Arial"/>
                <w:sz w:val="24"/>
                <w:szCs w:val="24"/>
              </w:rPr>
              <w:t xml:space="preserve"> into </w:t>
            </w:r>
            <w:r w:rsidRPr="004563E5">
              <w:rPr>
                <w:rFonts w:eastAsia="Calibri" w:cs="Arial"/>
                <w:sz w:val="24"/>
                <w:szCs w:val="24"/>
              </w:rPr>
              <w:t>Risk Groups and Supplementary Line numbers.</w:t>
            </w:r>
          </w:p>
        </w:tc>
      </w:tr>
      <w:tr w:rsidR="001B66B3" w:rsidRPr="009D1EF8" w14:paraId="1EE2D16B" w14:textId="77777777" w:rsidTr="007D35AC">
        <w:trPr>
          <w:cantSplit/>
        </w:trPr>
        <w:tc>
          <w:tcPr>
            <w:tcW w:w="2552" w:type="dxa"/>
          </w:tcPr>
          <w:p w14:paraId="1953C6D7"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Harm</w:t>
            </w:r>
          </w:p>
        </w:tc>
        <w:tc>
          <w:tcPr>
            <w:tcW w:w="6639" w:type="dxa"/>
          </w:tcPr>
          <w:p w14:paraId="3DFFF18F" w14:textId="77777777" w:rsidR="001B66B3" w:rsidRPr="004563E5" w:rsidRDefault="001B66B3" w:rsidP="00EE44EB">
            <w:pPr>
              <w:spacing w:line="360" w:lineRule="auto"/>
              <w:rPr>
                <w:rFonts w:eastAsia="Calibri" w:cs="Arial"/>
                <w:sz w:val="24"/>
                <w:szCs w:val="24"/>
              </w:rPr>
            </w:pPr>
            <w:r w:rsidRPr="00567535">
              <w:rPr>
                <w:rFonts w:eastAsia="Calibri" w:cs="Arial"/>
                <w:sz w:val="24"/>
                <w:szCs w:val="24"/>
              </w:rPr>
              <w:t>The adverse impact on one of six categories of value, namely Public Life, Emergency Responder, Economic, Environmental, Heritage and Social Community (each defined within the document).</w:t>
            </w:r>
          </w:p>
        </w:tc>
      </w:tr>
      <w:tr w:rsidR="001B66B3" w:rsidRPr="009D1EF8" w14:paraId="6CED1A6B" w14:textId="77777777" w:rsidTr="007D35AC">
        <w:trPr>
          <w:cantSplit/>
        </w:trPr>
        <w:tc>
          <w:tcPr>
            <w:tcW w:w="2552" w:type="dxa"/>
          </w:tcPr>
          <w:p w14:paraId="7E88C0DF"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Likelihood</w:t>
            </w:r>
          </w:p>
        </w:tc>
        <w:tc>
          <w:tcPr>
            <w:tcW w:w="6639" w:type="dxa"/>
          </w:tcPr>
          <w:p w14:paraId="5F5C2465" w14:textId="77777777" w:rsidR="001B66B3" w:rsidRPr="00567535" w:rsidRDefault="001B66B3" w:rsidP="00EE44EB">
            <w:pPr>
              <w:spacing w:line="360" w:lineRule="auto"/>
              <w:rPr>
                <w:rFonts w:eastAsia="Calibri" w:cs="Arial"/>
                <w:sz w:val="24"/>
                <w:szCs w:val="24"/>
              </w:rPr>
            </w:pPr>
            <w:r w:rsidRPr="00567535">
              <w:rPr>
                <w:rFonts w:eastAsia="Calibri" w:cs="Arial"/>
                <w:sz w:val="24"/>
                <w:szCs w:val="24"/>
              </w:rPr>
              <w:t>The relative probability that an event will occur based on historical data.</w:t>
            </w:r>
          </w:p>
        </w:tc>
      </w:tr>
      <w:tr w:rsidR="00567535" w:rsidRPr="009D1EF8" w14:paraId="2495A12C" w14:textId="77777777" w:rsidTr="007D35AC">
        <w:trPr>
          <w:cantSplit/>
        </w:trPr>
        <w:tc>
          <w:tcPr>
            <w:tcW w:w="2552" w:type="dxa"/>
          </w:tcPr>
          <w:p w14:paraId="22070A6D" w14:textId="5F2EA2C2" w:rsidR="00567535" w:rsidRPr="00203A3F" w:rsidRDefault="00567535" w:rsidP="00EE44EB">
            <w:pPr>
              <w:spacing w:line="360" w:lineRule="auto"/>
              <w:rPr>
                <w:rFonts w:eastAsia="Calibri" w:cs="Arial"/>
                <w:sz w:val="24"/>
                <w:szCs w:val="24"/>
              </w:rPr>
            </w:pPr>
            <w:r>
              <w:rPr>
                <w:rFonts w:eastAsia="Calibri" w:cs="Arial"/>
                <w:sz w:val="24"/>
                <w:szCs w:val="24"/>
              </w:rPr>
              <w:t>Lower Layer Super Output Area (</w:t>
            </w:r>
            <w:proofErr w:type="spellStart"/>
            <w:r>
              <w:rPr>
                <w:rFonts w:eastAsia="Calibri" w:cs="Arial"/>
                <w:sz w:val="24"/>
                <w:szCs w:val="24"/>
              </w:rPr>
              <w:t>LSOA</w:t>
            </w:r>
            <w:proofErr w:type="spellEnd"/>
            <w:r>
              <w:rPr>
                <w:rFonts w:eastAsia="Calibri" w:cs="Arial"/>
                <w:sz w:val="24"/>
                <w:szCs w:val="24"/>
              </w:rPr>
              <w:t>)</w:t>
            </w:r>
          </w:p>
        </w:tc>
        <w:tc>
          <w:tcPr>
            <w:tcW w:w="6639" w:type="dxa"/>
          </w:tcPr>
          <w:p w14:paraId="0327AFF3" w14:textId="70D4BEF5" w:rsidR="00567535" w:rsidRPr="007D35AC" w:rsidRDefault="00567535" w:rsidP="00EE44EB">
            <w:pPr>
              <w:spacing w:line="360" w:lineRule="auto"/>
              <w:rPr>
                <w:rFonts w:eastAsia="Calibri" w:cs="Arial"/>
                <w:color w:val="000000" w:themeColor="text1"/>
                <w:sz w:val="24"/>
                <w:szCs w:val="24"/>
              </w:rPr>
            </w:pPr>
            <w:proofErr w:type="spellStart"/>
            <w:r w:rsidRPr="007D35AC">
              <w:rPr>
                <w:rFonts w:cs="Arial"/>
                <w:color w:val="000000" w:themeColor="text1"/>
                <w:sz w:val="24"/>
                <w:szCs w:val="24"/>
                <w:shd w:val="clear" w:color="auto" w:fill="FFFFFF"/>
              </w:rPr>
              <w:t>LSOA</w:t>
            </w:r>
            <w:proofErr w:type="spellEnd"/>
            <w:r w:rsidRPr="007D35AC">
              <w:rPr>
                <w:rFonts w:cs="Arial"/>
                <w:color w:val="000000" w:themeColor="text1"/>
                <w:sz w:val="24"/>
                <w:szCs w:val="24"/>
                <w:shd w:val="clear" w:color="auto" w:fill="FFFFFF"/>
              </w:rPr>
              <w:t xml:space="preserve"> are a geographic hierarchy designed to improve the reporting of small area statistics in England and Wales</w:t>
            </w:r>
            <w:r w:rsidRPr="007D35AC">
              <w:rPr>
                <w:rFonts w:ascii="Helvetica" w:hAnsi="Helvetica"/>
                <w:color w:val="000000" w:themeColor="text1"/>
                <w:sz w:val="36"/>
                <w:szCs w:val="36"/>
                <w:shd w:val="clear" w:color="auto" w:fill="FFFFFF"/>
              </w:rPr>
              <w:t xml:space="preserve">. </w:t>
            </w:r>
            <w:r w:rsidRPr="007D35AC">
              <w:rPr>
                <w:color w:val="000000" w:themeColor="text1"/>
                <w:sz w:val="24"/>
                <w:szCs w:val="24"/>
                <w:shd w:val="clear" w:color="auto" w:fill="FFFFFF"/>
              </w:rPr>
              <w:t xml:space="preserve">A lot more data is available directly at </w:t>
            </w:r>
            <w:proofErr w:type="spellStart"/>
            <w:r w:rsidRPr="007D35AC">
              <w:rPr>
                <w:color w:val="000000" w:themeColor="text1"/>
                <w:sz w:val="24"/>
                <w:szCs w:val="24"/>
                <w:shd w:val="clear" w:color="auto" w:fill="FFFFFF"/>
              </w:rPr>
              <w:t>LSOA</w:t>
            </w:r>
            <w:proofErr w:type="spellEnd"/>
            <w:r w:rsidRPr="007D35AC">
              <w:rPr>
                <w:color w:val="000000" w:themeColor="text1"/>
                <w:sz w:val="24"/>
                <w:szCs w:val="24"/>
                <w:shd w:val="clear" w:color="auto" w:fill="FFFFFF"/>
              </w:rPr>
              <w:t xml:space="preserve"> level as </w:t>
            </w:r>
            <w:proofErr w:type="spellStart"/>
            <w:r w:rsidRPr="007D35AC">
              <w:rPr>
                <w:color w:val="000000" w:themeColor="text1"/>
                <w:sz w:val="24"/>
                <w:szCs w:val="24"/>
                <w:shd w:val="clear" w:color="auto" w:fill="FFFFFF"/>
              </w:rPr>
              <w:t>LSOA</w:t>
            </w:r>
            <w:proofErr w:type="spellEnd"/>
            <w:r w:rsidRPr="007D35AC">
              <w:rPr>
                <w:color w:val="000000" w:themeColor="text1"/>
                <w:sz w:val="24"/>
                <w:szCs w:val="24"/>
                <w:shd w:val="clear" w:color="auto" w:fill="FFFFFF"/>
              </w:rPr>
              <w:t xml:space="preserve"> have an average population of 1500 people or 650 households. </w:t>
            </w:r>
          </w:p>
        </w:tc>
      </w:tr>
      <w:tr w:rsidR="00203A3F" w:rsidRPr="009D1EF8" w14:paraId="22607313" w14:textId="77777777" w:rsidTr="007D35AC">
        <w:trPr>
          <w:cantSplit/>
        </w:trPr>
        <w:tc>
          <w:tcPr>
            <w:tcW w:w="2552" w:type="dxa"/>
          </w:tcPr>
          <w:p w14:paraId="02B174E5" w14:textId="3014CADB" w:rsidR="00203A3F" w:rsidRPr="00203A3F" w:rsidRDefault="00203A3F" w:rsidP="00EE44EB">
            <w:pPr>
              <w:spacing w:line="360" w:lineRule="auto"/>
              <w:rPr>
                <w:rFonts w:eastAsia="Calibri" w:cs="Arial"/>
                <w:sz w:val="24"/>
                <w:szCs w:val="24"/>
              </w:rPr>
            </w:pPr>
            <w:r>
              <w:rPr>
                <w:rFonts w:eastAsia="Calibri" w:cs="Arial"/>
                <w:sz w:val="24"/>
                <w:szCs w:val="24"/>
              </w:rPr>
              <w:lastRenderedPageBreak/>
              <w:t>Mott MacDonald</w:t>
            </w:r>
          </w:p>
        </w:tc>
        <w:tc>
          <w:tcPr>
            <w:tcW w:w="6639" w:type="dxa"/>
          </w:tcPr>
          <w:p w14:paraId="6CDE2C90" w14:textId="3313030F" w:rsidR="00203A3F" w:rsidRPr="00203A3F" w:rsidRDefault="00203A3F" w:rsidP="00EE44EB">
            <w:pPr>
              <w:spacing w:line="360" w:lineRule="auto"/>
              <w:rPr>
                <w:rFonts w:eastAsia="Calibri" w:cs="Arial"/>
                <w:sz w:val="24"/>
                <w:szCs w:val="24"/>
              </w:rPr>
            </w:pPr>
            <w:r>
              <w:rPr>
                <w:rFonts w:eastAsia="Calibri" w:cs="Arial"/>
                <w:sz w:val="24"/>
                <w:szCs w:val="24"/>
              </w:rPr>
              <w:t xml:space="preserve">Refers to </w:t>
            </w:r>
            <w:r w:rsidRPr="009D1EF8">
              <w:rPr>
                <w:rFonts w:cs="Arial"/>
                <w:sz w:val="24"/>
                <w:szCs w:val="24"/>
              </w:rPr>
              <w:t>value</w:t>
            </w:r>
            <w:r>
              <w:rPr>
                <w:rFonts w:cs="Arial"/>
                <w:sz w:val="24"/>
                <w:szCs w:val="24"/>
              </w:rPr>
              <w:t>s given to premises to determine risk,</w:t>
            </w:r>
            <w:r w:rsidRPr="009D1EF8">
              <w:rPr>
                <w:rFonts w:cs="Arial"/>
                <w:sz w:val="24"/>
                <w:szCs w:val="24"/>
              </w:rPr>
              <w:t xml:space="preserve"> taken from </w:t>
            </w:r>
            <w:r>
              <w:rPr>
                <w:rFonts w:cs="Arial"/>
                <w:sz w:val="24"/>
                <w:szCs w:val="24"/>
              </w:rPr>
              <w:t xml:space="preserve">national incident data published in </w:t>
            </w:r>
            <w:hyperlink r:id="rId10" w:history="1">
              <w:r w:rsidRPr="007D35AC">
                <w:rPr>
                  <w:rStyle w:val="Hyperlink"/>
                  <w:rFonts w:cs="Arial"/>
                  <w:color w:val="4472C4" w:themeColor="accent1"/>
                  <w:sz w:val="24"/>
                  <w:szCs w:val="24"/>
                  <w:u w:val="none"/>
                </w:rPr>
                <w:t>‘Update of response time loss relationships for the Fire Service Emergency Cover toolkit’</w:t>
              </w:r>
            </w:hyperlink>
            <w:r>
              <w:rPr>
                <w:rFonts w:cs="Arial"/>
                <w:sz w:val="24"/>
                <w:szCs w:val="24"/>
              </w:rPr>
              <w:t xml:space="preserve"> (Department for Communities and Local Government, 2010) </w:t>
            </w:r>
          </w:p>
        </w:tc>
      </w:tr>
      <w:tr w:rsidR="001B66B3" w:rsidRPr="009D1EF8" w14:paraId="5F2FE8C3" w14:textId="77777777" w:rsidTr="007D35AC">
        <w:trPr>
          <w:cantSplit/>
        </w:trPr>
        <w:tc>
          <w:tcPr>
            <w:tcW w:w="2552" w:type="dxa"/>
          </w:tcPr>
          <w:p w14:paraId="5F1B7201"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Regulated</w:t>
            </w:r>
          </w:p>
        </w:tc>
        <w:tc>
          <w:tcPr>
            <w:tcW w:w="6639" w:type="dxa"/>
          </w:tcPr>
          <w:p w14:paraId="3AF18960" w14:textId="23D3370F" w:rsidR="001B66B3" w:rsidRPr="00A044E7" w:rsidRDefault="001B66B3" w:rsidP="00EE44EB">
            <w:pPr>
              <w:spacing w:line="360" w:lineRule="auto"/>
              <w:rPr>
                <w:rFonts w:eastAsia="Calibri" w:cs="Arial"/>
                <w:sz w:val="24"/>
                <w:szCs w:val="24"/>
              </w:rPr>
            </w:pPr>
            <w:r w:rsidRPr="00203A3F">
              <w:rPr>
                <w:rFonts w:cs="Arial"/>
                <w:sz w:val="24"/>
                <w:szCs w:val="24"/>
              </w:rPr>
              <w:t xml:space="preserve">A premises to which the </w:t>
            </w:r>
            <w:hyperlink r:id="rId11" w:history="1">
              <w:r w:rsidRPr="007D35AC">
                <w:rPr>
                  <w:rFonts w:cs="Arial"/>
                  <w:color w:val="4472C4" w:themeColor="accent1"/>
                  <w:sz w:val="24"/>
                  <w:szCs w:val="24"/>
                </w:rPr>
                <w:t>Regulatory Reform (Fire Safety) Order 2005</w:t>
              </w:r>
            </w:hyperlink>
            <w:r w:rsidRPr="00203A3F">
              <w:rPr>
                <w:rFonts w:cs="Arial"/>
                <w:sz w:val="24"/>
                <w:szCs w:val="24"/>
              </w:rPr>
              <w:t xml:space="preserve"> apply but not including, in this guidance, dwellings to a</w:t>
            </w:r>
            <w:r w:rsidRPr="00A044E7">
              <w:rPr>
                <w:rFonts w:cs="Arial"/>
                <w:sz w:val="24"/>
                <w:szCs w:val="24"/>
              </w:rPr>
              <w:t>ny extent.</w:t>
            </w:r>
          </w:p>
        </w:tc>
      </w:tr>
      <w:tr w:rsidR="00A044E7" w:rsidRPr="009D1EF8" w14:paraId="63593421" w14:textId="77777777" w:rsidTr="007D35AC">
        <w:trPr>
          <w:cantSplit/>
        </w:trPr>
        <w:tc>
          <w:tcPr>
            <w:tcW w:w="2552" w:type="dxa"/>
          </w:tcPr>
          <w:p w14:paraId="3EEE48B2" w14:textId="675F4099" w:rsidR="00A044E7" w:rsidRPr="00567535" w:rsidRDefault="00A044E7" w:rsidP="00EE44EB">
            <w:pPr>
              <w:spacing w:line="360" w:lineRule="auto"/>
              <w:rPr>
                <w:rFonts w:eastAsia="Calibri" w:cs="Arial"/>
                <w:sz w:val="24"/>
                <w:szCs w:val="24"/>
              </w:rPr>
            </w:pPr>
            <w:r w:rsidRPr="00A044E7">
              <w:rPr>
                <w:rFonts w:eastAsia="Calibri" w:cs="Arial"/>
                <w:sz w:val="24"/>
                <w:szCs w:val="24"/>
              </w:rPr>
              <w:t>Relevant Person</w:t>
            </w:r>
          </w:p>
        </w:tc>
        <w:tc>
          <w:tcPr>
            <w:tcW w:w="6639" w:type="dxa"/>
          </w:tcPr>
          <w:p w14:paraId="5667B35F" w14:textId="5CE86A65" w:rsidR="00A044E7" w:rsidRPr="00A044E7" w:rsidRDefault="001B5BC1" w:rsidP="00EE44EB">
            <w:pPr>
              <w:spacing w:line="360" w:lineRule="auto"/>
              <w:rPr>
                <w:rFonts w:cs="Arial"/>
                <w:sz w:val="24"/>
                <w:szCs w:val="24"/>
              </w:rPr>
            </w:pPr>
            <w:hyperlink r:id="rId12" w:history="1">
              <w:r w:rsidR="00567535" w:rsidRPr="004563E5">
                <w:rPr>
                  <w:rStyle w:val="Hyperlink"/>
                  <w:rFonts w:cs="Arial"/>
                  <w:sz w:val="24"/>
                  <w:szCs w:val="24"/>
                  <w:u w:val="none"/>
                  <w:shd w:val="clear" w:color="auto" w:fill="FFFFFF"/>
                </w:rPr>
                <w:t>The Regulatory Reform (Fire Safety) Order 2005</w:t>
              </w:r>
            </w:hyperlink>
            <w:r w:rsidR="00567535">
              <w:rPr>
                <w:rFonts w:cs="Arial"/>
                <w:color w:val="2D2D2D"/>
                <w:sz w:val="24"/>
                <w:szCs w:val="24"/>
                <w:shd w:val="clear" w:color="auto" w:fill="FFFFFF"/>
              </w:rPr>
              <w:t xml:space="preserve"> outlines a relevant person, however, i</w:t>
            </w:r>
            <w:r w:rsidR="00A044E7" w:rsidRPr="004563E5">
              <w:rPr>
                <w:rFonts w:cs="Arial"/>
                <w:color w:val="2D2D2D"/>
                <w:sz w:val="24"/>
                <w:szCs w:val="24"/>
                <w:shd w:val="clear" w:color="auto" w:fill="FFFFFF"/>
              </w:rPr>
              <w:t xml:space="preserve">n the simplest terms, the relevant person is anyone that could possibly </w:t>
            </w:r>
            <w:r w:rsidR="00A044E7" w:rsidRPr="00A044E7">
              <w:rPr>
                <w:rFonts w:cs="Arial"/>
                <w:color w:val="2D2D2D"/>
                <w:sz w:val="24"/>
                <w:szCs w:val="24"/>
                <w:shd w:val="clear" w:color="auto" w:fill="FFFFFF"/>
              </w:rPr>
              <w:t>affected</w:t>
            </w:r>
            <w:r w:rsidR="00A044E7" w:rsidRPr="004563E5">
              <w:rPr>
                <w:rFonts w:cs="Arial"/>
                <w:color w:val="2D2D2D"/>
                <w:sz w:val="24"/>
                <w:szCs w:val="24"/>
                <w:shd w:val="clear" w:color="auto" w:fill="FFFFFF"/>
              </w:rPr>
              <w:t xml:space="preserve"> by fire (or related) problems at the premises.</w:t>
            </w:r>
            <w:r w:rsidR="00567535">
              <w:rPr>
                <w:rFonts w:cs="Arial"/>
                <w:color w:val="2D2D2D"/>
                <w:sz w:val="24"/>
                <w:szCs w:val="24"/>
                <w:shd w:val="clear" w:color="auto" w:fill="FFFFFF"/>
              </w:rPr>
              <w:t xml:space="preserve"> </w:t>
            </w:r>
          </w:p>
        </w:tc>
      </w:tr>
      <w:tr w:rsidR="001B66B3" w:rsidRPr="009D1EF8" w14:paraId="6704E8A7" w14:textId="77777777" w:rsidTr="007D35AC">
        <w:trPr>
          <w:cantSplit/>
        </w:trPr>
        <w:tc>
          <w:tcPr>
            <w:tcW w:w="2552" w:type="dxa"/>
          </w:tcPr>
          <w:p w14:paraId="4C016638"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Risk</w:t>
            </w:r>
          </w:p>
        </w:tc>
        <w:tc>
          <w:tcPr>
            <w:tcW w:w="6639" w:type="dxa"/>
          </w:tcPr>
          <w:p w14:paraId="6CBB42F7" w14:textId="7ACC459B" w:rsidR="001B66B3" w:rsidRPr="004563E5" w:rsidRDefault="001B66B3" w:rsidP="00EE44EB">
            <w:pPr>
              <w:spacing w:line="360" w:lineRule="auto"/>
              <w:rPr>
                <w:rFonts w:eastAsia="Calibri" w:cs="Arial"/>
                <w:sz w:val="24"/>
                <w:szCs w:val="24"/>
              </w:rPr>
            </w:pPr>
            <w:r w:rsidRPr="00567535">
              <w:rPr>
                <w:rFonts w:eastAsia="Calibri" w:cs="Arial"/>
                <w:sz w:val="24"/>
                <w:szCs w:val="24"/>
              </w:rPr>
              <w:t xml:space="preserve">A combination of Severity and Likelihood; the likelihood that a fire will </w:t>
            </w:r>
            <w:r w:rsidR="009B5D68" w:rsidRPr="004563E5">
              <w:rPr>
                <w:rFonts w:eastAsia="Calibri" w:cs="Arial"/>
                <w:sz w:val="24"/>
                <w:szCs w:val="24"/>
              </w:rPr>
              <w:t>cause</w:t>
            </w:r>
            <w:r w:rsidRPr="004563E5">
              <w:rPr>
                <w:rFonts w:eastAsia="Calibri" w:cs="Arial"/>
                <w:sz w:val="24"/>
                <w:szCs w:val="24"/>
              </w:rPr>
              <w:t xml:space="preserve"> harm, together with a measure of the effect.</w:t>
            </w:r>
          </w:p>
        </w:tc>
      </w:tr>
      <w:tr w:rsidR="001B66B3" w:rsidRPr="009D1EF8" w14:paraId="05435994" w14:textId="77777777" w:rsidTr="007D35AC">
        <w:trPr>
          <w:cantSplit/>
        </w:trPr>
        <w:tc>
          <w:tcPr>
            <w:tcW w:w="2552" w:type="dxa"/>
          </w:tcPr>
          <w:p w14:paraId="425E304D" w14:textId="77777777" w:rsidR="001B66B3" w:rsidRPr="00567535" w:rsidRDefault="001B66B3" w:rsidP="00EE44EB">
            <w:pPr>
              <w:spacing w:line="360" w:lineRule="auto"/>
              <w:rPr>
                <w:rFonts w:eastAsia="Calibri" w:cs="Arial"/>
                <w:sz w:val="24"/>
                <w:szCs w:val="24"/>
              </w:rPr>
            </w:pPr>
            <w:r w:rsidRPr="00203A3F">
              <w:rPr>
                <w:rFonts w:eastAsia="Calibri" w:cs="Arial"/>
                <w:sz w:val="24"/>
                <w:szCs w:val="24"/>
              </w:rPr>
              <w:t>Risk Based Inspection Programme</w:t>
            </w:r>
          </w:p>
        </w:tc>
        <w:tc>
          <w:tcPr>
            <w:tcW w:w="6639" w:type="dxa"/>
          </w:tcPr>
          <w:p w14:paraId="326FC773" w14:textId="09973230" w:rsidR="001B66B3" w:rsidRPr="004563E5" w:rsidRDefault="001B66B3" w:rsidP="00EE44EB">
            <w:pPr>
              <w:spacing w:line="360" w:lineRule="auto"/>
              <w:rPr>
                <w:rFonts w:eastAsia="Calibri" w:cs="Arial"/>
                <w:sz w:val="24"/>
                <w:szCs w:val="24"/>
              </w:rPr>
            </w:pPr>
            <w:r w:rsidRPr="004563E5">
              <w:rPr>
                <w:rFonts w:eastAsia="Calibri" w:cs="Arial"/>
                <w:sz w:val="24"/>
                <w:szCs w:val="24"/>
              </w:rPr>
              <w:t>Pre-planned Fire Safety Inspections based upon the Protection risk profile which is refreshed at least every three years.</w:t>
            </w:r>
          </w:p>
        </w:tc>
      </w:tr>
      <w:tr w:rsidR="001B66B3" w:rsidRPr="009D1EF8" w14:paraId="682E1BA0" w14:textId="77777777" w:rsidTr="007D35AC">
        <w:trPr>
          <w:cantSplit/>
        </w:trPr>
        <w:tc>
          <w:tcPr>
            <w:tcW w:w="2552" w:type="dxa"/>
          </w:tcPr>
          <w:p w14:paraId="03D02B3B"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Risk Data Capture</w:t>
            </w:r>
          </w:p>
        </w:tc>
        <w:tc>
          <w:tcPr>
            <w:tcW w:w="6639" w:type="dxa"/>
          </w:tcPr>
          <w:p w14:paraId="64172D34" w14:textId="77777777" w:rsidR="001B66B3" w:rsidRPr="00C76FF5" w:rsidRDefault="001B66B3" w:rsidP="00EE44EB">
            <w:pPr>
              <w:spacing w:line="360" w:lineRule="auto"/>
              <w:rPr>
                <w:rFonts w:eastAsia="Calibri" w:cs="Arial"/>
                <w:sz w:val="24"/>
                <w:szCs w:val="24"/>
              </w:rPr>
            </w:pPr>
            <w:r w:rsidRPr="00203A3F">
              <w:rPr>
                <w:rFonts w:eastAsia="Calibri" w:cs="Arial"/>
                <w:sz w:val="24"/>
                <w:szCs w:val="24"/>
              </w:rPr>
              <w:t>An activity whereby information is collected and recorded and forming the foundation of risk profiling.</w:t>
            </w:r>
          </w:p>
        </w:tc>
      </w:tr>
      <w:tr w:rsidR="001B66B3" w:rsidRPr="009D1EF8" w14:paraId="565F4928" w14:textId="77777777" w:rsidTr="007D35AC">
        <w:trPr>
          <w:cantSplit/>
        </w:trPr>
        <w:tc>
          <w:tcPr>
            <w:tcW w:w="2552" w:type="dxa"/>
          </w:tcPr>
          <w:p w14:paraId="4BE6AD01"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Risk Profile</w:t>
            </w:r>
          </w:p>
        </w:tc>
        <w:tc>
          <w:tcPr>
            <w:tcW w:w="6639" w:type="dxa"/>
          </w:tcPr>
          <w:p w14:paraId="6B87DE12" w14:textId="77777777" w:rsidR="001B66B3" w:rsidRPr="004563E5" w:rsidRDefault="001B66B3" w:rsidP="00EE44EB">
            <w:pPr>
              <w:spacing w:line="360" w:lineRule="auto"/>
              <w:rPr>
                <w:rFonts w:eastAsia="Calibri" w:cs="Arial"/>
                <w:sz w:val="24"/>
                <w:szCs w:val="24"/>
              </w:rPr>
            </w:pPr>
            <w:r w:rsidRPr="00203A3F">
              <w:rPr>
                <w:rFonts w:eastAsia="Calibri" w:cs="Arial"/>
                <w:sz w:val="24"/>
                <w:szCs w:val="24"/>
              </w:rPr>
              <w:t xml:space="preserve">The value assigned to one or more premises record(s) allowing </w:t>
            </w:r>
            <w:r w:rsidRPr="00567535">
              <w:rPr>
                <w:rFonts w:eastAsia="Calibri" w:cs="Arial"/>
                <w:sz w:val="24"/>
                <w:szCs w:val="24"/>
              </w:rPr>
              <w:t>comparison between individual premises, types of premises or geographic locations.</w:t>
            </w:r>
          </w:p>
        </w:tc>
      </w:tr>
      <w:tr w:rsidR="001B66B3" w:rsidRPr="009D1EF8" w14:paraId="503DA707" w14:textId="77777777" w:rsidTr="007D35AC">
        <w:trPr>
          <w:cantSplit/>
          <w:trHeight w:val="563"/>
        </w:trPr>
        <w:tc>
          <w:tcPr>
            <w:tcW w:w="2552" w:type="dxa"/>
          </w:tcPr>
          <w:p w14:paraId="20865DAC"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(the) Service</w:t>
            </w:r>
          </w:p>
        </w:tc>
        <w:tc>
          <w:tcPr>
            <w:tcW w:w="6639" w:type="dxa"/>
          </w:tcPr>
          <w:p w14:paraId="5DC456AA"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Lancashire Fire and Rescue Service (LFRS).</w:t>
            </w:r>
          </w:p>
        </w:tc>
      </w:tr>
      <w:tr w:rsidR="001B66B3" w:rsidRPr="009D1EF8" w14:paraId="5D7D3594" w14:textId="77777777" w:rsidTr="007D35AC">
        <w:trPr>
          <w:cantSplit/>
        </w:trPr>
        <w:tc>
          <w:tcPr>
            <w:tcW w:w="2552" w:type="dxa"/>
          </w:tcPr>
          <w:p w14:paraId="683D8744" w14:textId="77777777" w:rsidR="001B66B3" w:rsidRPr="00203A3F" w:rsidRDefault="001B66B3" w:rsidP="00EE44EB">
            <w:pPr>
              <w:spacing w:line="360" w:lineRule="auto"/>
              <w:rPr>
                <w:rFonts w:eastAsia="Calibri" w:cs="Arial"/>
                <w:sz w:val="24"/>
                <w:szCs w:val="24"/>
              </w:rPr>
            </w:pPr>
            <w:r w:rsidRPr="00203A3F">
              <w:rPr>
                <w:rFonts w:eastAsia="Calibri" w:cs="Arial"/>
                <w:sz w:val="24"/>
                <w:szCs w:val="24"/>
              </w:rPr>
              <w:t>Severity</w:t>
            </w:r>
          </w:p>
        </w:tc>
        <w:tc>
          <w:tcPr>
            <w:tcW w:w="6639" w:type="dxa"/>
          </w:tcPr>
          <w:p w14:paraId="1B7B1FBC" w14:textId="77777777" w:rsidR="001B66B3" w:rsidRPr="004563E5" w:rsidRDefault="001B66B3" w:rsidP="00EE44EB">
            <w:pPr>
              <w:spacing w:line="360" w:lineRule="auto"/>
              <w:rPr>
                <w:rFonts w:eastAsia="Calibri" w:cs="Arial"/>
                <w:sz w:val="24"/>
                <w:szCs w:val="24"/>
              </w:rPr>
            </w:pPr>
            <w:r w:rsidRPr="00567535">
              <w:rPr>
                <w:rFonts w:eastAsia="Calibri" w:cs="Arial"/>
                <w:sz w:val="24"/>
                <w:szCs w:val="24"/>
              </w:rPr>
              <w:t xml:space="preserve">A value representing the potential maximum harm in the event of fire.  </w:t>
            </w:r>
          </w:p>
        </w:tc>
      </w:tr>
    </w:tbl>
    <w:p w14:paraId="1E07FC8E" w14:textId="463E273C" w:rsidR="007D35AC" w:rsidRDefault="007D35AC" w:rsidP="00EE44EB">
      <w:pPr>
        <w:spacing w:after="0" w:line="360" w:lineRule="auto"/>
      </w:pPr>
    </w:p>
    <w:p w14:paraId="597413DE" w14:textId="77777777" w:rsidR="007D35AC" w:rsidRDefault="007D35AC" w:rsidP="00EE44EB">
      <w:pPr>
        <w:spacing w:after="0" w:line="360" w:lineRule="auto"/>
      </w:pPr>
      <w:r>
        <w:br w:type="page"/>
      </w:r>
    </w:p>
    <w:p w14:paraId="233BE413" w14:textId="1E66E1CC" w:rsidR="0063608E" w:rsidRPr="001B64DF" w:rsidRDefault="00E34F53" w:rsidP="00EE44EB">
      <w:pPr>
        <w:pStyle w:val="Heading1"/>
        <w:spacing w:before="0" w:line="360" w:lineRule="auto"/>
        <w:rPr>
          <w:rFonts w:ascii="Arial" w:hAnsi="Arial" w:cs="Arial"/>
        </w:rPr>
      </w:pPr>
      <w:bookmarkStart w:id="2" w:name="_Toc85469281"/>
      <w:r w:rsidRPr="001B64DF">
        <w:rPr>
          <w:rFonts w:ascii="Arial" w:hAnsi="Arial" w:cs="Arial"/>
        </w:rPr>
        <w:lastRenderedPageBreak/>
        <w:t>H</w:t>
      </w:r>
      <w:r w:rsidR="0063608E" w:rsidRPr="001B64DF">
        <w:rPr>
          <w:rFonts w:ascii="Arial" w:hAnsi="Arial" w:cs="Arial"/>
        </w:rPr>
        <w:t>ow we manage risk</w:t>
      </w:r>
      <w:bookmarkEnd w:id="2"/>
    </w:p>
    <w:p w14:paraId="5F3F6575" w14:textId="77777777" w:rsidR="00E34F53" w:rsidRPr="001B64DF" w:rsidRDefault="00E34F53" w:rsidP="00EE44EB">
      <w:pPr>
        <w:pStyle w:val="paragraph"/>
        <w:spacing w:before="0" w:beforeAutospacing="0" w:after="0" w:afterAutospacing="0" w:line="360" w:lineRule="auto"/>
        <w:textAlignment w:val="baseline"/>
        <w:rPr>
          <w:rFonts w:ascii="Arial" w:hAnsi="Arial" w:cs="Arial"/>
          <w:sz w:val="18"/>
          <w:szCs w:val="18"/>
        </w:rPr>
      </w:pPr>
      <w:r w:rsidRPr="001B64DF">
        <w:rPr>
          <w:rStyle w:val="normaltextrun"/>
          <w:rFonts w:ascii="Arial" w:hAnsi="Arial" w:cs="Arial"/>
        </w:rPr>
        <w:t>To manage risk, and allocate inspection resources effectively, it is first necessary to define what constitutes risk. LFRS operates a Risk Based Inspection Program (RBIP) based on nationally recognised principles refined further at a local level using data and intelligence relevant to risk in Lancashire. </w:t>
      </w:r>
      <w:r w:rsidRPr="001B64DF">
        <w:rPr>
          <w:rStyle w:val="eop"/>
          <w:rFonts w:ascii="Arial" w:hAnsi="Arial" w:cs="Arial"/>
        </w:rPr>
        <w:t> </w:t>
      </w:r>
    </w:p>
    <w:p w14:paraId="1E24160B" w14:textId="77777777" w:rsidR="00E34F53" w:rsidRPr="001B64DF" w:rsidRDefault="00E34F53" w:rsidP="00EE44EB">
      <w:pPr>
        <w:pStyle w:val="paragraph"/>
        <w:spacing w:before="0" w:beforeAutospacing="0" w:after="0" w:afterAutospacing="0" w:line="360" w:lineRule="auto"/>
        <w:textAlignment w:val="baseline"/>
        <w:rPr>
          <w:rStyle w:val="normaltextrun"/>
          <w:rFonts w:ascii="Arial" w:hAnsi="Arial" w:cs="Arial"/>
        </w:rPr>
      </w:pPr>
    </w:p>
    <w:p w14:paraId="696E63FC" w14:textId="184A1818" w:rsidR="00E34F53" w:rsidRPr="001B64DF" w:rsidRDefault="00E34F53" w:rsidP="00EE44EB">
      <w:pPr>
        <w:pStyle w:val="paragraph"/>
        <w:spacing w:before="0" w:beforeAutospacing="0" w:after="0" w:afterAutospacing="0" w:line="360" w:lineRule="auto"/>
        <w:textAlignment w:val="baseline"/>
        <w:rPr>
          <w:rStyle w:val="eop"/>
          <w:rFonts w:ascii="Arial" w:hAnsi="Arial" w:cs="Arial"/>
        </w:rPr>
      </w:pPr>
      <w:r w:rsidRPr="001B64DF">
        <w:rPr>
          <w:rStyle w:val="normaltextrun"/>
          <w:rFonts w:ascii="Arial" w:hAnsi="Arial" w:cs="Arial"/>
        </w:rPr>
        <w:t>As Lancashire has over sixty thousand regulated premises it is not possible to audit them all. Indeed, attempting to do so would inevitably be ineffective as valuable resources would be allocated to very low risk premises that have minimal potential to cause harm, at the expense of very high-risk ones where occupants are at significant risk of harm if a fire occurs. The RBIP ensures the pre-planned use of Officer and Operational Crew time is focussed on the premises which have the greatest potential to cause harm </w:t>
      </w:r>
      <w:r w:rsidR="00081937">
        <w:rPr>
          <w:rStyle w:val="normaltextrun"/>
          <w:rFonts w:ascii="Arial" w:hAnsi="Arial" w:cs="Arial"/>
        </w:rPr>
        <w:t>‘</w:t>
      </w:r>
      <w:r w:rsidRPr="00081937">
        <w:rPr>
          <w:rStyle w:val="normaltextrun"/>
          <w:rFonts w:ascii="Arial" w:hAnsi="Arial" w:cs="Arial"/>
        </w:rPr>
        <w:t>if</w:t>
      </w:r>
      <w:r w:rsidR="00081937">
        <w:rPr>
          <w:rStyle w:val="normaltextrun"/>
          <w:rFonts w:ascii="Arial" w:hAnsi="Arial" w:cs="Arial"/>
        </w:rPr>
        <w:t>’</w:t>
      </w:r>
      <w:r w:rsidRPr="00081937">
        <w:rPr>
          <w:rStyle w:val="normaltextrun"/>
          <w:rFonts w:ascii="Arial" w:hAnsi="Arial" w:cs="Arial"/>
        </w:rPr>
        <w:t> </w:t>
      </w:r>
      <w:r w:rsidRPr="001B64DF">
        <w:rPr>
          <w:rStyle w:val="normaltextrun"/>
          <w:rFonts w:ascii="Arial" w:hAnsi="Arial" w:cs="Arial"/>
        </w:rPr>
        <w:t>risk is not being managed effectively by premises management. Taking this approach enables us to continually suppress risk in the built environment and ensure that potential to cause harm is sustained at levels which are as low as reasonably practicable.</w:t>
      </w:r>
      <w:r w:rsidRPr="001B64DF">
        <w:rPr>
          <w:rStyle w:val="eop"/>
          <w:rFonts w:ascii="Arial" w:hAnsi="Arial" w:cs="Arial"/>
        </w:rPr>
        <w:t> </w:t>
      </w:r>
    </w:p>
    <w:p w14:paraId="4AFE9908" w14:textId="77777777" w:rsidR="00E34F53" w:rsidRPr="00EE44EB" w:rsidRDefault="00E34F53" w:rsidP="00EE44EB">
      <w:pPr>
        <w:pStyle w:val="paragraph"/>
        <w:spacing w:before="0" w:beforeAutospacing="0" w:after="0" w:afterAutospacing="0" w:line="360" w:lineRule="auto"/>
        <w:textAlignment w:val="baseline"/>
        <w:rPr>
          <w:rFonts w:ascii="Arial" w:hAnsi="Arial" w:cs="Arial"/>
        </w:rPr>
      </w:pPr>
    </w:p>
    <w:p w14:paraId="2441A39F" w14:textId="06047277" w:rsidR="00E34F53" w:rsidRPr="001B64DF" w:rsidRDefault="00E34F53" w:rsidP="00EE44EB">
      <w:pPr>
        <w:pStyle w:val="paragraph"/>
        <w:spacing w:before="0" w:beforeAutospacing="0" w:after="0" w:afterAutospacing="0" w:line="360" w:lineRule="auto"/>
        <w:textAlignment w:val="baseline"/>
        <w:rPr>
          <w:rStyle w:val="normaltextrun"/>
          <w:rFonts w:ascii="Arial" w:hAnsi="Arial" w:cs="Arial"/>
          <w:sz w:val="18"/>
          <w:szCs w:val="18"/>
        </w:rPr>
      </w:pPr>
      <w:r w:rsidRPr="001B64DF">
        <w:rPr>
          <w:rStyle w:val="normaltextrun"/>
          <w:rFonts w:ascii="Arial" w:hAnsi="Arial" w:cs="Arial"/>
        </w:rPr>
        <w:t>In general terms, the premises which are audited most frequently are those in </w:t>
      </w:r>
      <w:r w:rsidR="001B64DF" w:rsidRPr="001B64DF">
        <w:rPr>
          <w:rStyle w:val="normaltextrun"/>
          <w:rFonts w:ascii="Arial" w:hAnsi="Arial" w:cs="Arial"/>
        </w:rPr>
        <w:t>which:</w:t>
      </w:r>
      <w:r w:rsidRPr="001B64DF">
        <w:rPr>
          <w:rStyle w:val="eop"/>
          <w:rFonts w:ascii="Arial" w:hAnsi="Arial" w:cs="Arial"/>
        </w:rPr>
        <w:t> </w:t>
      </w:r>
    </w:p>
    <w:p w14:paraId="6F27E61A" w14:textId="77777777" w:rsidR="00E34F53" w:rsidRPr="001B64DF" w:rsidRDefault="00E34F53" w:rsidP="00EE44EB">
      <w:pPr>
        <w:pStyle w:val="paragraph"/>
        <w:numPr>
          <w:ilvl w:val="0"/>
          <w:numId w:val="11"/>
        </w:numPr>
        <w:spacing w:before="0" w:beforeAutospacing="0" w:after="0" w:afterAutospacing="0" w:line="360" w:lineRule="auto"/>
        <w:ind w:left="426" w:hanging="426"/>
        <w:textAlignment w:val="baseline"/>
        <w:rPr>
          <w:rFonts w:ascii="Arial" w:hAnsi="Arial" w:cs="Arial"/>
        </w:rPr>
      </w:pPr>
      <w:r w:rsidRPr="001B64DF">
        <w:rPr>
          <w:rStyle w:val="normaltextrun"/>
          <w:rFonts w:ascii="Arial" w:hAnsi="Arial" w:cs="Arial"/>
        </w:rPr>
        <w:t>Occupant's sleep, are unfamiliar with the premises and unable to escape without significant assistance and pre-planning (e.g. Hospitals, Nursing &amp; Care Homes)</w:t>
      </w:r>
      <w:r w:rsidRPr="001B64DF">
        <w:rPr>
          <w:rStyle w:val="eop"/>
          <w:rFonts w:ascii="Arial" w:hAnsi="Arial" w:cs="Arial"/>
        </w:rPr>
        <w:t> </w:t>
      </w:r>
    </w:p>
    <w:p w14:paraId="68B37166" w14:textId="77777777" w:rsidR="00E34F53" w:rsidRPr="001B64DF" w:rsidRDefault="00E34F53" w:rsidP="00EE44EB">
      <w:pPr>
        <w:pStyle w:val="paragraph"/>
        <w:numPr>
          <w:ilvl w:val="0"/>
          <w:numId w:val="11"/>
        </w:numPr>
        <w:spacing w:before="0" w:beforeAutospacing="0" w:after="0" w:afterAutospacing="0" w:line="360" w:lineRule="auto"/>
        <w:ind w:left="426" w:hanging="426"/>
        <w:textAlignment w:val="baseline"/>
        <w:rPr>
          <w:rFonts w:ascii="Arial" w:hAnsi="Arial" w:cs="Arial"/>
        </w:rPr>
      </w:pPr>
      <w:r w:rsidRPr="001B64DF">
        <w:rPr>
          <w:rStyle w:val="normaltextrun"/>
          <w:rFonts w:ascii="Arial" w:hAnsi="Arial" w:cs="Arial"/>
        </w:rPr>
        <w:t>Occupants sleep and are unfamiliar with the premises (e.g. Hotels and Hostels)</w:t>
      </w:r>
      <w:r w:rsidRPr="001B64DF">
        <w:rPr>
          <w:rStyle w:val="eop"/>
          <w:rFonts w:ascii="Arial" w:hAnsi="Arial" w:cs="Arial"/>
        </w:rPr>
        <w:t> </w:t>
      </w:r>
    </w:p>
    <w:p w14:paraId="47123CEE" w14:textId="77777777" w:rsidR="00E34F53" w:rsidRPr="001B64DF" w:rsidRDefault="00E34F53" w:rsidP="00EE44EB">
      <w:pPr>
        <w:pStyle w:val="paragraph"/>
        <w:numPr>
          <w:ilvl w:val="0"/>
          <w:numId w:val="11"/>
        </w:numPr>
        <w:spacing w:before="0" w:beforeAutospacing="0" w:after="0" w:afterAutospacing="0" w:line="360" w:lineRule="auto"/>
        <w:ind w:left="426" w:hanging="426"/>
        <w:textAlignment w:val="baseline"/>
        <w:rPr>
          <w:rFonts w:ascii="Arial" w:hAnsi="Arial" w:cs="Arial"/>
        </w:rPr>
      </w:pPr>
      <w:r w:rsidRPr="001B64DF">
        <w:rPr>
          <w:rStyle w:val="normaltextrun"/>
          <w:rFonts w:ascii="Arial" w:hAnsi="Arial" w:cs="Arial"/>
        </w:rPr>
        <w:t>Occupants sleep and are familiar with the premises (e.g. blocks of flats)</w:t>
      </w:r>
      <w:r w:rsidRPr="001B64DF">
        <w:rPr>
          <w:rStyle w:val="eop"/>
          <w:rFonts w:ascii="Arial" w:hAnsi="Arial" w:cs="Arial"/>
        </w:rPr>
        <w:t> </w:t>
      </w:r>
    </w:p>
    <w:p w14:paraId="21B85F5D" w14:textId="77777777" w:rsidR="00E34F53" w:rsidRPr="001B64DF" w:rsidRDefault="00E34F53" w:rsidP="00EE44EB">
      <w:pPr>
        <w:pStyle w:val="paragraph"/>
        <w:numPr>
          <w:ilvl w:val="0"/>
          <w:numId w:val="11"/>
        </w:numPr>
        <w:spacing w:before="0" w:beforeAutospacing="0" w:after="0" w:afterAutospacing="0" w:line="360" w:lineRule="auto"/>
        <w:ind w:left="426" w:hanging="426"/>
        <w:textAlignment w:val="baseline"/>
        <w:rPr>
          <w:rStyle w:val="eop"/>
          <w:rFonts w:ascii="Arial" w:hAnsi="Arial" w:cs="Arial"/>
        </w:rPr>
      </w:pPr>
      <w:r w:rsidRPr="001B64DF">
        <w:rPr>
          <w:rStyle w:val="normaltextrun"/>
          <w:rFonts w:ascii="Arial" w:hAnsi="Arial" w:cs="Arial"/>
        </w:rPr>
        <w:t>Occupants are awake but unfamiliar with the premises (e.g. theatres, pubs, clubs)</w:t>
      </w:r>
      <w:r w:rsidRPr="001B64DF">
        <w:rPr>
          <w:rStyle w:val="eop"/>
          <w:rFonts w:ascii="Arial" w:hAnsi="Arial" w:cs="Arial"/>
        </w:rPr>
        <w:t> </w:t>
      </w:r>
    </w:p>
    <w:p w14:paraId="392F31A7" w14:textId="77777777" w:rsidR="00E34F53" w:rsidRPr="001B64DF" w:rsidRDefault="00E34F53" w:rsidP="00EE44EB">
      <w:pPr>
        <w:pStyle w:val="paragraph"/>
        <w:spacing w:before="0" w:beforeAutospacing="0" w:after="0" w:afterAutospacing="0" w:line="360" w:lineRule="auto"/>
        <w:textAlignment w:val="baseline"/>
        <w:rPr>
          <w:rFonts w:ascii="Arial" w:hAnsi="Arial" w:cs="Arial"/>
        </w:rPr>
      </w:pPr>
    </w:p>
    <w:p w14:paraId="6290965A" w14:textId="77777777" w:rsidR="00E34F53" w:rsidRPr="001B64DF" w:rsidRDefault="00E34F53" w:rsidP="00EE44EB">
      <w:pPr>
        <w:pStyle w:val="paragraph"/>
        <w:spacing w:before="0" w:beforeAutospacing="0" w:after="0" w:afterAutospacing="0" w:line="360" w:lineRule="auto"/>
        <w:textAlignment w:val="baseline"/>
        <w:rPr>
          <w:rStyle w:val="normaltextrun"/>
          <w:rFonts w:ascii="Arial" w:hAnsi="Arial" w:cs="Arial"/>
        </w:rPr>
      </w:pPr>
      <w:r w:rsidRPr="001B64DF">
        <w:rPr>
          <w:rStyle w:val="normaltextrun"/>
          <w:rFonts w:ascii="Arial" w:hAnsi="Arial" w:cs="Arial"/>
        </w:rPr>
        <w:t>In determining inspection priority further within those definitions, the RBIP also considers:</w:t>
      </w:r>
    </w:p>
    <w:p w14:paraId="6C85F1BA" w14:textId="77777777" w:rsidR="00E34F53" w:rsidRPr="001B64DF" w:rsidRDefault="00E34F53" w:rsidP="00EE44EB">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hAnsi="Arial" w:cs="Arial"/>
        </w:rPr>
        <w:t>History of previous fires in the premises (indicative of future likelihood)</w:t>
      </w:r>
      <w:r w:rsidRPr="001B64DF">
        <w:rPr>
          <w:rStyle w:val="eop"/>
          <w:rFonts w:ascii="Arial" w:hAnsi="Arial" w:cs="Arial"/>
        </w:rPr>
        <w:t> </w:t>
      </w:r>
    </w:p>
    <w:p w14:paraId="6997607B" w14:textId="77777777" w:rsidR="00E34F53" w:rsidRPr="001B64DF" w:rsidRDefault="00E34F53" w:rsidP="00EE44EB">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hAnsi="Arial" w:cs="Arial"/>
        </w:rPr>
        <w:t>History of previous fires in the vicinity of the premises (indicative of arson risk)</w:t>
      </w:r>
      <w:r w:rsidRPr="001B64DF">
        <w:rPr>
          <w:rStyle w:val="eop"/>
          <w:rFonts w:ascii="Arial" w:hAnsi="Arial" w:cs="Arial"/>
        </w:rPr>
        <w:t> </w:t>
      </w:r>
    </w:p>
    <w:p w14:paraId="6F5D4EE2" w14:textId="77777777" w:rsidR="00E34F53" w:rsidRPr="001B64DF" w:rsidRDefault="00E34F53" w:rsidP="00EE44EB">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hAnsi="Arial" w:cs="Arial"/>
        </w:rPr>
        <w:t>Distance from a fire station (indicative of the length of time the building will have to perform to protect its occupants before firefighting interventions can be made)</w:t>
      </w:r>
      <w:r w:rsidRPr="001B64DF">
        <w:rPr>
          <w:rStyle w:val="eop"/>
          <w:rFonts w:ascii="Arial" w:hAnsi="Arial" w:cs="Arial"/>
        </w:rPr>
        <w:t> </w:t>
      </w:r>
    </w:p>
    <w:p w14:paraId="69A82C22" w14:textId="0BC11F54" w:rsidR="00E34F53" w:rsidRPr="001B64DF" w:rsidRDefault="00E34F53" w:rsidP="00EE44EB">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hAnsi="Arial" w:cs="Arial"/>
        </w:rPr>
        <w:lastRenderedPageBreak/>
        <w:t>Flood risk (as fire risk intensifies significantly during flooding when power </w:t>
      </w:r>
      <w:r w:rsidR="001B64DF" w:rsidRPr="001B64DF">
        <w:rPr>
          <w:rStyle w:val="normaltextrun"/>
          <w:rFonts w:ascii="Arial" w:hAnsi="Arial" w:cs="Arial"/>
        </w:rPr>
        <w:t>fails,</w:t>
      </w:r>
      <w:r w:rsidRPr="001B64DF">
        <w:rPr>
          <w:rStyle w:val="normaltextrun"/>
          <w:rFonts w:ascii="Arial" w:hAnsi="Arial" w:cs="Arial"/>
        </w:rPr>
        <w:t> and reliance is placed on fire safety systems working on back-up power supplies)</w:t>
      </w:r>
      <w:r w:rsidRPr="001B64DF">
        <w:rPr>
          <w:rStyle w:val="eop"/>
          <w:rFonts w:ascii="Arial" w:hAnsi="Arial" w:cs="Arial"/>
        </w:rPr>
        <w:t> </w:t>
      </w:r>
    </w:p>
    <w:p w14:paraId="73B21440" w14:textId="77777777" w:rsidR="00E34F53" w:rsidRPr="001B64DF" w:rsidRDefault="00E34F53" w:rsidP="00EE44EB">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hAnsi="Arial" w:cs="Arial"/>
        </w:rPr>
        <w:t>The height of the premises (taller premises place greater reliance on fire safety systems and building construction and management to protect their occupants).</w:t>
      </w:r>
      <w:r w:rsidRPr="001B64DF">
        <w:rPr>
          <w:rStyle w:val="eop"/>
          <w:rFonts w:ascii="Arial" w:hAnsi="Arial" w:cs="Arial"/>
        </w:rPr>
        <w:t> </w:t>
      </w:r>
    </w:p>
    <w:p w14:paraId="11BFDDC7" w14:textId="77777777" w:rsidR="00E34F53" w:rsidRPr="001B64DF" w:rsidRDefault="00E34F53" w:rsidP="00EE44EB">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hAnsi="Arial" w:cs="Arial"/>
        </w:rPr>
        <w:t>The date and outcome of previous inspections</w:t>
      </w:r>
      <w:r w:rsidRPr="001B64DF">
        <w:rPr>
          <w:rStyle w:val="eop"/>
          <w:rFonts w:ascii="Arial" w:hAnsi="Arial" w:cs="Arial"/>
        </w:rPr>
        <w:t> </w:t>
      </w:r>
    </w:p>
    <w:p w14:paraId="08ABDEF5" w14:textId="7C053CE5" w:rsidR="00E34F53" w:rsidRPr="001B64DF" w:rsidRDefault="00E34F53" w:rsidP="00EE44EB">
      <w:pPr>
        <w:pStyle w:val="paragraph"/>
        <w:numPr>
          <w:ilvl w:val="0"/>
          <w:numId w:val="13"/>
        </w:numPr>
        <w:spacing w:before="0" w:beforeAutospacing="0" w:after="0" w:afterAutospacing="0" w:line="360" w:lineRule="auto"/>
        <w:ind w:left="426" w:hanging="426"/>
        <w:textAlignment w:val="baseline"/>
        <w:rPr>
          <w:rStyle w:val="eop"/>
          <w:rFonts w:ascii="Arial" w:hAnsi="Arial" w:cs="Arial"/>
        </w:rPr>
      </w:pPr>
      <w:r w:rsidRPr="001B64DF">
        <w:rPr>
          <w:rStyle w:val="normaltextrun"/>
          <w:rFonts w:ascii="Arial" w:hAnsi="Arial" w:cs="Arial"/>
        </w:rPr>
        <w:t>Other data which is relevant to specific premises types (e.g. Care Home inspection data from the Care Quality Commission indicating poor safety management).</w:t>
      </w:r>
      <w:r w:rsidRPr="001B64DF">
        <w:rPr>
          <w:rStyle w:val="eop"/>
          <w:rFonts w:ascii="Arial" w:hAnsi="Arial" w:cs="Arial"/>
        </w:rPr>
        <w:t> </w:t>
      </w:r>
    </w:p>
    <w:p w14:paraId="4495114E" w14:textId="77777777" w:rsidR="00E34F53" w:rsidRPr="001B64DF" w:rsidRDefault="00E34F53" w:rsidP="00EE44EB">
      <w:pPr>
        <w:pStyle w:val="paragraph"/>
        <w:spacing w:before="0" w:beforeAutospacing="0" w:after="0" w:afterAutospacing="0" w:line="360" w:lineRule="auto"/>
        <w:textAlignment w:val="baseline"/>
        <w:rPr>
          <w:rFonts w:ascii="Arial" w:hAnsi="Arial" w:cs="Arial"/>
        </w:rPr>
      </w:pPr>
    </w:p>
    <w:p w14:paraId="2DFAD964" w14:textId="77777777" w:rsidR="00E34F53" w:rsidRPr="001B64DF" w:rsidRDefault="00E34F53" w:rsidP="00EE44EB">
      <w:pPr>
        <w:pStyle w:val="paragraph"/>
        <w:spacing w:before="0" w:beforeAutospacing="0" w:after="0" w:afterAutospacing="0" w:line="360" w:lineRule="auto"/>
        <w:textAlignment w:val="baseline"/>
        <w:rPr>
          <w:rStyle w:val="normaltextrun"/>
          <w:rFonts w:ascii="Arial" w:hAnsi="Arial" w:cs="Arial"/>
        </w:rPr>
      </w:pPr>
      <w:r w:rsidRPr="001B64DF">
        <w:rPr>
          <w:rStyle w:val="normaltextrun"/>
          <w:rFonts w:ascii="Arial" w:hAnsi="Arial" w:cs="Arial"/>
        </w:rPr>
        <w:t>The RBIP sits within our wider Inspection Framework and determines how we pre-plan the allocation of inspecting officer time. We also recognise that use of historical data is not always indicative of future events and consequently retain the ability to respond in an agile way to partner referrals, post fire audits, fire safety complaints and where emerging local or national intelligence suggests certain premises should be targeted irrespective of their position in the RBIP e.g. previously unknown concerns emerge over a particular external wall (cladding) system. </w:t>
      </w:r>
    </w:p>
    <w:p w14:paraId="49C9DA88" w14:textId="77777777" w:rsidR="00E34F53" w:rsidRPr="001B64DF" w:rsidRDefault="00E34F53" w:rsidP="00EE44EB">
      <w:pPr>
        <w:spacing w:after="0" w:line="360" w:lineRule="auto"/>
        <w:rPr>
          <w:rStyle w:val="normaltextrun"/>
          <w:rFonts w:ascii="Arial" w:eastAsia="Times New Roman" w:hAnsi="Arial" w:cs="Arial"/>
          <w:sz w:val="24"/>
          <w:szCs w:val="24"/>
          <w:lang w:eastAsia="en-GB"/>
        </w:rPr>
      </w:pPr>
      <w:r w:rsidRPr="001B64DF">
        <w:rPr>
          <w:rStyle w:val="normaltextrun"/>
          <w:rFonts w:ascii="Arial" w:hAnsi="Arial" w:cs="Arial"/>
        </w:rPr>
        <w:br w:type="page"/>
      </w:r>
    </w:p>
    <w:p w14:paraId="794BD393" w14:textId="086D1E0D" w:rsidR="009D1EF8" w:rsidRPr="001B64DF" w:rsidRDefault="004D1BD1" w:rsidP="00EE44EB">
      <w:pPr>
        <w:pStyle w:val="Heading1"/>
        <w:spacing w:before="0" w:line="360" w:lineRule="auto"/>
        <w:rPr>
          <w:rFonts w:ascii="Arial" w:eastAsia="Times New Roman" w:hAnsi="Arial" w:cs="Arial"/>
          <w:lang w:val="en" w:eastAsia="en-GB"/>
        </w:rPr>
      </w:pPr>
      <w:bookmarkStart w:id="3" w:name="_Toc85469282"/>
      <w:bookmarkEnd w:id="0"/>
      <w:r>
        <w:rPr>
          <w:rFonts w:ascii="Arial" w:eastAsia="Times New Roman" w:hAnsi="Arial" w:cs="Arial"/>
          <w:lang w:val="en" w:eastAsia="en-GB"/>
        </w:rPr>
        <w:lastRenderedPageBreak/>
        <w:t>Overview</w:t>
      </w:r>
      <w:bookmarkEnd w:id="3"/>
    </w:p>
    <w:p w14:paraId="4DE3E5E1" w14:textId="70893C4B"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 xml:space="preserve">Fire is a </w:t>
      </w:r>
      <w:r w:rsidR="00B0297F">
        <w:rPr>
          <w:rFonts w:ascii="Arial" w:eastAsia="Times New Roman" w:hAnsi="Arial" w:cs="Arial"/>
          <w:sz w:val="24"/>
          <w:szCs w:val="24"/>
          <w:lang w:eastAsia="en-GB"/>
        </w:rPr>
        <w:t>‘hazard’</w:t>
      </w:r>
      <w:r w:rsidRPr="009D1EF8">
        <w:rPr>
          <w:rFonts w:ascii="Arial" w:eastAsia="Times New Roman" w:hAnsi="Arial" w:cs="Arial"/>
          <w:sz w:val="24"/>
          <w:szCs w:val="24"/>
          <w:lang w:eastAsia="en-GB"/>
        </w:rPr>
        <w:t xml:space="preserve">. The combination of the harm caused by a hazard combined with the likelihood of the harm occurring </w:t>
      </w:r>
      <w:r w:rsidR="00B0297F">
        <w:rPr>
          <w:rFonts w:ascii="Arial" w:eastAsia="Times New Roman" w:hAnsi="Arial" w:cs="Arial"/>
          <w:sz w:val="24"/>
          <w:szCs w:val="24"/>
          <w:lang w:eastAsia="en-GB"/>
        </w:rPr>
        <w:t>leads to a level of ‘risk’</w:t>
      </w:r>
      <w:r w:rsidRPr="009D1EF8">
        <w:rPr>
          <w:rFonts w:ascii="Arial" w:eastAsia="Times New Roman" w:hAnsi="Arial" w:cs="Arial"/>
          <w:sz w:val="24"/>
          <w:szCs w:val="24"/>
          <w:lang w:eastAsia="en-GB"/>
        </w:rPr>
        <w:t>.</w:t>
      </w:r>
    </w:p>
    <w:p w14:paraId="77E3C1CE"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3AF6D490" w14:textId="4926D3F5"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 xml:space="preserve">The </w:t>
      </w:r>
      <w:r w:rsidR="00B0297F">
        <w:rPr>
          <w:rFonts w:ascii="Arial" w:eastAsia="Times New Roman" w:hAnsi="Arial" w:cs="Arial"/>
          <w:sz w:val="24"/>
          <w:szCs w:val="24"/>
          <w:lang w:eastAsia="en-GB"/>
        </w:rPr>
        <w:t>‘overall score’</w:t>
      </w:r>
      <w:r w:rsidRPr="009D1EF8">
        <w:rPr>
          <w:rFonts w:ascii="Arial" w:eastAsia="Times New Roman" w:hAnsi="Arial" w:cs="Arial"/>
          <w:sz w:val="24"/>
          <w:szCs w:val="24"/>
          <w:lang w:eastAsia="en-GB"/>
        </w:rPr>
        <w:t xml:space="preserve"> described in this document </w:t>
      </w:r>
      <w:r w:rsidR="00B0297F">
        <w:rPr>
          <w:rFonts w:ascii="Arial" w:eastAsia="Times New Roman" w:hAnsi="Arial" w:cs="Arial"/>
          <w:sz w:val="24"/>
          <w:szCs w:val="24"/>
          <w:lang w:eastAsia="en-GB"/>
        </w:rPr>
        <w:t>represents the overall level of r</w:t>
      </w:r>
      <w:r w:rsidRPr="009D1EF8">
        <w:rPr>
          <w:rFonts w:ascii="Arial" w:eastAsia="Times New Roman" w:hAnsi="Arial" w:cs="Arial"/>
          <w:sz w:val="24"/>
          <w:szCs w:val="24"/>
          <w:lang w:eastAsia="en-GB"/>
        </w:rPr>
        <w:t>is</w:t>
      </w:r>
      <w:r w:rsidR="00B0297F">
        <w:rPr>
          <w:rFonts w:ascii="Arial" w:eastAsia="Times New Roman" w:hAnsi="Arial" w:cs="Arial"/>
          <w:sz w:val="24"/>
          <w:szCs w:val="24"/>
          <w:lang w:eastAsia="en-GB"/>
        </w:rPr>
        <w:t>k and is used to determine the priority in which premises are inspected. The overall score is</w:t>
      </w:r>
      <w:r w:rsidRPr="009D1EF8">
        <w:rPr>
          <w:rFonts w:ascii="Arial" w:eastAsia="Times New Roman" w:hAnsi="Arial" w:cs="Arial"/>
          <w:sz w:val="24"/>
          <w:szCs w:val="24"/>
          <w:lang w:eastAsia="en-GB"/>
        </w:rPr>
        <w:t xml:space="preserve"> </w:t>
      </w:r>
      <w:r w:rsidR="00B0297F">
        <w:rPr>
          <w:rFonts w:ascii="Arial" w:eastAsia="Times New Roman" w:hAnsi="Arial" w:cs="Arial"/>
          <w:sz w:val="24"/>
          <w:szCs w:val="24"/>
          <w:lang w:eastAsia="en-GB"/>
        </w:rPr>
        <w:t>calculated</w:t>
      </w:r>
      <w:r w:rsidR="00B0297F" w:rsidRPr="009D1EF8">
        <w:rPr>
          <w:rFonts w:ascii="Arial" w:eastAsia="Times New Roman" w:hAnsi="Arial" w:cs="Arial"/>
          <w:sz w:val="24"/>
          <w:szCs w:val="24"/>
          <w:lang w:eastAsia="en-GB"/>
        </w:rPr>
        <w:t xml:space="preserve"> </w:t>
      </w:r>
      <w:r w:rsidRPr="009D1EF8">
        <w:rPr>
          <w:rFonts w:ascii="Arial" w:eastAsia="Times New Roman" w:hAnsi="Arial" w:cs="Arial"/>
          <w:sz w:val="24"/>
          <w:szCs w:val="24"/>
          <w:lang w:eastAsia="en-GB"/>
        </w:rPr>
        <w:t xml:space="preserve">by assigning an initial value which is taken from </w:t>
      </w:r>
      <w:r w:rsidR="00626E62">
        <w:rPr>
          <w:rFonts w:ascii="Arial" w:eastAsia="Times New Roman" w:hAnsi="Arial" w:cs="Arial"/>
          <w:sz w:val="24"/>
          <w:szCs w:val="24"/>
          <w:lang w:eastAsia="en-GB"/>
        </w:rPr>
        <w:t xml:space="preserve">national </w:t>
      </w:r>
      <w:r w:rsidR="00B0297F">
        <w:rPr>
          <w:rFonts w:ascii="Arial" w:eastAsia="Times New Roman" w:hAnsi="Arial" w:cs="Arial"/>
          <w:sz w:val="24"/>
          <w:szCs w:val="24"/>
          <w:lang w:eastAsia="en-GB"/>
        </w:rPr>
        <w:t xml:space="preserve">incident </w:t>
      </w:r>
      <w:r w:rsidR="00626E62">
        <w:rPr>
          <w:rFonts w:ascii="Arial" w:eastAsia="Times New Roman" w:hAnsi="Arial" w:cs="Arial"/>
          <w:sz w:val="24"/>
          <w:szCs w:val="24"/>
          <w:lang w:eastAsia="en-GB"/>
        </w:rPr>
        <w:t>data</w:t>
      </w:r>
      <w:r w:rsidR="00D9551D">
        <w:rPr>
          <w:rFonts w:ascii="Arial" w:eastAsia="Times New Roman" w:hAnsi="Arial" w:cs="Arial"/>
          <w:sz w:val="24"/>
          <w:szCs w:val="24"/>
          <w:lang w:eastAsia="en-GB"/>
        </w:rPr>
        <w:t xml:space="preserve"> published in </w:t>
      </w:r>
      <w:hyperlink r:id="rId13" w:history="1">
        <w:r w:rsidR="00D9551D" w:rsidRPr="007D35AC">
          <w:rPr>
            <w:rStyle w:val="Hyperlink"/>
            <w:rFonts w:ascii="Arial" w:eastAsia="Times New Roman" w:hAnsi="Arial" w:cs="Arial"/>
            <w:color w:val="4472C4" w:themeColor="accent1"/>
            <w:sz w:val="24"/>
            <w:szCs w:val="24"/>
            <w:u w:val="none"/>
            <w:lang w:eastAsia="en-GB"/>
          </w:rPr>
          <w:t>‘Update of response time loss relationships for the Fire Service Emergency Cover toolkit’</w:t>
        </w:r>
      </w:hyperlink>
      <w:r w:rsidR="00D9551D" w:rsidRPr="007D35AC">
        <w:rPr>
          <w:rFonts w:ascii="Arial" w:eastAsia="Times New Roman" w:hAnsi="Arial" w:cs="Arial"/>
          <w:color w:val="4472C4" w:themeColor="accent1"/>
          <w:sz w:val="24"/>
          <w:szCs w:val="24"/>
          <w:lang w:eastAsia="en-GB"/>
        </w:rPr>
        <w:t xml:space="preserve"> </w:t>
      </w:r>
      <w:r w:rsidR="00D9551D">
        <w:rPr>
          <w:rFonts w:ascii="Arial" w:eastAsia="Times New Roman" w:hAnsi="Arial" w:cs="Arial"/>
          <w:sz w:val="24"/>
          <w:szCs w:val="24"/>
          <w:lang w:eastAsia="en-GB"/>
        </w:rPr>
        <w:t xml:space="preserve">(Department for Communities and Local Government, 2010), in consultation with </w:t>
      </w:r>
      <w:r w:rsidRPr="009D1EF8">
        <w:rPr>
          <w:rFonts w:ascii="Arial" w:eastAsia="Times New Roman" w:hAnsi="Arial" w:cs="Arial"/>
          <w:sz w:val="24"/>
          <w:szCs w:val="24"/>
          <w:lang w:eastAsia="en-GB"/>
        </w:rPr>
        <w:t>the Mot</w:t>
      </w:r>
      <w:r w:rsidR="00B0297F">
        <w:rPr>
          <w:rFonts w:ascii="Arial" w:eastAsia="Times New Roman" w:hAnsi="Arial" w:cs="Arial"/>
          <w:sz w:val="24"/>
          <w:szCs w:val="24"/>
          <w:lang w:eastAsia="en-GB"/>
        </w:rPr>
        <w:t>t</w:t>
      </w:r>
      <w:r w:rsidRPr="009D1EF8">
        <w:rPr>
          <w:rFonts w:ascii="Arial" w:eastAsia="Times New Roman" w:hAnsi="Arial" w:cs="Arial"/>
          <w:sz w:val="24"/>
          <w:szCs w:val="24"/>
          <w:lang w:eastAsia="en-GB"/>
        </w:rPr>
        <w:t xml:space="preserve"> M</w:t>
      </w:r>
      <w:r w:rsidR="00EF76CA">
        <w:rPr>
          <w:rFonts w:ascii="Arial" w:eastAsia="Times New Roman" w:hAnsi="Arial" w:cs="Arial"/>
          <w:sz w:val="24"/>
          <w:szCs w:val="24"/>
          <w:lang w:eastAsia="en-GB"/>
        </w:rPr>
        <w:t>a</w:t>
      </w:r>
      <w:r w:rsidRPr="009D1EF8">
        <w:rPr>
          <w:rFonts w:ascii="Arial" w:eastAsia="Times New Roman" w:hAnsi="Arial" w:cs="Arial"/>
          <w:sz w:val="24"/>
          <w:szCs w:val="24"/>
          <w:lang w:eastAsia="en-GB"/>
        </w:rPr>
        <w:t>cDonal</w:t>
      </w:r>
      <w:r w:rsidR="00D9551D">
        <w:rPr>
          <w:rFonts w:ascii="Arial" w:eastAsia="Times New Roman" w:hAnsi="Arial" w:cs="Arial"/>
          <w:sz w:val="24"/>
          <w:szCs w:val="24"/>
          <w:lang w:eastAsia="en-GB"/>
        </w:rPr>
        <w:t>d Ltd. The final risk score is then calculated b</w:t>
      </w:r>
      <w:r w:rsidR="00626E62">
        <w:rPr>
          <w:rFonts w:ascii="Arial" w:eastAsia="Times New Roman" w:hAnsi="Arial" w:cs="Arial"/>
          <w:sz w:val="24"/>
          <w:szCs w:val="24"/>
          <w:lang w:eastAsia="en-GB"/>
        </w:rPr>
        <w:t xml:space="preserve">y </w:t>
      </w:r>
      <w:r w:rsidRPr="009D1EF8">
        <w:rPr>
          <w:rFonts w:ascii="Arial" w:eastAsia="Times New Roman" w:hAnsi="Arial" w:cs="Arial"/>
          <w:sz w:val="24"/>
          <w:szCs w:val="24"/>
          <w:lang w:eastAsia="en-GB"/>
        </w:rPr>
        <w:t xml:space="preserve">applying an additional series of </w:t>
      </w:r>
      <w:r w:rsidR="00626E62">
        <w:rPr>
          <w:rFonts w:ascii="Arial" w:eastAsia="Times New Roman" w:hAnsi="Arial" w:cs="Arial"/>
          <w:sz w:val="24"/>
          <w:szCs w:val="24"/>
          <w:lang w:eastAsia="en-GB"/>
        </w:rPr>
        <w:t xml:space="preserve">determinants which are relevant to </w:t>
      </w:r>
      <w:r w:rsidR="00B0297F">
        <w:rPr>
          <w:rFonts w:ascii="Arial" w:eastAsia="Times New Roman" w:hAnsi="Arial" w:cs="Arial"/>
          <w:sz w:val="24"/>
          <w:szCs w:val="24"/>
          <w:lang w:eastAsia="en-GB"/>
        </w:rPr>
        <w:t xml:space="preserve">fire </w:t>
      </w:r>
      <w:r w:rsidR="00626E62">
        <w:rPr>
          <w:rFonts w:ascii="Arial" w:eastAsia="Times New Roman" w:hAnsi="Arial" w:cs="Arial"/>
          <w:sz w:val="24"/>
          <w:szCs w:val="24"/>
          <w:lang w:eastAsia="en-GB"/>
        </w:rPr>
        <w:t xml:space="preserve">risk in Lancashire and </w:t>
      </w:r>
      <w:r w:rsidR="00B0297F">
        <w:rPr>
          <w:rFonts w:ascii="Arial" w:eastAsia="Times New Roman" w:hAnsi="Arial" w:cs="Arial"/>
          <w:sz w:val="24"/>
          <w:szCs w:val="24"/>
          <w:lang w:eastAsia="en-GB"/>
        </w:rPr>
        <w:t>represent different</w:t>
      </w:r>
      <w:r w:rsidRPr="009D1EF8">
        <w:rPr>
          <w:rFonts w:ascii="Arial" w:eastAsia="Times New Roman" w:hAnsi="Arial" w:cs="Arial"/>
          <w:sz w:val="24"/>
          <w:szCs w:val="24"/>
          <w:lang w:eastAsia="en-GB"/>
        </w:rPr>
        <w:t xml:space="preserve"> </w:t>
      </w:r>
      <w:r w:rsidR="00B0297F">
        <w:rPr>
          <w:rFonts w:ascii="Arial" w:eastAsia="Times New Roman" w:hAnsi="Arial" w:cs="Arial"/>
          <w:sz w:val="24"/>
          <w:szCs w:val="24"/>
          <w:lang w:eastAsia="en-GB"/>
        </w:rPr>
        <w:t>‘C</w:t>
      </w:r>
      <w:r w:rsidRPr="009D1EF8">
        <w:rPr>
          <w:rFonts w:ascii="Arial" w:eastAsia="Times New Roman" w:hAnsi="Arial" w:cs="Arial"/>
          <w:sz w:val="24"/>
          <w:szCs w:val="24"/>
          <w:lang w:eastAsia="en-GB"/>
        </w:rPr>
        <w:t>ategor</w:t>
      </w:r>
      <w:r w:rsidR="00B0297F">
        <w:rPr>
          <w:rFonts w:ascii="Arial" w:eastAsia="Times New Roman" w:hAnsi="Arial" w:cs="Arial"/>
          <w:sz w:val="24"/>
          <w:szCs w:val="24"/>
          <w:lang w:eastAsia="en-GB"/>
        </w:rPr>
        <w:t>ies</w:t>
      </w:r>
      <w:r w:rsidRPr="009D1EF8">
        <w:rPr>
          <w:rFonts w:ascii="Arial" w:eastAsia="Times New Roman" w:hAnsi="Arial" w:cs="Arial"/>
          <w:sz w:val="24"/>
          <w:szCs w:val="24"/>
          <w:lang w:eastAsia="en-GB"/>
        </w:rPr>
        <w:t xml:space="preserve"> of Harm</w:t>
      </w:r>
      <w:r w:rsidR="00B0297F">
        <w:rPr>
          <w:rFonts w:ascii="Arial" w:eastAsia="Times New Roman" w:hAnsi="Arial" w:cs="Arial"/>
          <w:sz w:val="24"/>
          <w:szCs w:val="24"/>
          <w:lang w:eastAsia="en-GB"/>
        </w:rPr>
        <w:t>’</w:t>
      </w:r>
      <w:r w:rsidRPr="009D1EF8">
        <w:rPr>
          <w:rFonts w:ascii="Arial" w:eastAsia="Times New Roman" w:hAnsi="Arial" w:cs="Arial"/>
          <w:sz w:val="24"/>
          <w:szCs w:val="24"/>
          <w:lang w:eastAsia="en-GB"/>
        </w:rPr>
        <w:t xml:space="preserve"> (Appendix </w:t>
      </w:r>
      <w:r w:rsidR="00D9551D">
        <w:rPr>
          <w:rFonts w:ascii="Arial" w:eastAsia="Times New Roman" w:hAnsi="Arial" w:cs="Arial"/>
          <w:sz w:val="24"/>
          <w:szCs w:val="24"/>
          <w:lang w:eastAsia="en-GB"/>
        </w:rPr>
        <w:t>A</w:t>
      </w:r>
      <w:r w:rsidRPr="009D1EF8">
        <w:rPr>
          <w:rFonts w:ascii="Arial" w:eastAsia="Times New Roman" w:hAnsi="Arial" w:cs="Arial"/>
          <w:sz w:val="24"/>
          <w:szCs w:val="24"/>
          <w:lang w:eastAsia="en-GB"/>
        </w:rPr>
        <w:t>) reflect</w:t>
      </w:r>
      <w:r w:rsidR="00B0297F">
        <w:rPr>
          <w:rFonts w:ascii="Arial" w:eastAsia="Times New Roman" w:hAnsi="Arial" w:cs="Arial"/>
          <w:sz w:val="24"/>
          <w:szCs w:val="24"/>
          <w:lang w:eastAsia="en-GB"/>
        </w:rPr>
        <w:t>ing the broader impact of fires when they occur.</w:t>
      </w:r>
    </w:p>
    <w:p w14:paraId="5D439252"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41A9DCD6" w14:textId="47C864E8" w:rsidR="009D1EF8" w:rsidRPr="009D1EF8"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 xml:space="preserve">The overall score </w:t>
      </w:r>
      <w:r w:rsidR="00B0297F">
        <w:rPr>
          <w:rFonts w:ascii="Arial" w:eastAsia="Times New Roman" w:hAnsi="Arial" w:cs="Arial"/>
          <w:sz w:val="24"/>
          <w:szCs w:val="24"/>
          <w:lang w:eastAsia="en-GB"/>
        </w:rPr>
        <w:t>is not</w:t>
      </w:r>
      <w:r w:rsidRPr="009D1EF8">
        <w:rPr>
          <w:rFonts w:ascii="Arial" w:eastAsia="Times New Roman" w:hAnsi="Arial" w:cs="Arial"/>
          <w:sz w:val="24"/>
          <w:szCs w:val="24"/>
          <w:lang w:eastAsia="en-GB"/>
        </w:rPr>
        <w:t xml:space="preserve"> used in isolation to target high</w:t>
      </w:r>
      <w:r w:rsidR="00B0297F">
        <w:rPr>
          <w:rFonts w:ascii="Arial" w:eastAsia="Times New Roman" w:hAnsi="Arial" w:cs="Arial"/>
          <w:sz w:val="24"/>
          <w:szCs w:val="24"/>
          <w:lang w:eastAsia="en-GB"/>
        </w:rPr>
        <w:t>er</w:t>
      </w:r>
      <w:r w:rsidRPr="009D1EF8">
        <w:rPr>
          <w:rFonts w:ascii="Arial" w:eastAsia="Times New Roman" w:hAnsi="Arial" w:cs="Arial"/>
          <w:sz w:val="24"/>
          <w:szCs w:val="24"/>
          <w:lang w:eastAsia="en-GB"/>
        </w:rPr>
        <w:t xml:space="preserve"> risks premises</w:t>
      </w:r>
      <w:r w:rsidR="00B0297F">
        <w:rPr>
          <w:rFonts w:ascii="Arial" w:eastAsia="Times New Roman" w:hAnsi="Arial" w:cs="Arial"/>
          <w:sz w:val="24"/>
          <w:szCs w:val="24"/>
          <w:lang w:eastAsia="en-GB"/>
        </w:rPr>
        <w:t>. A</w:t>
      </w:r>
      <w:r w:rsidRPr="009D1EF8">
        <w:rPr>
          <w:rFonts w:ascii="Arial" w:eastAsia="Times New Roman" w:hAnsi="Arial" w:cs="Arial"/>
          <w:sz w:val="24"/>
          <w:szCs w:val="24"/>
          <w:lang w:eastAsia="en-GB"/>
        </w:rPr>
        <w:t xml:space="preserve">dditional </w:t>
      </w:r>
      <w:r w:rsidR="00B0297F">
        <w:rPr>
          <w:rFonts w:ascii="Arial" w:eastAsia="Times New Roman" w:hAnsi="Arial" w:cs="Arial"/>
          <w:sz w:val="24"/>
          <w:szCs w:val="24"/>
          <w:lang w:eastAsia="en-GB"/>
        </w:rPr>
        <w:t>information relating to fire risk is also included</w:t>
      </w:r>
      <w:r w:rsidRPr="009D1EF8">
        <w:rPr>
          <w:rFonts w:ascii="Arial" w:eastAsia="Times New Roman" w:hAnsi="Arial" w:cs="Arial"/>
          <w:sz w:val="24"/>
          <w:szCs w:val="24"/>
          <w:lang w:eastAsia="en-GB"/>
        </w:rPr>
        <w:t xml:space="preserve"> </w:t>
      </w:r>
      <w:r w:rsidR="00B0297F">
        <w:rPr>
          <w:rFonts w:ascii="Arial" w:eastAsia="Times New Roman" w:hAnsi="Arial" w:cs="Arial"/>
          <w:sz w:val="24"/>
          <w:szCs w:val="24"/>
          <w:lang w:eastAsia="en-GB"/>
        </w:rPr>
        <w:t xml:space="preserve">in the data presented to Fire Safety Inspectors </w:t>
      </w:r>
      <w:r w:rsidRPr="009D1EF8">
        <w:rPr>
          <w:rFonts w:ascii="Arial" w:eastAsia="Times New Roman" w:hAnsi="Arial" w:cs="Arial"/>
          <w:sz w:val="24"/>
          <w:szCs w:val="24"/>
          <w:lang w:eastAsia="en-GB"/>
        </w:rPr>
        <w:t xml:space="preserve">(Appendix C) </w:t>
      </w:r>
      <w:r w:rsidR="00B0297F">
        <w:rPr>
          <w:rFonts w:ascii="Arial" w:eastAsia="Times New Roman" w:hAnsi="Arial" w:cs="Arial"/>
          <w:sz w:val="24"/>
          <w:szCs w:val="24"/>
          <w:lang w:eastAsia="en-GB"/>
        </w:rPr>
        <w:t>which might otherwise skew the overall model but allows local prioritisation when inspections are being allocated.</w:t>
      </w:r>
    </w:p>
    <w:p w14:paraId="2C89D928" w14:textId="77777777" w:rsidR="009D1EF8" w:rsidRPr="009D1EF8" w:rsidRDefault="009D1EF8" w:rsidP="00EE44EB">
      <w:pPr>
        <w:spacing w:after="0" w:line="360" w:lineRule="auto"/>
        <w:ind w:left="284" w:hanging="284"/>
        <w:contextualSpacing/>
        <w:jc w:val="both"/>
        <w:rPr>
          <w:rFonts w:ascii="Arial" w:eastAsia="Times New Roman" w:hAnsi="Arial" w:cs="Arial"/>
          <w:sz w:val="24"/>
          <w:szCs w:val="24"/>
          <w:lang w:eastAsia="en-GB"/>
        </w:rPr>
      </w:pPr>
    </w:p>
    <w:p w14:paraId="3F5C9E16" w14:textId="77777777" w:rsidR="009D1EF8" w:rsidRPr="001B64DF" w:rsidRDefault="009D1EF8" w:rsidP="00EE44EB">
      <w:pPr>
        <w:pStyle w:val="Heading2"/>
        <w:spacing w:before="0" w:line="360" w:lineRule="auto"/>
        <w:rPr>
          <w:rFonts w:ascii="Arial" w:eastAsia="Times New Roman" w:hAnsi="Arial" w:cs="Arial"/>
          <w:lang w:eastAsia="en-GB"/>
        </w:rPr>
      </w:pPr>
      <w:bookmarkStart w:id="4" w:name="_Toc77267535"/>
      <w:bookmarkStart w:id="5" w:name="_Toc85469283"/>
      <w:r w:rsidRPr="001B64DF">
        <w:rPr>
          <w:rFonts w:ascii="Arial" w:eastAsia="Times New Roman" w:hAnsi="Arial" w:cs="Arial"/>
          <w:lang w:eastAsia="en-GB"/>
        </w:rPr>
        <w:t>Datasets</w:t>
      </w:r>
      <w:bookmarkEnd w:id="4"/>
      <w:bookmarkEnd w:id="5"/>
    </w:p>
    <w:p w14:paraId="5F298191" w14:textId="0451478F"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CFRMIS holds data for approximately 25% of the regulated premises in Lancashire. As such, this dataset is not robust enough to be able to calculate risk on both premises the service is aware of and those it not aware of.</w:t>
      </w:r>
    </w:p>
    <w:p w14:paraId="3D32DE6A"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565C6DC4" w14:textId="638B5B74" w:rsidR="009D1EF8" w:rsidRPr="001B64DF" w:rsidRDefault="009D1EF8" w:rsidP="00EE44EB">
      <w:pPr>
        <w:spacing w:after="0" w:line="360" w:lineRule="auto"/>
        <w:contextualSpacing/>
        <w:jc w:val="both"/>
        <w:rPr>
          <w:rFonts w:ascii="Arial" w:eastAsia="Times New Roman" w:hAnsi="Arial" w:cs="Arial"/>
          <w:sz w:val="24"/>
          <w:szCs w:val="24"/>
          <w:lang w:eastAsia="en-GB"/>
        </w:rPr>
      </w:pPr>
      <w:proofErr w:type="spellStart"/>
      <w:r w:rsidRPr="009D1EF8">
        <w:rPr>
          <w:rFonts w:ascii="Arial" w:eastAsia="Times New Roman" w:hAnsi="Arial" w:cs="Arial"/>
          <w:sz w:val="24"/>
          <w:szCs w:val="24"/>
          <w:lang w:eastAsia="en-GB"/>
        </w:rPr>
        <w:t>AddressBase</w:t>
      </w:r>
      <w:proofErr w:type="spellEnd"/>
      <w:r w:rsidRPr="009D1EF8">
        <w:rPr>
          <w:rFonts w:ascii="Arial" w:eastAsia="Times New Roman" w:hAnsi="Arial" w:cs="Arial"/>
          <w:sz w:val="24"/>
          <w:szCs w:val="24"/>
          <w:lang w:eastAsia="en-GB"/>
        </w:rPr>
        <w:t xml:space="preserve"> is a product from Ordnance Survey which provides users with a gazetteer of all postal addresses. It is the most comprehensive and reliable database of properties available to the Service.</w:t>
      </w:r>
    </w:p>
    <w:p w14:paraId="74404DE6"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32EBED18" w14:textId="61F96BCF" w:rsidR="009D1EF8" w:rsidRPr="001B64DF" w:rsidRDefault="009D1EF8" w:rsidP="00EE44EB">
      <w:pPr>
        <w:spacing w:after="0" w:line="360" w:lineRule="auto"/>
        <w:contextualSpacing/>
        <w:jc w:val="both"/>
        <w:rPr>
          <w:rFonts w:ascii="Arial" w:eastAsia="Times New Roman" w:hAnsi="Arial" w:cs="Arial"/>
          <w:sz w:val="24"/>
          <w:szCs w:val="24"/>
          <w:lang w:eastAsia="en-GB"/>
        </w:rPr>
      </w:pPr>
      <w:proofErr w:type="spellStart"/>
      <w:r w:rsidRPr="009D1EF8">
        <w:rPr>
          <w:rFonts w:ascii="Arial" w:eastAsia="Times New Roman" w:hAnsi="Arial" w:cs="Arial"/>
          <w:sz w:val="24"/>
          <w:szCs w:val="24"/>
          <w:lang w:eastAsia="en-GB"/>
        </w:rPr>
        <w:t>AddressBase</w:t>
      </w:r>
      <w:proofErr w:type="spellEnd"/>
      <w:r w:rsidRPr="009D1EF8">
        <w:rPr>
          <w:rFonts w:ascii="Arial" w:eastAsia="Times New Roman" w:hAnsi="Arial" w:cs="Arial"/>
          <w:sz w:val="24"/>
          <w:szCs w:val="24"/>
          <w:lang w:eastAsia="en-GB"/>
        </w:rPr>
        <w:t xml:space="preserve"> is continually updated; the custodian, responsible for the currency and accuracy of the dataset, is the Local Authority.</w:t>
      </w:r>
    </w:p>
    <w:p w14:paraId="38A9DCC2"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1FF372FC" w14:textId="179B71D0"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lastRenderedPageBreak/>
        <w:t xml:space="preserve">The Service uses the </w:t>
      </w:r>
      <w:proofErr w:type="spellStart"/>
      <w:r w:rsidRPr="009D1EF8">
        <w:rPr>
          <w:rFonts w:ascii="Arial" w:eastAsia="Times New Roman" w:hAnsi="Arial" w:cs="Arial"/>
          <w:sz w:val="24"/>
          <w:szCs w:val="24"/>
          <w:lang w:eastAsia="en-GB"/>
        </w:rPr>
        <w:t>AddressBase</w:t>
      </w:r>
      <w:proofErr w:type="spellEnd"/>
      <w:r w:rsidRPr="009D1EF8">
        <w:rPr>
          <w:rFonts w:ascii="Arial" w:eastAsia="Times New Roman" w:hAnsi="Arial" w:cs="Arial"/>
          <w:sz w:val="24"/>
          <w:szCs w:val="24"/>
          <w:lang w:eastAsia="en-GB"/>
        </w:rPr>
        <w:t xml:space="preserve"> gazetteer to create a record for </w:t>
      </w:r>
      <w:r w:rsidR="0001722A" w:rsidRPr="009D1EF8">
        <w:rPr>
          <w:rFonts w:ascii="Arial" w:eastAsia="Times New Roman" w:hAnsi="Arial" w:cs="Arial"/>
          <w:sz w:val="24"/>
          <w:szCs w:val="24"/>
          <w:lang w:eastAsia="en-GB"/>
        </w:rPr>
        <w:t>each</w:t>
      </w:r>
      <w:r w:rsidRPr="009D1EF8">
        <w:rPr>
          <w:rFonts w:ascii="Arial" w:eastAsia="Times New Roman" w:hAnsi="Arial" w:cs="Arial"/>
          <w:sz w:val="24"/>
          <w:szCs w:val="24"/>
          <w:lang w:eastAsia="en-GB"/>
        </w:rPr>
        <w:t xml:space="preserve"> listed address in Lancashire. One of the key pieces of information in this is the </w:t>
      </w:r>
      <w:r w:rsidR="00CD14AB" w:rsidRPr="004563E5">
        <w:rPr>
          <w:rFonts w:ascii="Arial" w:hAnsi="Arial" w:cs="Arial"/>
          <w:color w:val="000000"/>
          <w:sz w:val="24"/>
          <w:szCs w:val="24"/>
          <w:shd w:val="clear" w:color="auto" w:fill="F8F8F8"/>
        </w:rPr>
        <w:t>Basic Land and Property Unit (</w:t>
      </w:r>
      <w:proofErr w:type="spellStart"/>
      <w:r w:rsidR="00CD14AB" w:rsidRPr="004563E5">
        <w:rPr>
          <w:rFonts w:ascii="Arial" w:hAnsi="Arial" w:cs="Arial"/>
          <w:color w:val="000000"/>
          <w:sz w:val="24"/>
          <w:szCs w:val="24"/>
          <w:shd w:val="clear" w:color="auto" w:fill="F8F8F8"/>
        </w:rPr>
        <w:t>BLPU</w:t>
      </w:r>
      <w:proofErr w:type="spellEnd"/>
      <w:r w:rsidR="00CD14AB" w:rsidRPr="004563E5">
        <w:rPr>
          <w:rFonts w:ascii="Arial" w:hAnsi="Arial" w:cs="Arial"/>
          <w:color w:val="000000"/>
          <w:sz w:val="24"/>
          <w:szCs w:val="24"/>
          <w:shd w:val="clear" w:color="auto" w:fill="F8F8F8"/>
        </w:rPr>
        <w:t>)</w:t>
      </w:r>
      <w:r w:rsidR="00CD14AB">
        <w:rPr>
          <w:rFonts w:ascii="Arial" w:hAnsi="Arial" w:cs="Arial"/>
          <w:color w:val="000000"/>
          <w:sz w:val="24"/>
          <w:szCs w:val="24"/>
          <w:shd w:val="clear" w:color="auto" w:fill="F8F8F8"/>
        </w:rPr>
        <w:t xml:space="preserve"> classification which </w:t>
      </w:r>
      <w:r w:rsidR="00CD14AB">
        <w:rPr>
          <w:rFonts w:ascii="Arial" w:eastAsia="Times New Roman" w:hAnsi="Arial" w:cs="Arial"/>
          <w:sz w:val="24"/>
          <w:szCs w:val="24"/>
          <w:lang w:eastAsia="en-GB"/>
        </w:rPr>
        <w:t>is used to as</w:t>
      </w:r>
      <w:r w:rsidRPr="009D1EF8">
        <w:rPr>
          <w:rFonts w:ascii="Arial" w:eastAsia="Times New Roman" w:hAnsi="Arial" w:cs="Arial"/>
          <w:sz w:val="24"/>
          <w:szCs w:val="24"/>
          <w:lang w:eastAsia="en-GB"/>
        </w:rPr>
        <w:t xml:space="preserve">certain the FSEC </w:t>
      </w:r>
      <w:r w:rsidR="00CD14AB">
        <w:rPr>
          <w:rFonts w:ascii="Arial" w:eastAsia="Times New Roman" w:hAnsi="Arial" w:cs="Arial"/>
          <w:sz w:val="24"/>
          <w:szCs w:val="24"/>
          <w:lang w:eastAsia="en-GB"/>
        </w:rPr>
        <w:t>information</w:t>
      </w:r>
      <w:r w:rsidRPr="009D1EF8">
        <w:rPr>
          <w:rFonts w:ascii="Arial" w:eastAsia="Times New Roman" w:hAnsi="Arial" w:cs="Arial"/>
          <w:sz w:val="24"/>
          <w:szCs w:val="24"/>
          <w:lang w:eastAsia="en-GB"/>
        </w:rPr>
        <w:t xml:space="preserve"> for the premises. Once this information is linked, it is then possible to differentiate between Unregulated Premises (Private Dwellings) and Regulated Premises (Premises falling under the Fire Safety Order).</w:t>
      </w:r>
    </w:p>
    <w:p w14:paraId="3CA3BBE6"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598EE90A" w14:textId="5D88C4FC" w:rsidR="009D1EF8" w:rsidRPr="009D1EF8"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As every pre</w:t>
      </w:r>
      <w:r w:rsidR="00CD14AB">
        <w:rPr>
          <w:rFonts w:ascii="Arial" w:eastAsia="Times New Roman" w:hAnsi="Arial" w:cs="Arial"/>
          <w:sz w:val="24"/>
          <w:szCs w:val="24"/>
          <w:lang w:eastAsia="en-GB"/>
        </w:rPr>
        <w:t xml:space="preserve">mises LFRS inspect has </w:t>
      </w:r>
      <w:r w:rsidRPr="009D1EF8">
        <w:rPr>
          <w:rFonts w:ascii="Arial" w:eastAsia="Times New Roman" w:hAnsi="Arial" w:cs="Arial"/>
          <w:sz w:val="24"/>
          <w:szCs w:val="24"/>
          <w:lang w:eastAsia="en-GB"/>
        </w:rPr>
        <w:t xml:space="preserve">a record created in CFRMIS, information and characteristics can be associated with each address, allowing the Service to create a </w:t>
      </w:r>
      <w:r w:rsidR="00CD14AB">
        <w:rPr>
          <w:rFonts w:ascii="Arial" w:eastAsia="Times New Roman" w:hAnsi="Arial" w:cs="Arial"/>
          <w:sz w:val="24"/>
          <w:szCs w:val="24"/>
          <w:lang w:eastAsia="en-GB"/>
        </w:rPr>
        <w:t xml:space="preserve">more detailed </w:t>
      </w:r>
      <w:r w:rsidRPr="009D1EF8">
        <w:rPr>
          <w:rFonts w:ascii="Arial" w:eastAsia="Times New Roman" w:hAnsi="Arial" w:cs="Arial"/>
          <w:sz w:val="24"/>
          <w:szCs w:val="24"/>
          <w:lang w:eastAsia="en-GB"/>
        </w:rPr>
        <w:t>profile of each individual premises</w:t>
      </w:r>
      <w:r w:rsidR="00CD14AB">
        <w:rPr>
          <w:rFonts w:ascii="Arial" w:eastAsia="Times New Roman" w:hAnsi="Arial" w:cs="Arial"/>
          <w:sz w:val="24"/>
          <w:szCs w:val="24"/>
          <w:lang w:eastAsia="en-GB"/>
        </w:rPr>
        <w:t xml:space="preserve"> overtime</w:t>
      </w:r>
      <w:r w:rsidRPr="009D1EF8">
        <w:rPr>
          <w:rFonts w:ascii="Arial" w:eastAsia="Times New Roman" w:hAnsi="Arial" w:cs="Arial"/>
          <w:sz w:val="24"/>
          <w:szCs w:val="24"/>
          <w:lang w:eastAsia="en-GB"/>
        </w:rPr>
        <w:t>.</w:t>
      </w:r>
    </w:p>
    <w:p w14:paraId="5A8F0703" w14:textId="77777777" w:rsidR="009D1EF8" w:rsidRPr="009D1EF8" w:rsidRDefault="009D1EF8" w:rsidP="00EE44EB">
      <w:pPr>
        <w:spacing w:after="0" w:line="360" w:lineRule="auto"/>
        <w:ind w:left="284" w:hanging="284"/>
        <w:contextualSpacing/>
        <w:jc w:val="both"/>
        <w:rPr>
          <w:rFonts w:ascii="Arial" w:eastAsia="Times New Roman" w:hAnsi="Arial" w:cs="Arial"/>
          <w:sz w:val="24"/>
          <w:szCs w:val="24"/>
          <w:lang w:eastAsia="en-GB"/>
        </w:rPr>
      </w:pPr>
    </w:p>
    <w:p w14:paraId="337D7314" w14:textId="161C212C" w:rsidR="009D1EF8" w:rsidRPr="002D45FE" w:rsidRDefault="004D1BD1" w:rsidP="00EE44EB">
      <w:pPr>
        <w:pStyle w:val="Heading1"/>
        <w:spacing w:before="0" w:line="360" w:lineRule="auto"/>
        <w:rPr>
          <w:rFonts w:ascii="Arial" w:eastAsia="Times New Roman" w:hAnsi="Arial" w:cs="Arial"/>
          <w:lang w:val="en" w:eastAsia="en-GB"/>
        </w:rPr>
      </w:pPr>
      <w:bookmarkStart w:id="6" w:name="_Toc85469284"/>
      <w:r>
        <w:rPr>
          <w:rFonts w:ascii="Arial" w:eastAsia="Times New Roman" w:hAnsi="Arial" w:cs="Arial"/>
          <w:lang w:val="en" w:eastAsia="en-GB"/>
        </w:rPr>
        <w:t>Calculating the overall risk score</w:t>
      </w:r>
      <w:bookmarkEnd w:id="6"/>
    </w:p>
    <w:p w14:paraId="2366325C" w14:textId="719E31B2" w:rsidR="009D1EF8" w:rsidRPr="009D1EF8"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In 2018, LFRS developed a new methodology that started with the Mott M</w:t>
      </w:r>
      <w:r w:rsidR="00EF76CA">
        <w:rPr>
          <w:rFonts w:ascii="Arial" w:eastAsia="Times New Roman" w:hAnsi="Arial" w:cs="Arial"/>
          <w:sz w:val="24"/>
          <w:szCs w:val="24"/>
          <w:lang w:eastAsia="en-GB"/>
        </w:rPr>
        <w:t>a</w:t>
      </w:r>
      <w:r w:rsidRPr="009D1EF8">
        <w:rPr>
          <w:rFonts w:ascii="Arial" w:eastAsia="Times New Roman" w:hAnsi="Arial" w:cs="Arial"/>
          <w:sz w:val="24"/>
          <w:szCs w:val="24"/>
          <w:lang w:eastAsia="en-GB"/>
        </w:rPr>
        <w:t>cDonald (Median) score and then multiplied by a series of weighting factors:</w:t>
      </w:r>
    </w:p>
    <w:p w14:paraId="22A6C3AC" w14:textId="77777777" w:rsidR="009D1EF8" w:rsidRPr="009D1EF8" w:rsidRDefault="009D1EF8" w:rsidP="00EE44EB">
      <w:pPr>
        <w:numPr>
          <w:ilvl w:val="2"/>
          <w:numId w:val="1"/>
        </w:numPr>
        <w:spacing w:after="0" w:line="360" w:lineRule="auto"/>
        <w:ind w:left="567" w:hanging="283"/>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Public Harm (Score of up to 3)</w:t>
      </w:r>
    </w:p>
    <w:p w14:paraId="72AD6590" w14:textId="77777777" w:rsidR="009D1EF8" w:rsidRPr="009D1EF8" w:rsidRDefault="009D1EF8" w:rsidP="00EE44EB">
      <w:pPr>
        <w:numPr>
          <w:ilvl w:val="2"/>
          <w:numId w:val="1"/>
        </w:numPr>
        <w:spacing w:after="0" w:line="360" w:lineRule="auto"/>
        <w:ind w:left="567" w:hanging="283"/>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Emergency Responder (Score of up to 1.5)</w:t>
      </w:r>
    </w:p>
    <w:p w14:paraId="011E3B7B" w14:textId="77777777" w:rsidR="009D1EF8" w:rsidRPr="009D1EF8" w:rsidRDefault="009D1EF8" w:rsidP="00EE44EB">
      <w:pPr>
        <w:numPr>
          <w:ilvl w:val="2"/>
          <w:numId w:val="1"/>
        </w:numPr>
        <w:spacing w:after="0" w:line="360" w:lineRule="auto"/>
        <w:ind w:left="567" w:hanging="283"/>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Economic Value (Score of up to 1.5)</w:t>
      </w:r>
    </w:p>
    <w:p w14:paraId="7FDC7C07" w14:textId="77777777" w:rsidR="009D1EF8" w:rsidRPr="009D1EF8" w:rsidRDefault="009D1EF8" w:rsidP="00EE44EB">
      <w:pPr>
        <w:numPr>
          <w:ilvl w:val="2"/>
          <w:numId w:val="1"/>
        </w:numPr>
        <w:spacing w:after="0" w:line="360" w:lineRule="auto"/>
        <w:ind w:left="567" w:hanging="283"/>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Environment (Score of up to 1.5)</w:t>
      </w:r>
    </w:p>
    <w:p w14:paraId="488F080A" w14:textId="77777777" w:rsidR="009D1EF8" w:rsidRPr="009D1EF8" w:rsidRDefault="009D1EF8" w:rsidP="00EE44EB">
      <w:pPr>
        <w:numPr>
          <w:ilvl w:val="2"/>
          <w:numId w:val="1"/>
        </w:numPr>
        <w:spacing w:after="0" w:line="360" w:lineRule="auto"/>
        <w:ind w:left="567" w:hanging="283"/>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Heritage (Score of up to 1.5)</w:t>
      </w:r>
    </w:p>
    <w:p w14:paraId="32343170" w14:textId="77777777" w:rsidR="009D1EF8" w:rsidRPr="009D1EF8" w:rsidRDefault="009D1EF8" w:rsidP="00EE44EB">
      <w:pPr>
        <w:numPr>
          <w:ilvl w:val="2"/>
          <w:numId w:val="1"/>
        </w:numPr>
        <w:spacing w:after="0" w:line="360" w:lineRule="auto"/>
        <w:ind w:left="567" w:hanging="283"/>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Social and Community (Score of up to 1.5)</w:t>
      </w:r>
    </w:p>
    <w:p w14:paraId="5C9CC546" w14:textId="22E32132" w:rsidR="009D1EF8" w:rsidRPr="009D1EF8"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The resulting score was used to rank premises in order of risk.</w:t>
      </w:r>
      <w:r w:rsidR="00E34F53" w:rsidRPr="001B64DF">
        <w:rPr>
          <w:rFonts w:ascii="Arial" w:eastAsia="Times New Roman" w:hAnsi="Arial" w:cs="Arial"/>
          <w:sz w:val="24"/>
          <w:szCs w:val="24"/>
          <w:lang w:eastAsia="en-GB"/>
        </w:rPr>
        <w:t xml:space="preserve"> </w:t>
      </w:r>
      <w:r w:rsidRPr="009D1EF8">
        <w:rPr>
          <w:rFonts w:ascii="Arial" w:eastAsia="Times New Roman" w:hAnsi="Arial" w:cs="Arial"/>
          <w:sz w:val="24"/>
          <w:szCs w:val="24"/>
          <w:lang w:eastAsia="en-GB"/>
        </w:rPr>
        <w:t>Scores that achieved a value of 9 or above were included in the Risk Based Inspection Programme.</w:t>
      </w:r>
    </w:p>
    <w:p w14:paraId="0548FF93" w14:textId="77777777" w:rsidR="009D1EF8" w:rsidRPr="009D1EF8" w:rsidRDefault="009D1EF8" w:rsidP="00EE44EB">
      <w:pPr>
        <w:spacing w:after="0" w:line="360" w:lineRule="auto"/>
        <w:ind w:left="720"/>
        <w:contextualSpacing/>
        <w:jc w:val="both"/>
        <w:rPr>
          <w:rFonts w:ascii="Arial" w:eastAsia="Times New Roman" w:hAnsi="Arial" w:cs="Arial"/>
          <w:sz w:val="24"/>
          <w:szCs w:val="24"/>
          <w:lang w:eastAsia="en-GB"/>
        </w:rPr>
      </w:pPr>
    </w:p>
    <w:p w14:paraId="14A41C03" w14:textId="69720D8B" w:rsidR="009D1EF8" w:rsidRDefault="009D1EF8" w:rsidP="00EE44EB">
      <w:pPr>
        <w:spacing w:after="0" w:line="360" w:lineRule="auto"/>
        <w:jc w:val="both"/>
        <w:rPr>
          <w:rFonts w:ascii="Arial" w:eastAsia="Times New Roman" w:hAnsi="Arial" w:cs="Arial"/>
          <w:sz w:val="24"/>
          <w:szCs w:val="24"/>
          <w:lang w:eastAsia="en-GB"/>
        </w:rPr>
      </w:pPr>
      <w:r w:rsidRPr="001B64DF">
        <w:rPr>
          <w:rFonts w:ascii="Arial" w:eastAsia="Times New Roman" w:hAnsi="Arial" w:cs="Arial"/>
          <w:sz w:val="24"/>
          <w:szCs w:val="24"/>
          <w:lang w:eastAsia="en-GB"/>
        </w:rPr>
        <w:t>The Mott M</w:t>
      </w:r>
      <w:r w:rsidR="00EF76CA">
        <w:rPr>
          <w:rFonts w:ascii="Arial" w:eastAsia="Times New Roman" w:hAnsi="Arial" w:cs="Arial"/>
          <w:sz w:val="24"/>
          <w:szCs w:val="24"/>
          <w:lang w:eastAsia="en-GB"/>
        </w:rPr>
        <w:t>a</w:t>
      </w:r>
      <w:r w:rsidRPr="001B64DF">
        <w:rPr>
          <w:rFonts w:ascii="Arial" w:eastAsia="Times New Roman" w:hAnsi="Arial" w:cs="Arial"/>
          <w:sz w:val="24"/>
          <w:szCs w:val="24"/>
          <w:lang w:eastAsia="en-GB"/>
        </w:rPr>
        <w:t>cDonald value system has a bandwidth of 2.0 between the highest score for each FSEC code and the lowest, i.e. Purpose-Built Flats (VH=6.03, VL=4.03). Each of these values also has a median score, i.e. Purpose-Built Flats =5.03.</w:t>
      </w:r>
    </w:p>
    <w:p w14:paraId="577E71AD" w14:textId="77777777" w:rsidR="00EE44EB" w:rsidRPr="001B64DF" w:rsidRDefault="00EE44EB" w:rsidP="00EE44EB">
      <w:pPr>
        <w:spacing w:after="0" w:line="360" w:lineRule="auto"/>
        <w:jc w:val="both"/>
        <w:rPr>
          <w:rFonts w:ascii="Arial" w:eastAsia="Times New Roman" w:hAnsi="Arial" w:cs="Arial"/>
          <w:sz w:val="24"/>
          <w:szCs w:val="24"/>
          <w:lang w:eastAsia="en-GB"/>
        </w:rPr>
      </w:pPr>
    </w:p>
    <w:p w14:paraId="76D355DC" w14:textId="427B6231" w:rsidR="009D1EF8" w:rsidRPr="001B64DF" w:rsidRDefault="009D1EF8" w:rsidP="00EE44EB">
      <w:pPr>
        <w:spacing w:after="0" w:line="360" w:lineRule="auto"/>
        <w:jc w:val="both"/>
        <w:rPr>
          <w:rFonts w:ascii="Arial" w:eastAsia="Times New Roman" w:hAnsi="Arial" w:cs="Arial"/>
          <w:sz w:val="24"/>
          <w:szCs w:val="24"/>
          <w:lang w:eastAsia="en-GB"/>
        </w:rPr>
      </w:pPr>
      <w:r w:rsidRPr="001B64DF">
        <w:rPr>
          <w:rFonts w:ascii="Arial" w:eastAsia="Times New Roman" w:hAnsi="Arial" w:cs="Arial"/>
          <w:sz w:val="24"/>
          <w:szCs w:val="24"/>
          <w:lang w:eastAsia="en-GB"/>
        </w:rPr>
        <w:t>As each of the scores from the Category of Harm can have the maximum effect of changing the score by +/-0.2, the combined effect of the full range of scores (5) will not change the score by more than +/-1.0, i.e. a Purpose-Built flats premises with a median score of 5.03, which achieves the highest score in EVERY of the Categories of Harm, would achieve a score of 6.03 (equal to the Mott</w:t>
      </w:r>
      <w:r w:rsidR="00203A3F">
        <w:rPr>
          <w:rFonts w:ascii="Arial" w:eastAsia="Times New Roman" w:hAnsi="Arial" w:cs="Arial"/>
          <w:sz w:val="24"/>
          <w:szCs w:val="24"/>
          <w:lang w:eastAsia="en-GB"/>
        </w:rPr>
        <w:t xml:space="preserve"> </w:t>
      </w:r>
      <w:r w:rsidRPr="001B64DF">
        <w:rPr>
          <w:rFonts w:ascii="Arial" w:eastAsia="Times New Roman" w:hAnsi="Arial" w:cs="Arial"/>
          <w:sz w:val="24"/>
          <w:szCs w:val="24"/>
          <w:lang w:eastAsia="en-GB"/>
        </w:rPr>
        <w:t>M</w:t>
      </w:r>
      <w:r w:rsidR="00EF76CA">
        <w:rPr>
          <w:rFonts w:ascii="Arial" w:eastAsia="Times New Roman" w:hAnsi="Arial" w:cs="Arial"/>
          <w:sz w:val="24"/>
          <w:szCs w:val="24"/>
          <w:lang w:eastAsia="en-GB"/>
        </w:rPr>
        <w:t>a</w:t>
      </w:r>
      <w:r w:rsidRPr="001B64DF">
        <w:rPr>
          <w:rFonts w:ascii="Arial" w:eastAsia="Times New Roman" w:hAnsi="Arial" w:cs="Arial"/>
          <w:sz w:val="24"/>
          <w:szCs w:val="24"/>
          <w:lang w:eastAsia="en-GB"/>
        </w:rPr>
        <w:t xml:space="preserve">cDonald </w:t>
      </w:r>
      <w:proofErr w:type="spellStart"/>
      <w:r w:rsidRPr="001B64DF">
        <w:rPr>
          <w:rFonts w:ascii="Arial" w:eastAsia="Times New Roman" w:hAnsi="Arial" w:cs="Arial"/>
          <w:sz w:val="24"/>
          <w:szCs w:val="24"/>
          <w:lang w:eastAsia="en-GB"/>
        </w:rPr>
        <w:t>VH</w:t>
      </w:r>
      <w:proofErr w:type="spellEnd"/>
      <w:r w:rsidRPr="001B64DF">
        <w:rPr>
          <w:rFonts w:ascii="Arial" w:eastAsia="Times New Roman" w:hAnsi="Arial" w:cs="Arial"/>
          <w:sz w:val="24"/>
          <w:szCs w:val="24"/>
          <w:lang w:eastAsia="en-GB"/>
        </w:rPr>
        <w:t xml:space="preserve"> value), the same </w:t>
      </w:r>
      <w:r w:rsidRPr="001B64DF">
        <w:rPr>
          <w:rFonts w:ascii="Arial" w:eastAsia="Times New Roman" w:hAnsi="Arial" w:cs="Arial"/>
          <w:sz w:val="24"/>
          <w:szCs w:val="24"/>
          <w:lang w:eastAsia="en-GB"/>
        </w:rPr>
        <w:lastRenderedPageBreak/>
        <w:t>premises, achieving the lowest score in EVERY of the Categories of Harm, would achieve a score of 4.03 (equal to the Mott</w:t>
      </w:r>
      <w:r w:rsidR="00203A3F">
        <w:rPr>
          <w:rFonts w:ascii="Arial" w:eastAsia="Times New Roman" w:hAnsi="Arial" w:cs="Arial"/>
          <w:sz w:val="24"/>
          <w:szCs w:val="24"/>
          <w:lang w:eastAsia="en-GB"/>
        </w:rPr>
        <w:t xml:space="preserve"> </w:t>
      </w:r>
      <w:r w:rsidRPr="001B64DF">
        <w:rPr>
          <w:rFonts w:ascii="Arial" w:eastAsia="Times New Roman" w:hAnsi="Arial" w:cs="Arial"/>
          <w:sz w:val="24"/>
          <w:szCs w:val="24"/>
          <w:lang w:eastAsia="en-GB"/>
        </w:rPr>
        <w:t>M</w:t>
      </w:r>
      <w:r w:rsidR="00EF76CA">
        <w:rPr>
          <w:rFonts w:ascii="Arial" w:eastAsia="Times New Roman" w:hAnsi="Arial" w:cs="Arial"/>
          <w:sz w:val="24"/>
          <w:szCs w:val="24"/>
          <w:lang w:eastAsia="en-GB"/>
        </w:rPr>
        <w:t>a</w:t>
      </w:r>
      <w:r w:rsidRPr="001B64DF">
        <w:rPr>
          <w:rFonts w:ascii="Arial" w:eastAsia="Times New Roman" w:hAnsi="Arial" w:cs="Arial"/>
          <w:sz w:val="24"/>
          <w:szCs w:val="24"/>
          <w:lang w:eastAsia="en-GB"/>
        </w:rPr>
        <w:t xml:space="preserve">cDonald </w:t>
      </w:r>
      <w:proofErr w:type="spellStart"/>
      <w:r w:rsidRPr="001B64DF">
        <w:rPr>
          <w:rFonts w:ascii="Arial" w:eastAsia="Times New Roman" w:hAnsi="Arial" w:cs="Arial"/>
          <w:sz w:val="24"/>
          <w:szCs w:val="24"/>
          <w:lang w:eastAsia="en-GB"/>
        </w:rPr>
        <w:t>VL</w:t>
      </w:r>
      <w:proofErr w:type="spellEnd"/>
      <w:r w:rsidRPr="001B64DF">
        <w:rPr>
          <w:rFonts w:ascii="Arial" w:eastAsia="Times New Roman" w:hAnsi="Arial" w:cs="Arial"/>
          <w:sz w:val="24"/>
          <w:szCs w:val="24"/>
          <w:lang w:eastAsia="en-GB"/>
        </w:rPr>
        <w:t xml:space="preserve"> value)</w:t>
      </w:r>
    </w:p>
    <w:p w14:paraId="2491D0A9" w14:textId="1272D1C9" w:rsidR="009D1EF8"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The resulting score can be remapped against the full range of Mott M</w:t>
      </w:r>
      <w:r w:rsidR="00EF76CA">
        <w:rPr>
          <w:rFonts w:ascii="Arial" w:eastAsia="Times New Roman" w:hAnsi="Arial" w:cs="Arial"/>
          <w:sz w:val="24"/>
          <w:szCs w:val="24"/>
          <w:lang w:eastAsia="en-GB"/>
        </w:rPr>
        <w:t>a</w:t>
      </w:r>
      <w:r w:rsidRPr="009D1EF8">
        <w:rPr>
          <w:rFonts w:ascii="Arial" w:eastAsia="Times New Roman" w:hAnsi="Arial" w:cs="Arial"/>
          <w:sz w:val="24"/>
          <w:szCs w:val="24"/>
          <w:lang w:eastAsia="en-GB"/>
        </w:rPr>
        <w:t xml:space="preserve">cDonald values and a risk level (VH, H, M, L, </w:t>
      </w:r>
      <w:proofErr w:type="spellStart"/>
      <w:r w:rsidRPr="009D1EF8">
        <w:rPr>
          <w:rFonts w:ascii="Arial" w:eastAsia="Times New Roman" w:hAnsi="Arial" w:cs="Arial"/>
          <w:sz w:val="24"/>
          <w:szCs w:val="24"/>
          <w:lang w:eastAsia="en-GB"/>
        </w:rPr>
        <w:t>VL</w:t>
      </w:r>
      <w:proofErr w:type="spellEnd"/>
      <w:r w:rsidRPr="009D1EF8">
        <w:rPr>
          <w:rFonts w:ascii="Arial" w:eastAsia="Times New Roman" w:hAnsi="Arial" w:cs="Arial"/>
          <w:sz w:val="24"/>
          <w:szCs w:val="24"/>
          <w:lang w:eastAsia="en-GB"/>
        </w:rPr>
        <w:t>) can be applied.</w:t>
      </w:r>
    </w:p>
    <w:p w14:paraId="4BC5584E" w14:textId="77777777" w:rsidR="00A044E7" w:rsidRPr="009D1EF8" w:rsidRDefault="00A044E7" w:rsidP="00EE44EB">
      <w:pPr>
        <w:spacing w:after="0" w:line="360" w:lineRule="auto"/>
        <w:contextualSpacing/>
        <w:jc w:val="both"/>
        <w:rPr>
          <w:rFonts w:ascii="Arial" w:eastAsia="Times New Roman" w:hAnsi="Arial" w:cs="Arial"/>
          <w:sz w:val="24"/>
          <w:szCs w:val="24"/>
          <w:lang w:eastAsia="en-GB"/>
        </w:rPr>
      </w:pPr>
    </w:p>
    <w:p w14:paraId="08FEA110" w14:textId="59E6D9A5"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By taking the median Mott M</w:t>
      </w:r>
      <w:r w:rsidR="00EF76CA">
        <w:rPr>
          <w:rFonts w:ascii="Arial" w:eastAsia="Times New Roman" w:hAnsi="Arial" w:cs="Arial"/>
          <w:sz w:val="24"/>
          <w:szCs w:val="24"/>
          <w:lang w:eastAsia="en-GB"/>
        </w:rPr>
        <w:t>a</w:t>
      </w:r>
      <w:r w:rsidRPr="009D1EF8">
        <w:rPr>
          <w:rFonts w:ascii="Arial" w:eastAsia="Times New Roman" w:hAnsi="Arial" w:cs="Arial"/>
          <w:sz w:val="24"/>
          <w:szCs w:val="24"/>
          <w:lang w:eastAsia="en-GB"/>
        </w:rPr>
        <w:t>cDonald value, we start our calculation by using a well-researched and value-based score. We then add our Categories of Harm, which we consider to be apposite to Lancashire Risks. The resultant score is a blend of both Nationally based and service-based data. This is the COMBINED SCORE.</w:t>
      </w:r>
    </w:p>
    <w:p w14:paraId="67AA197E"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36A019D0" w14:textId="5EB7D9BD" w:rsidR="00EF76CA" w:rsidRDefault="009D1EF8" w:rsidP="00EE44EB">
      <w:pPr>
        <w:keepNext/>
        <w:spacing w:after="0" w:line="360" w:lineRule="auto"/>
        <w:jc w:val="both"/>
        <w:rPr>
          <w:rFonts w:ascii="Arial" w:eastAsia="Times New Roman" w:hAnsi="Arial" w:cs="Arial"/>
          <w:i/>
          <w:iCs/>
          <w:color w:val="44546A" w:themeColor="text2"/>
          <w:sz w:val="18"/>
          <w:szCs w:val="18"/>
          <w:lang w:eastAsia="en-GB"/>
        </w:rPr>
      </w:pPr>
      <w:r w:rsidRPr="009D1EF8">
        <w:rPr>
          <w:rFonts w:ascii="Arial" w:eastAsia="Times New Roman" w:hAnsi="Arial" w:cs="Arial"/>
          <w:i/>
          <w:iCs/>
          <w:color w:val="44546A" w:themeColor="text2"/>
          <w:sz w:val="18"/>
          <w:szCs w:val="18"/>
          <w:lang w:eastAsia="en-GB"/>
        </w:rPr>
        <w:t xml:space="preserve">Figure </w:t>
      </w:r>
      <w:r w:rsidRPr="009D1EF8">
        <w:rPr>
          <w:rFonts w:ascii="Arial" w:eastAsia="Times New Roman" w:hAnsi="Arial" w:cs="Arial"/>
          <w:i/>
          <w:iCs/>
          <w:color w:val="44546A" w:themeColor="text2"/>
          <w:sz w:val="18"/>
          <w:szCs w:val="18"/>
          <w:lang w:eastAsia="en-GB"/>
        </w:rPr>
        <w:fldChar w:fldCharType="begin"/>
      </w:r>
      <w:r w:rsidRPr="009D1EF8">
        <w:rPr>
          <w:rFonts w:ascii="Arial" w:eastAsia="Times New Roman" w:hAnsi="Arial" w:cs="Arial"/>
          <w:i/>
          <w:iCs/>
          <w:color w:val="44546A" w:themeColor="text2"/>
          <w:sz w:val="18"/>
          <w:szCs w:val="18"/>
          <w:lang w:eastAsia="en-GB"/>
        </w:rPr>
        <w:instrText xml:space="preserve"> SEQ Figure \* ARABIC </w:instrText>
      </w:r>
      <w:r w:rsidRPr="009D1EF8">
        <w:rPr>
          <w:rFonts w:ascii="Arial" w:eastAsia="Times New Roman" w:hAnsi="Arial" w:cs="Arial"/>
          <w:i/>
          <w:iCs/>
          <w:color w:val="44546A" w:themeColor="text2"/>
          <w:sz w:val="18"/>
          <w:szCs w:val="18"/>
          <w:lang w:eastAsia="en-GB"/>
        </w:rPr>
        <w:fldChar w:fldCharType="separate"/>
      </w:r>
      <w:r w:rsidR="00D81B46">
        <w:rPr>
          <w:rFonts w:ascii="Arial" w:eastAsia="Times New Roman" w:hAnsi="Arial" w:cs="Arial"/>
          <w:i/>
          <w:iCs/>
          <w:noProof/>
          <w:color w:val="44546A" w:themeColor="text2"/>
          <w:sz w:val="18"/>
          <w:szCs w:val="18"/>
          <w:lang w:eastAsia="en-GB"/>
        </w:rPr>
        <w:t>1</w:t>
      </w:r>
      <w:r w:rsidRPr="009D1EF8">
        <w:rPr>
          <w:rFonts w:ascii="Arial" w:eastAsia="Times New Roman" w:hAnsi="Arial" w:cs="Arial"/>
          <w:i/>
          <w:iCs/>
          <w:noProof/>
          <w:color w:val="44546A" w:themeColor="text2"/>
          <w:sz w:val="18"/>
          <w:szCs w:val="18"/>
          <w:lang w:eastAsia="en-GB"/>
        </w:rPr>
        <w:fldChar w:fldCharType="end"/>
      </w:r>
      <w:r w:rsidRPr="009D1EF8">
        <w:rPr>
          <w:rFonts w:ascii="Arial" w:eastAsia="Times New Roman" w:hAnsi="Arial" w:cs="Arial"/>
          <w:i/>
          <w:iCs/>
          <w:color w:val="44546A" w:themeColor="text2"/>
          <w:sz w:val="18"/>
          <w:szCs w:val="18"/>
          <w:lang w:eastAsia="en-GB"/>
        </w:rPr>
        <w:t xml:space="preserve"> – Application of Mott M</w:t>
      </w:r>
      <w:r w:rsidR="00EF76CA">
        <w:rPr>
          <w:rFonts w:ascii="Arial" w:eastAsia="Times New Roman" w:hAnsi="Arial" w:cs="Arial"/>
          <w:i/>
          <w:iCs/>
          <w:color w:val="44546A" w:themeColor="text2"/>
          <w:sz w:val="18"/>
          <w:szCs w:val="18"/>
          <w:lang w:eastAsia="en-GB"/>
        </w:rPr>
        <w:t>a</w:t>
      </w:r>
      <w:r w:rsidRPr="009D1EF8">
        <w:rPr>
          <w:rFonts w:ascii="Arial" w:eastAsia="Times New Roman" w:hAnsi="Arial" w:cs="Arial"/>
          <w:i/>
          <w:iCs/>
          <w:color w:val="44546A" w:themeColor="text2"/>
          <w:sz w:val="18"/>
          <w:szCs w:val="18"/>
          <w:lang w:eastAsia="en-GB"/>
        </w:rPr>
        <w:t>cDonald and Lancashire FRS Categories of Harm</w:t>
      </w:r>
    </w:p>
    <w:p w14:paraId="40BE7605" w14:textId="4D82083E" w:rsidR="00EF76CA" w:rsidRDefault="00EF76CA" w:rsidP="00EE44EB">
      <w:pPr>
        <w:keepNext/>
        <w:spacing w:after="0" w:line="360" w:lineRule="auto"/>
        <w:jc w:val="both"/>
        <w:rPr>
          <w:rFonts w:ascii="Arial" w:eastAsia="Times New Roman" w:hAnsi="Arial" w:cs="Arial"/>
          <w:i/>
          <w:iCs/>
          <w:color w:val="44546A" w:themeColor="text2"/>
          <w:sz w:val="18"/>
          <w:szCs w:val="18"/>
          <w:lang w:eastAsia="en-GB"/>
        </w:rPr>
      </w:pPr>
      <w:r>
        <w:rPr>
          <w:rFonts w:ascii="Arial" w:eastAsia="Times New Roman" w:hAnsi="Arial" w:cs="Arial"/>
          <w:i/>
          <w:iCs/>
          <w:noProof/>
          <w:color w:val="44546A" w:themeColor="text2"/>
          <w:sz w:val="18"/>
          <w:szCs w:val="18"/>
          <w:lang w:eastAsia="en-GB"/>
        </w:rPr>
        <w:drawing>
          <wp:inline distT="0" distB="0" distL="0" distR="0" wp14:anchorId="7C8D749E" wp14:editId="6BE83D41">
            <wp:extent cx="5042671" cy="1482090"/>
            <wp:effectExtent l="0" t="0" r="5715" b="3810"/>
            <wp:docPr id="9" name="Picture 9" descr="An infographic which shows how the Mott MacDonald value is combined with the categories of harm identified in Lancashire to produce a combined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infographic which shows how the Mott MacDonald value is combined with the categories of harm identified in Lancashire to produce a combined sco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2654" cy="1505598"/>
                    </a:xfrm>
                    <a:prstGeom prst="rect">
                      <a:avLst/>
                    </a:prstGeom>
                    <a:noFill/>
                  </pic:spPr>
                </pic:pic>
              </a:graphicData>
            </a:graphic>
          </wp:inline>
        </w:drawing>
      </w:r>
    </w:p>
    <w:p w14:paraId="6EAC2E43" w14:textId="618F94E5" w:rsidR="00EF76CA" w:rsidRDefault="00EF76CA" w:rsidP="00EE44EB">
      <w:pPr>
        <w:keepNext/>
        <w:spacing w:after="0" w:line="360" w:lineRule="auto"/>
        <w:jc w:val="both"/>
        <w:rPr>
          <w:rFonts w:ascii="Arial" w:eastAsia="Times New Roman" w:hAnsi="Arial" w:cs="Arial"/>
          <w:i/>
          <w:iCs/>
          <w:color w:val="44546A" w:themeColor="text2"/>
          <w:sz w:val="18"/>
          <w:szCs w:val="18"/>
          <w:lang w:eastAsia="en-GB"/>
        </w:rPr>
      </w:pPr>
    </w:p>
    <w:p w14:paraId="775C0187" w14:textId="77777777" w:rsidR="009D1EF8" w:rsidRPr="009D1EF8" w:rsidRDefault="009D1EF8" w:rsidP="00EE44EB">
      <w:pPr>
        <w:spacing w:after="0" w:line="360" w:lineRule="auto"/>
        <w:contextualSpacing/>
        <w:jc w:val="both"/>
        <w:rPr>
          <w:rFonts w:ascii="Arial" w:eastAsia="Times New Roman" w:hAnsi="Arial" w:cs="Arial"/>
          <w:sz w:val="24"/>
          <w:szCs w:val="24"/>
          <w:lang w:eastAsia="en-GB"/>
        </w:rPr>
      </w:pPr>
    </w:p>
    <w:p w14:paraId="1FB39DF1" w14:textId="77777777" w:rsidR="009D1EF8" w:rsidRPr="001B64DF" w:rsidRDefault="009D1EF8" w:rsidP="00EE44EB">
      <w:pPr>
        <w:pStyle w:val="Heading2"/>
        <w:spacing w:before="0" w:line="360" w:lineRule="auto"/>
        <w:rPr>
          <w:rFonts w:ascii="Arial" w:eastAsia="Times New Roman" w:hAnsi="Arial" w:cs="Arial"/>
          <w:lang w:eastAsia="en-GB"/>
        </w:rPr>
      </w:pPr>
      <w:bookmarkStart w:id="7" w:name="_Toc77267539"/>
      <w:bookmarkStart w:id="8" w:name="_Toc85469285"/>
      <w:r w:rsidRPr="001B64DF">
        <w:rPr>
          <w:rFonts w:ascii="Arial" w:eastAsia="Times New Roman" w:hAnsi="Arial" w:cs="Arial"/>
          <w:lang w:eastAsia="en-GB"/>
        </w:rPr>
        <w:t>Selection of Premises</w:t>
      </w:r>
      <w:bookmarkEnd w:id="7"/>
      <w:bookmarkEnd w:id="8"/>
      <w:r w:rsidRPr="001B64DF">
        <w:rPr>
          <w:rFonts w:ascii="Arial" w:eastAsia="Times New Roman" w:hAnsi="Arial" w:cs="Arial"/>
          <w:lang w:eastAsia="en-GB"/>
        </w:rPr>
        <w:t xml:space="preserve"> </w:t>
      </w:r>
    </w:p>
    <w:p w14:paraId="48BEF0CE" w14:textId="28A3F631"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Based on the Mott M</w:t>
      </w:r>
      <w:r w:rsidR="00EF76CA">
        <w:rPr>
          <w:rFonts w:ascii="Arial" w:eastAsia="Times New Roman" w:hAnsi="Arial" w:cs="Arial"/>
          <w:sz w:val="24"/>
          <w:szCs w:val="24"/>
          <w:lang w:eastAsia="en-GB"/>
        </w:rPr>
        <w:t>a</w:t>
      </w:r>
      <w:r w:rsidRPr="009D1EF8">
        <w:rPr>
          <w:rFonts w:ascii="Arial" w:eastAsia="Times New Roman" w:hAnsi="Arial" w:cs="Arial"/>
          <w:sz w:val="24"/>
          <w:szCs w:val="24"/>
          <w:lang w:eastAsia="en-GB"/>
        </w:rPr>
        <w:t xml:space="preserve">cDonald table and the </w:t>
      </w:r>
      <w:r w:rsidR="0001722A">
        <w:rPr>
          <w:rFonts w:ascii="Arial" w:eastAsia="Times New Roman" w:hAnsi="Arial" w:cs="Arial"/>
          <w:sz w:val="24"/>
          <w:szCs w:val="24"/>
          <w:lang w:eastAsia="en-GB"/>
        </w:rPr>
        <w:t>National Fire Chiefs Council (</w:t>
      </w:r>
      <w:proofErr w:type="spellStart"/>
      <w:r w:rsidRPr="009D1EF8">
        <w:rPr>
          <w:rFonts w:ascii="Arial" w:eastAsia="Times New Roman" w:hAnsi="Arial" w:cs="Arial"/>
          <w:sz w:val="24"/>
          <w:szCs w:val="24"/>
          <w:lang w:eastAsia="en-GB"/>
        </w:rPr>
        <w:t>NFCC</w:t>
      </w:r>
      <w:proofErr w:type="spellEnd"/>
      <w:r w:rsidR="0001722A">
        <w:rPr>
          <w:rFonts w:ascii="Arial" w:eastAsia="Times New Roman" w:hAnsi="Arial" w:cs="Arial"/>
          <w:sz w:val="24"/>
          <w:szCs w:val="24"/>
          <w:lang w:eastAsia="en-GB"/>
        </w:rPr>
        <w:t xml:space="preserve">) </w:t>
      </w:r>
      <w:r w:rsidRPr="009D1EF8">
        <w:rPr>
          <w:rFonts w:ascii="Arial" w:eastAsia="Times New Roman" w:hAnsi="Arial" w:cs="Arial"/>
          <w:sz w:val="24"/>
          <w:szCs w:val="24"/>
          <w:lang w:eastAsia="en-GB"/>
        </w:rPr>
        <w:t xml:space="preserve">Competency </w:t>
      </w:r>
      <w:r w:rsidR="007D35AC" w:rsidRPr="00582423">
        <w:rPr>
          <w:rFonts w:ascii="Arial" w:eastAsia="Times New Roman" w:hAnsi="Arial" w:cs="Arial"/>
          <w:sz w:val="24"/>
          <w:szCs w:val="24"/>
          <w:lang w:eastAsia="en-GB"/>
        </w:rPr>
        <w:t>Framework</w:t>
      </w:r>
      <w:r w:rsidR="007D35AC" w:rsidRPr="004563E5">
        <w:rPr>
          <w:rFonts w:ascii="Arial" w:hAnsi="Arial" w:cs="Arial"/>
          <w:sz w:val="24"/>
          <w:szCs w:val="24"/>
        </w:rPr>
        <w:t xml:space="preserve"> which</w:t>
      </w:r>
      <w:r w:rsidR="00582423" w:rsidRPr="004563E5">
        <w:rPr>
          <w:rFonts w:ascii="Arial" w:hAnsi="Arial" w:cs="Arial"/>
          <w:sz w:val="24"/>
          <w:szCs w:val="24"/>
        </w:rPr>
        <w:t xml:space="preserve"> </w:t>
      </w:r>
      <w:r w:rsidR="00203A3F" w:rsidRPr="004563E5">
        <w:rPr>
          <w:rFonts w:ascii="Arial" w:hAnsi="Arial" w:cs="Arial"/>
          <w:sz w:val="24"/>
          <w:szCs w:val="24"/>
        </w:rPr>
        <w:t>provide</w:t>
      </w:r>
      <w:r w:rsidR="00582423" w:rsidRPr="00582423">
        <w:rPr>
          <w:rFonts w:ascii="Arial" w:hAnsi="Arial" w:cs="Arial"/>
          <w:sz w:val="24"/>
          <w:szCs w:val="24"/>
        </w:rPr>
        <w:t>s</w:t>
      </w:r>
      <w:r w:rsidR="00203A3F" w:rsidRPr="004563E5">
        <w:rPr>
          <w:rFonts w:ascii="Arial" w:hAnsi="Arial" w:cs="Arial"/>
          <w:sz w:val="24"/>
          <w:szCs w:val="24"/>
        </w:rPr>
        <w:t xml:space="preserve"> a clear framework for Enforcing Authorities to follow to achieve, maintain and demonstrate appropriate standards of competency within their workforce</w:t>
      </w:r>
      <w:r w:rsidRPr="00582423">
        <w:rPr>
          <w:rFonts w:ascii="Arial" w:eastAsia="Times New Roman" w:hAnsi="Arial" w:cs="Arial"/>
          <w:sz w:val="24"/>
          <w:szCs w:val="24"/>
          <w:lang w:eastAsia="en-GB"/>
        </w:rPr>
        <w:t>,</w:t>
      </w:r>
      <w:r w:rsidRPr="009D1EF8">
        <w:rPr>
          <w:rFonts w:ascii="Arial" w:eastAsia="Times New Roman" w:hAnsi="Arial" w:cs="Arial"/>
          <w:sz w:val="24"/>
          <w:szCs w:val="24"/>
          <w:lang w:eastAsia="en-GB"/>
        </w:rPr>
        <w:t xml:space="preserve"> the scored premises are divided into </w:t>
      </w:r>
      <w:r w:rsidR="00E34F53" w:rsidRPr="001B64DF">
        <w:rPr>
          <w:rFonts w:ascii="Arial" w:eastAsia="Times New Roman" w:hAnsi="Arial" w:cs="Arial"/>
          <w:sz w:val="24"/>
          <w:szCs w:val="24"/>
          <w:lang w:eastAsia="en-GB"/>
        </w:rPr>
        <w:t>several</w:t>
      </w:r>
      <w:r w:rsidRPr="009D1EF8">
        <w:rPr>
          <w:rFonts w:ascii="Arial" w:eastAsia="Times New Roman" w:hAnsi="Arial" w:cs="Arial"/>
          <w:sz w:val="24"/>
          <w:szCs w:val="24"/>
          <w:lang w:eastAsia="en-GB"/>
        </w:rPr>
        <w:t xml:space="preserve"> discrete work areas</w:t>
      </w:r>
      <w:r w:rsidR="00582423">
        <w:rPr>
          <w:rFonts w:ascii="Arial" w:eastAsia="Times New Roman" w:hAnsi="Arial" w:cs="Arial"/>
          <w:sz w:val="24"/>
          <w:szCs w:val="24"/>
          <w:lang w:eastAsia="en-GB"/>
        </w:rPr>
        <w:t xml:space="preserve"> aligned to the competence of staff</w:t>
      </w:r>
      <w:r w:rsidRPr="009D1EF8">
        <w:rPr>
          <w:rFonts w:ascii="Arial" w:eastAsia="Times New Roman" w:hAnsi="Arial" w:cs="Arial"/>
          <w:sz w:val="24"/>
          <w:szCs w:val="24"/>
          <w:lang w:eastAsia="en-GB"/>
        </w:rPr>
        <w:t>:</w:t>
      </w:r>
    </w:p>
    <w:p w14:paraId="1A541FD1"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6028E8E6" w14:textId="7F1D2935"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b/>
          <w:sz w:val="24"/>
          <w:szCs w:val="24"/>
          <w:lang w:eastAsia="en-GB"/>
        </w:rPr>
        <w:t>High Risk Residential Premises</w:t>
      </w:r>
      <w:r w:rsidRPr="009D1EF8">
        <w:rPr>
          <w:rFonts w:ascii="Arial" w:eastAsia="Times New Roman" w:hAnsi="Arial" w:cs="Arial"/>
          <w:sz w:val="24"/>
          <w:szCs w:val="24"/>
          <w:lang w:eastAsia="en-GB"/>
        </w:rPr>
        <w:t xml:space="preserve"> These are all </w:t>
      </w:r>
      <w:r w:rsidR="004D1BD1">
        <w:rPr>
          <w:rFonts w:ascii="Arial" w:eastAsia="Times New Roman" w:hAnsi="Arial" w:cs="Arial"/>
          <w:sz w:val="24"/>
          <w:szCs w:val="24"/>
          <w:lang w:eastAsia="en-GB"/>
        </w:rPr>
        <w:t>7</w:t>
      </w:r>
      <w:r w:rsidRPr="009D1EF8">
        <w:rPr>
          <w:rFonts w:ascii="Arial" w:eastAsia="Times New Roman" w:hAnsi="Arial" w:cs="Arial"/>
          <w:sz w:val="24"/>
          <w:szCs w:val="24"/>
          <w:lang w:eastAsia="en-GB"/>
        </w:rPr>
        <w:t xml:space="preserve"> storeys and </w:t>
      </w:r>
      <w:r w:rsidR="00E34F53" w:rsidRPr="001B64DF">
        <w:rPr>
          <w:rFonts w:ascii="Arial" w:eastAsia="Times New Roman" w:hAnsi="Arial" w:cs="Arial"/>
          <w:sz w:val="24"/>
          <w:szCs w:val="24"/>
          <w:lang w:eastAsia="en-GB"/>
        </w:rPr>
        <w:t>above residential</w:t>
      </w:r>
      <w:r w:rsidRPr="009D1EF8">
        <w:rPr>
          <w:rFonts w:ascii="Arial" w:eastAsia="Times New Roman" w:hAnsi="Arial" w:cs="Arial"/>
          <w:sz w:val="24"/>
          <w:szCs w:val="24"/>
          <w:lang w:eastAsia="en-GB"/>
        </w:rPr>
        <w:t>, high-rise premises across Lancashire</w:t>
      </w:r>
      <w:r w:rsidR="00582423">
        <w:rPr>
          <w:rFonts w:ascii="Arial" w:eastAsia="Times New Roman" w:hAnsi="Arial" w:cs="Arial"/>
          <w:sz w:val="24"/>
          <w:szCs w:val="24"/>
          <w:lang w:eastAsia="en-GB"/>
        </w:rPr>
        <w:t xml:space="preserve">. </w:t>
      </w:r>
      <w:r w:rsidRPr="009D1EF8">
        <w:rPr>
          <w:rFonts w:ascii="Arial" w:eastAsia="Times New Roman" w:hAnsi="Arial" w:cs="Arial"/>
          <w:sz w:val="24"/>
          <w:szCs w:val="24"/>
          <w:lang w:eastAsia="en-GB"/>
        </w:rPr>
        <w:t xml:space="preserve">Currently these are the only premises types defined by NFCC as ‘in scope’, however there is potential that more premises may come into </w:t>
      </w:r>
      <w:r w:rsidR="00E34F53" w:rsidRPr="001B64DF">
        <w:rPr>
          <w:rFonts w:ascii="Arial" w:eastAsia="Times New Roman" w:hAnsi="Arial" w:cs="Arial"/>
          <w:sz w:val="24"/>
          <w:szCs w:val="24"/>
          <w:lang w:eastAsia="en-GB"/>
        </w:rPr>
        <w:t>scope.</w:t>
      </w:r>
    </w:p>
    <w:p w14:paraId="6D510BDC"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1C7BA622" w14:textId="6BE568BF"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b/>
          <w:sz w:val="24"/>
          <w:szCs w:val="24"/>
          <w:lang w:eastAsia="en-GB"/>
        </w:rPr>
        <w:t>Level 4/3</w:t>
      </w:r>
      <w:r w:rsidR="00582423">
        <w:rPr>
          <w:rFonts w:ascii="Arial" w:eastAsia="Times New Roman" w:hAnsi="Arial" w:cs="Arial"/>
          <w:b/>
          <w:sz w:val="24"/>
          <w:szCs w:val="24"/>
          <w:lang w:eastAsia="en-GB"/>
        </w:rPr>
        <w:t xml:space="preserve"> </w:t>
      </w:r>
      <w:r w:rsidR="00C76FF5">
        <w:rPr>
          <w:rFonts w:ascii="Arial" w:eastAsia="Times New Roman" w:hAnsi="Arial" w:cs="Arial"/>
          <w:b/>
          <w:sz w:val="24"/>
          <w:szCs w:val="24"/>
          <w:lang w:eastAsia="en-GB"/>
        </w:rPr>
        <w:t>(</w:t>
      </w:r>
      <w:r w:rsidR="00582423">
        <w:rPr>
          <w:rFonts w:ascii="Arial" w:eastAsia="Times New Roman" w:hAnsi="Arial" w:cs="Arial"/>
          <w:b/>
          <w:sz w:val="24"/>
          <w:szCs w:val="24"/>
          <w:lang w:eastAsia="en-GB"/>
        </w:rPr>
        <w:t>qualified inspectors</w:t>
      </w:r>
      <w:r w:rsidR="00C76FF5">
        <w:rPr>
          <w:rFonts w:ascii="Arial" w:eastAsia="Times New Roman" w:hAnsi="Arial" w:cs="Arial"/>
          <w:b/>
          <w:sz w:val="24"/>
          <w:szCs w:val="24"/>
          <w:lang w:eastAsia="en-GB"/>
        </w:rPr>
        <w:t>)</w:t>
      </w:r>
      <w:r w:rsidRPr="009D1EF8">
        <w:rPr>
          <w:rFonts w:ascii="Arial" w:eastAsia="Times New Roman" w:hAnsi="Arial" w:cs="Arial"/>
          <w:sz w:val="24"/>
          <w:szCs w:val="24"/>
          <w:lang w:eastAsia="en-GB"/>
        </w:rPr>
        <w:t xml:space="preserve"> (FSEC codes A, B, C, E, F, H)</w:t>
      </w:r>
      <w:r w:rsidR="007D35AC">
        <w:rPr>
          <w:rFonts w:ascii="Arial" w:eastAsia="Times New Roman" w:hAnsi="Arial" w:cs="Arial"/>
          <w:sz w:val="24"/>
          <w:szCs w:val="24"/>
          <w:lang w:eastAsia="en-GB"/>
        </w:rPr>
        <w:t xml:space="preserve"> –</w:t>
      </w:r>
      <w:r w:rsidR="00A044E7">
        <w:rPr>
          <w:rFonts w:ascii="Arial" w:eastAsia="Times New Roman" w:hAnsi="Arial" w:cs="Arial"/>
          <w:sz w:val="24"/>
          <w:szCs w:val="24"/>
          <w:lang w:eastAsia="en-GB"/>
        </w:rPr>
        <w:t xml:space="preserve"> these premises are split to ensure that the competency of the inspector is aligned to the risk/value.  For </w:t>
      </w:r>
      <w:r w:rsidRPr="009D1EF8">
        <w:rPr>
          <w:rFonts w:ascii="Arial" w:eastAsia="Times New Roman" w:hAnsi="Arial" w:cs="Arial"/>
          <w:sz w:val="24"/>
          <w:szCs w:val="24"/>
          <w:lang w:eastAsia="en-GB"/>
        </w:rPr>
        <w:lastRenderedPageBreak/>
        <w:t>premises that fall below the Mott</w:t>
      </w:r>
      <w:r w:rsidR="00582423">
        <w:rPr>
          <w:rFonts w:ascii="Arial" w:eastAsia="Times New Roman" w:hAnsi="Arial" w:cs="Arial"/>
          <w:sz w:val="24"/>
          <w:szCs w:val="24"/>
          <w:lang w:eastAsia="en-GB"/>
        </w:rPr>
        <w:t xml:space="preserve"> </w:t>
      </w:r>
      <w:r w:rsidRPr="009D1EF8">
        <w:rPr>
          <w:rFonts w:ascii="Arial" w:eastAsia="Times New Roman" w:hAnsi="Arial" w:cs="Arial"/>
          <w:sz w:val="24"/>
          <w:szCs w:val="24"/>
          <w:lang w:eastAsia="en-GB"/>
        </w:rPr>
        <w:t>M</w:t>
      </w:r>
      <w:r w:rsidR="00EF76CA">
        <w:rPr>
          <w:rFonts w:ascii="Arial" w:eastAsia="Times New Roman" w:hAnsi="Arial" w:cs="Arial"/>
          <w:sz w:val="24"/>
          <w:szCs w:val="24"/>
          <w:lang w:eastAsia="en-GB"/>
        </w:rPr>
        <w:t>a</w:t>
      </w:r>
      <w:r w:rsidRPr="009D1EF8">
        <w:rPr>
          <w:rFonts w:ascii="Arial" w:eastAsia="Times New Roman" w:hAnsi="Arial" w:cs="Arial"/>
          <w:sz w:val="24"/>
          <w:szCs w:val="24"/>
          <w:lang w:eastAsia="en-GB"/>
        </w:rPr>
        <w:t xml:space="preserve">cDonald (Median) score for the lowest FSEC category for sleeping risk (H) </w:t>
      </w:r>
      <w:r w:rsidR="007D35AC">
        <w:rPr>
          <w:rFonts w:ascii="Arial" w:eastAsia="Times New Roman" w:hAnsi="Arial" w:cs="Arial"/>
          <w:sz w:val="24"/>
          <w:szCs w:val="24"/>
          <w:lang w:eastAsia="en-GB"/>
        </w:rPr>
        <w:t>are</w:t>
      </w:r>
      <w:r w:rsidRPr="009D1EF8">
        <w:rPr>
          <w:rFonts w:ascii="Arial" w:eastAsia="Times New Roman" w:hAnsi="Arial" w:cs="Arial"/>
          <w:sz w:val="24"/>
          <w:szCs w:val="24"/>
          <w:lang w:eastAsia="en-GB"/>
        </w:rPr>
        <w:t xml:space="preserve"> included in the Sampling work area, together with any remaining premises more than 18m in height and (FSEC codes D, X, L)</w:t>
      </w:r>
      <w:r w:rsidR="00A044E7">
        <w:rPr>
          <w:rFonts w:ascii="Arial" w:eastAsia="Times New Roman" w:hAnsi="Arial" w:cs="Arial"/>
          <w:sz w:val="24"/>
          <w:szCs w:val="24"/>
          <w:lang w:eastAsia="en-GB"/>
        </w:rPr>
        <w:t>. P</w:t>
      </w:r>
      <w:r w:rsidRPr="009D1EF8">
        <w:rPr>
          <w:rFonts w:ascii="Arial" w:eastAsia="Times New Roman" w:hAnsi="Arial" w:cs="Arial"/>
          <w:sz w:val="24"/>
          <w:szCs w:val="24"/>
          <w:lang w:eastAsia="en-GB"/>
        </w:rPr>
        <w:t>remises that fall below the Mott</w:t>
      </w:r>
      <w:r w:rsidR="00582423">
        <w:rPr>
          <w:rFonts w:ascii="Arial" w:eastAsia="Times New Roman" w:hAnsi="Arial" w:cs="Arial"/>
          <w:sz w:val="24"/>
          <w:szCs w:val="24"/>
          <w:lang w:eastAsia="en-GB"/>
        </w:rPr>
        <w:t xml:space="preserve"> </w:t>
      </w:r>
      <w:r w:rsidRPr="009D1EF8">
        <w:rPr>
          <w:rFonts w:ascii="Arial" w:eastAsia="Times New Roman" w:hAnsi="Arial" w:cs="Arial"/>
          <w:sz w:val="24"/>
          <w:szCs w:val="24"/>
          <w:lang w:eastAsia="en-GB"/>
        </w:rPr>
        <w:t>M</w:t>
      </w:r>
      <w:r w:rsidR="00EF76CA">
        <w:rPr>
          <w:rFonts w:ascii="Arial" w:eastAsia="Times New Roman" w:hAnsi="Arial" w:cs="Arial"/>
          <w:sz w:val="24"/>
          <w:szCs w:val="24"/>
          <w:lang w:eastAsia="en-GB"/>
        </w:rPr>
        <w:t>a</w:t>
      </w:r>
      <w:r w:rsidRPr="009D1EF8">
        <w:rPr>
          <w:rFonts w:ascii="Arial" w:eastAsia="Times New Roman" w:hAnsi="Arial" w:cs="Arial"/>
          <w:sz w:val="24"/>
          <w:szCs w:val="24"/>
          <w:lang w:eastAsia="en-GB"/>
        </w:rPr>
        <w:t xml:space="preserve">cDonald (Low) score for the highest FSEC category for sleeping familiar risk (D) </w:t>
      </w:r>
      <w:r w:rsidR="00A044E7">
        <w:rPr>
          <w:rFonts w:ascii="Arial" w:eastAsia="Times New Roman" w:hAnsi="Arial" w:cs="Arial"/>
          <w:sz w:val="24"/>
          <w:szCs w:val="24"/>
          <w:lang w:eastAsia="en-GB"/>
        </w:rPr>
        <w:t>are</w:t>
      </w:r>
      <w:r w:rsidR="007D35AC">
        <w:rPr>
          <w:rFonts w:ascii="Arial" w:eastAsia="Times New Roman" w:hAnsi="Arial" w:cs="Arial"/>
          <w:sz w:val="24"/>
          <w:szCs w:val="24"/>
          <w:lang w:eastAsia="en-GB"/>
        </w:rPr>
        <w:t xml:space="preserve"> also</w:t>
      </w:r>
      <w:r w:rsidRPr="009D1EF8">
        <w:rPr>
          <w:rFonts w:ascii="Arial" w:eastAsia="Times New Roman" w:hAnsi="Arial" w:cs="Arial"/>
          <w:sz w:val="24"/>
          <w:szCs w:val="24"/>
          <w:lang w:eastAsia="en-GB"/>
        </w:rPr>
        <w:t xml:space="preserve"> included in the Secondary Risk work area.</w:t>
      </w:r>
    </w:p>
    <w:p w14:paraId="5FE9C222"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4EA13361" w14:textId="5AF04BA4"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b/>
          <w:sz w:val="24"/>
          <w:szCs w:val="24"/>
          <w:lang w:eastAsia="en-GB"/>
        </w:rPr>
        <w:t>Business Fire Safety Check (BFSC)</w:t>
      </w:r>
      <w:r w:rsidRPr="009D1EF8">
        <w:rPr>
          <w:rFonts w:ascii="Arial" w:eastAsia="Times New Roman" w:hAnsi="Arial" w:cs="Arial"/>
          <w:sz w:val="24"/>
          <w:szCs w:val="24"/>
          <w:lang w:eastAsia="en-GB"/>
        </w:rPr>
        <w:t xml:space="preserve"> (FSEC codes J, K, M, N, P, R, S, T)</w:t>
      </w:r>
      <w:r w:rsidR="00A044E7">
        <w:rPr>
          <w:rFonts w:ascii="Arial" w:eastAsia="Times New Roman" w:hAnsi="Arial" w:cs="Arial"/>
          <w:sz w:val="24"/>
          <w:szCs w:val="24"/>
          <w:lang w:eastAsia="en-GB"/>
        </w:rPr>
        <w:t xml:space="preserve"> – these </w:t>
      </w:r>
      <w:r w:rsidR="007D35AC">
        <w:rPr>
          <w:rFonts w:ascii="Arial" w:eastAsia="Times New Roman" w:hAnsi="Arial" w:cs="Arial"/>
          <w:sz w:val="24"/>
          <w:szCs w:val="24"/>
          <w:lang w:eastAsia="en-GB"/>
        </w:rPr>
        <w:t xml:space="preserve">premises </w:t>
      </w:r>
      <w:r w:rsidR="007D35AC" w:rsidRPr="009D1EF8">
        <w:rPr>
          <w:rFonts w:ascii="Arial" w:eastAsia="Times New Roman" w:hAnsi="Arial" w:cs="Arial"/>
          <w:sz w:val="24"/>
          <w:szCs w:val="24"/>
          <w:lang w:eastAsia="en-GB"/>
        </w:rPr>
        <w:t>fall</w:t>
      </w:r>
      <w:r w:rsidRPr="009D1EF8">
        <w:rPr>
          <w:rFonts w:ascii="Arial" w:eastAsia="Times New Roman" w:hAnsi="Arial" w:cs="Arial"/>
          <w:sz w:val="24"/>
          <w:szCs w:val="24"/>
          <w:lang w:eastAsia="en-GB"/>
        </w:rPr>
        <w:t xml:space="preserve"> below the Mott</w:t>
      </w:r>
      <w:r w:rsidR="00582423">
        <w:rPr>
          <w:rFonts w:ascii="Arial" w:eastAsia="Times New Roman" w:hAnsi="Arial" w:cs="Arial"/>
          <w:sz w:val="24"/>
          <w:szCs w:val="24"/>
          <w:lang w:eastAsia="en-GB"/>
        </w:rPr>
        <w:t xml:space="preserve"> </w:t>
      </w:r>
      <w:r w:rsidRPr="009D1EF8">
        <w:rPr>
          <w:rFonts w:ascii="Arial" w:eastAsia="Times New Roman" w:hAnsi="Arial" w:cs="Arial"/>
          <w:sz w:val="24"/>
          <w:szCs w:val="24"/>
          <w:lang w:eastAsia="en-GB"/>
        </w:rPr>
        <w:t>M</w:t>
      </w:r>
      <w:r w:rsidR="00EF76CA">
        <w:rPr>
          <w:rFonts w:ascii="Arial" w:eastAsia="Times New Roman" w:hAnsi="Arial" w:cs="Arial"/>
          <w:sz w:val="24"/>
          <w:szCs w:val="24"/>
          <w:lang w:eastAsia="en-GB"/>
        </w:rPr>
        <w:t>a</w:t>
      </w:r>
      <w:r w:rsidRPr="009D1EF8">
        <w:rPr>
          <w:rFonts w:ascii="Arial" w:eastAsia="Times New Roman" w:hAnsi="Arial" w:cs="Arial"/>
          <w:sz w:val="24"/>
          <w:szCs w:val="24"/>
          <w:lang w:eastAsia="en-GB"/>
        </w:rPr>
        <w:t>cDonald (High) score for the highest FSEC category for public unfamiliar/workplace familiar risk (J)</w:t>
      </w:r>
      <w:r w:rsidR="00A044E7">
        <w:rPr>
          <w:rFonts w:ascii="Arial" w:eastAsia="Times New Roman" w:hAnsi="Arial" w:cs="Arial"/>
          <w:sz w:val="24"/>
          <w:szCs w:val="24"/>
          <w:lang w:eastAsia="en-GB"/>
        </w:rPr>
        <w:t>.</w:t>
      </w:r>
      <w:r w:rsidRPr="009D1EF8">
        <w:rPr>
          <w:rFonts w:ascii="Arial" w:eastAsia="Times New Roman" w:hAnsi="Arial" w:cs="Arial"/>
          <w:sz w:val="24"/>
          <w:szCs w:val="24"/>
          <w:lang w:eastAsia="en-GB"/>
        </w:rPr>
        <w:t xml:space="preserve"> </w:t>
      </w:r>
    </w:p>
    <w:p w14:paraId="3EA6BEAD"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193CDF97" w14:textId="22E01F82"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b/>
          <w:sz w:val="24"/>
          <w:szCs w:val="24"/>
          <w:lang w:eastAsia="en-GB"/>
        </w:rPr>
        <w:t>Heritage</w:t>
      </w:r>
      <w:r w:rsidRPr="009D1EF8">
        <w:rPr>
          <w:rFonts w:ascii="Arial" w:eastAsia="Times New Roman" w:hAnsi="Arial" w:cs="Arial"/>
          <w:sz w:val="24"/>
          <w:szCs w:val="24"/>
          <w:lang w:eastAsia="en-GB"/>
        </w:rPr>
        <w:t xml:space="preserve"> </w:t>
      </w:r>
      <w:r w:rsidR="00E34F53" w:rsidRPr="001B64DF">
        <w:rPr>
          <w:rFonts w:ascii="Arial" w:eastAsia="Times New Roman" w:hAnsi="Arial" w:cs="Arial"/>
          <w:sz w:val="24"/>
          <w:szCs w:val="24"/>
          <w:lang w:eastAsia="en-GB"/>
        </w:rPr>
        <w:t xml:space="preserve">– </w:t>
      </w:r>
      <w:r w:rsidRPr="009D1EF8">
        <w:rPr>
          <w:rFonts w:ascii="Arial" w:eastAsia="Times New Roman" w:hAnsi="Arial" w:cs="Arial"/>
          <w:sz w:val="24"/>
          <w:szCs w:val="24"/>
          <w:lang w:eastAsia="en-GB"/>
        </w:rPr>
        <w:t xml:space="preserve">Grade 1 and 2* premises not already included in </w:t>
      </w:r>
      <w:r w:rsidR="000F130F" w:rsidRPr="009D1EF8">
        <w:rPr>
          <w:rFonts w:ascii="Arial" w:eastAsia="Times New Roman" w:hAnsi="Arial" w:cs="Arial"/>
          <w:sz w:val="24"/>
          <w:szCs w:val="24"/>
          <w:lang w:eastAsia="en-GB"/>
        </w:rPr>
        <w:t>High-Risk</w:t>
      </w:r>
      <w:r w:rsidRPr="009D1EF8">
        <w:rPr>
          <w:rFonts w:ascii="Arial" w:eastAsia="Times New Roman" w:hAnsi="Arial" w:cs="Arial"/>
          <w:sz w:val="24"/>
          <w:szCs w:val="24"/>
          <w:lang w:eastAsia="en-GB"/>
        </w:rPr>
        <w:t xml:space="preserve"> Residential Premise</w:t>
      </w:r>
      <w:r w:rsidR="00E34F53" w:rsidRPr="001B64DF">
        <w:rPr>
          <w:rFonts w:ascii="Arial" w:eastAsia="Times New Roman" w:hAnsi="Arial" w:cs="Arial"/>
          <w:sz w:val="24"/>
          <w:szCs w:val="24"/>
          <w:lang w:eastAsia="en-GB"/>
        </w:rPr>
        <w:t>.</w:t>
      </w:r>
    </w:p>
    <w:p w14:paraId="45739D63"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4F5A650B" w14:textId="64A349BE"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b/>
          <w:sz w:val="24"/>
          <w:szCs w:val="24"/>
          <w:lang w:eastAsia="en-GB"/>
        </w:rPr>
        <w:t>Targeting</w:t>
      </w:r>
      <w:r w:rsidRPr="009D1EF8">
        <w:rPr>
          <w:rFonts w:ascii="Arial" w:eastAsia="Times New Roman" w:hAnsi="Arial" w:cs="Arial"/>
          <w:sz w:val="24"/>
          <w:szCs w:val="24"/>
          <w:lang w:eastAsia="en-GB"/>
        </w:rPr>
        <w:t xml:space="preserve"> – this work area is used to empower local Fire Safety Team Leaders and Community Protection </w:t>
      </w:r>
      <w:r w:rsidR="00C76FF5">
        <w:rPr>
          <w:rFonts w:ascii="Arial" w:eastAsia="Times New Roman" w:hAnsi="Arial" w:cs="Arial"/>
          <w:sz w:val="24"/>
          <w:szCs w:val="24"/>
          <w:lang w:eastAsia="en-GB"/>
        </w:rPr>
        <w:t>M</w:t>
      </w:r>
      <w:r w:rsidRPr="009D1EF8">
        <w:rPr>
          <w:rFonts w:ascii="Arial" w:eastAsia="Times New Roman" w:hAnsi="Arial" w:cs="Arial"/>
          <w:sz w:val="24"/>
          <w:szCs w:val="24"/>
          <w:lang w:eastAsia="en-GB"/>
        </w:rPr>
        <w:t xml:space="preserve">anagers to use local knowledge and intelligence to target premises that are known to be higher risk together with the facility to include premises that are highlighted due to national emerging trends. </w:t>
      </w:r>
    </w:p>
    <w:p w14:paraId="68E9AE44"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59E331E2" w14:textId="67CF6687" w:rsidR="009D1EF8" w:rsidRPr="001B64DF"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b/>
          <w:sz w:val="24"/>
          <w:szCs w:val="24"/>
          <w:lang w:eastAsia="en-GB"/>
        </w:rPr>
        <w:t xml:space="preserve">Sampling </w:t>
      </w:r>
      <w:r w:rsidRPr="009D1EF8">
        <w:rPr>
          <w:rFonts w:ascii="Arial" w:eastAsia="Times New Roman" w:hAnsi="Arial" w:cs="Arial"/>
          <w:sz w:val="24"/>
          <w:szCs w:val="24"/>
          <w:lang w:eastAsia="en-GB"/>
        </w:rPr>
        <w:t>– this work area is used to test the efficacy of the Inspection Programme. Local Fire Safety Team Leaders will select 5% of the lower score sleeping risks that have been allocated to the Secondary Risk area.</w:t>
      </w:r>
    </w:p>
    <w:p w14:paraId="1A9D449A" w14:textId="77777777" w:rsidR="00E34F53" w:rsidRPr="009D1EF8" w:rsidRDefault="00E34F53" w:rsidP="00EE44EB">
      <w:pPr>
        <w:spacing w:after="0" w:line="360" w:lineRule="auto"/>
        <w:contextualSpacing/>
        <w:jc w:val="both"/>
        <w:rPr>
          <w:rFonts w:ascii="Arial" w:eastAsia="Times New Roman" w:hAnsi="Arial" w:cs="Arial"/>
          <w:sz w:val="24"/>
          <w:szCs w:val="24"/>
          <w:lang w:eastAsia="en-GB"/>
        </w:rPr>
      </w:pPr>
    </w:p>
    <w:p w14:paraId="7BFD919A" w14:textId="77777777" w:rsidR="009D1EF8" w:rsidRPr="009D1EF8"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b/>
          <w:sz w:val="24"/>
          <w:szCs w:val="24"/>
          <w:lang w:eastAsia="en-GB"/>
        </w:rPr>
        <w:t>Secondary Risk</w:t>
      </w:r>
      <w:r w:rsidRPr="009D1EF8">
        <w:rPr>
          <w:rFonts w:ascii="Arial" w:eastAsia="Times New Roman" w:hAnsi="Arial" w:cs="Arial"/>
          <w:sz w:val="24"/>
          <w:szCs w:val="24"/>
          <w:lang w:eastAsia="en-GB"/>
        </w:rPr>
        <w:t xml:space="preserve"> – all other premises not included in the above. This work area has been devised to empower Fire Safety Team Leaders and Community Protection Managers with ability to include other premises that have not been captured in A – E, above.</w:t>
      </w:r>
    </w:p>
    <w:p w14:paraId="47D82BFA" w14:textId="055BFD91" w:rsidR="009D1EF8" w:rsidRPr="009D1EF8" w:rsidRDefault="009D1EF8" w:rsidP="00EE44EB">
      <w:pPr>
        <w:spacing w:after="0" w:line="360" w:lineRule="auto"/>
        <w:rPr>
          <w:rFonts w:ascii="Arial" w:eastAsia="Times New Roman" w:hAnsi="Arial" w:cs="Arial"/>
          <w:sz w:val="24"/>
          <w:szCs w:val="24"/>
          <w:lang w:eastAsia="en-GB"/>
        </w:rPr>
      </w:pPr>
    </w:p>
    <w:p w14:paraId="4B1BFF9E" w14:textId="77777777" w:rsidR="009D1EF8" w:rsidRPr="009D1EF8" w:rsidRDefault="009D1EF8" w:rsidP="00EE44EB">
      <w:pPr>
        <w:spacing w:after="0" w:line="360" w:lineRule="auto"/>
        <w:rPr>
          <w:rFonts w:ascii="Arial" w:eastAsia="Times New Roman" w:hAnsi="Arial" w:cs="Arial"/>
          <w:b/>
          <w:sz w:val="28"/>
          <w:szCs w:val="24"/>
          <w:lang w:val="en" w:eastAsia="en-GB"/>
        </w:rPr>
      </w:pPr>
      <w:bookmarkStart w:id="9" w:name="_Toc507743459"/>
      <w:bookmarkStart w:id="10" w:name="_Toc61622794"/>
      <w:r w:rsidRPr="009D1EF8">
        <w:rPr>
          <w:rFonts w:ascii="Arial" w:eastAsia="Times New Roman" w:hAnsi="Arial" w:cs="Arial"/>
          <w:sz w:val="24"/>
          <w:szCs w:val="24"/>
          <w:lang w:eastAsia="en-GB"/>
        </w:rPr>
        <w:br w:type="page"/>
      </w:r>
    </w:p>
    <w:p w14:paraId="0C2A3C86" w14:textId="5F20BDD1" w:rsidR="009D1EF8" w:rsidRPr="001B64DF" w:rsidRDefault="009D1EF8" w:rsidP="00EE44EB">
      <w:pPr>
        <w:pStyle w:val="Heading1"/>
        <w:spacing w:before="0" w:line="360" w:lineRule="auto"/>
        <w:rPr>
          <w:rFonts w:ascii="Arial" w:eastAsia="Times New Roman" w:hAnsi="Arial" w:cs="Arial"/>
          <w:lang w:val="en" w:eastAsia="en-GB"/>
        </w:rPr>
      </w:pPr>
      <w:bookmarkStart w:id="11" w:name="_Toc77267541"/>
      <w:bookmarkStart w:id="12" w:name="_Toc85469286"/>
      <w:r w:rsidRPr="001B64DF">
        <w:rPr>
          <w:rFonts w:ascii="Arial" w:eastAsia="Times New Roman" w:hAnsi="Arial" w:cs="Arial"/>
          <w:lang w:val="en" w:eastAsia="en-GB"/>
        </w:rPr>
        <w:lastRenderedPageBreak/>
        <w:t xml:space="preserve">Appendix B </w:t>
      </w:r>
      <w:r w:rsidR="007D35AC">
        <w:rPr>
          <w:rFonts w:ascii="Arial" w:eastAsia="Times New Roman" w:hAnsi="Arial" w:cs="Arial"/>
          <w:lang w:val="en" w:eastAsia="en-GB"/>
        </w:rPr>
        <w:t>–</w:t>
      </w:r>
      <w:r w:rsidRPr="001B64DF">
        <w:rPr>
          <w:rFonts w:ascii="Arial" w:eastAsia="Times New Roman" w:hAnsi="Arial" w:cs="Arial"/>
          <w:lang w:val="en" w:eastAsia="en-GB"/>
        </w:rPr>
        <w:t xml:space="preserve"> Categories of Harm</w:t>
      </w:r>
      <w:bookmarkEnd w:id="9"/>
      <w:bookmarkEnd w:id="10"/>
      <w:bookmarkEnd w:id="11"/>
      <w:bookmarkEnd w:id="12"/>
    </w:p>
    <w:p w14:paraId="4B609847" w14:textId="562DCEB7" w:rsidR="009D1EF8" w:rsidRPr="009D1EF8"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 xml:space="preserve">The risk-based approach is founded upon the </w:t>
      </w:r>
      <w:r w:rsidR="00F22525">
        <w:rPr>
          <w:rFonts w:ascii="Arial" w:eastAsia="Times New Roman" w:hAnsi="Arial" w:cs="Arial"/>
          <w:sz w:val="24"/>
          <w:szCs w:val="24"/>
          <w:lang w:eastAsia="en-GB"/>
        </w:rPr>
        <w:t>concept</w:t>
      </w:r>
      <w:r w:rsidR="00F22525" w:rsidRPr="009D1EF8">
        <w:rPr>
          <w:rFonts w:ascii="Arial" w:eastAsia="Times New Roman" w:hAnsi="Arial" w:cs="Arial"/>
          <w:sz w:val="24"/>
          <w:szCs w:val="24"/>
          <w:lang w:eastAsia="en-GB"/>
        </w:rPr>
        <w:t xml:space="preserve"> </w:t>
      </w:r>
      <w:r w:rsidRPr="009D1EF8">
        <w:rPr>
          <w:rFonts w:ascii="Arial" w:eastAsia="Times New Roman" w:hAnsi="Arial" w:cs="Arial"/>
          <w:sz w:val="24"/>
          <w:szCs w:val="24"/>
          <w:lang w:eastAsia="en-GB"/>
        </w:rPr>
        <w:t>that fire has the potential to harm not only the life safety of occupants and other ‘relevant persons’ but also other people and community assets.</w:t>
      </w:r>
    </w:p>
    <w:p w14:paraId="3C89E7FB" w14:textId="77777777" w:rsidR="00F22525" w:rsidRDefault="00F22525" w:rsidP="00EE44EB">
      <w:pPr>
        <w:spacing w:after="0" w:line="360" w:lineRule="auto"/>
        <w:contextualSpacing/>
        <w:jc w:val="both"/>
        <w:rPr>
          <w:rFonts w:ascii="Arial" w:eastAsia="Times New Roman" w:hAnsi="Arial" w:cs="Arial"/>
          <w:sz w:val="24"/>
          <w:szCs w:val="24"/>
          <w:lang w:eastAsia="en-GB"/>
        </w:rPr>
      </w:pPr>
    </w:p>
    <w:p w14:paraId="53BEAD17" w14:textId="6B6FD6A2" w:rsidR="009D1EF8" w:rsidRPr="009D1EF8"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The Inspection Programme identifies a total of five potential categories of harm:</w:t>
      </w:r>
    </w:p>
    <w:p w14:paraId="55032844" w14:textId="77777777" w:rsidR="009D1EF8" w:rsidRPr="009D1EF8" w:rsidRDefault="009D1EF8" w:rsidP="00EE44EB">
      <w:pPr>
        <w:spacing w:after="0" w:line="360" w:lineRule="auto"/>
        <w:ind w:left="720"/>
        <w:contextualSpacing/>
        <w:jc w:val="both"/>
        <w:rPr>
          <w:rFonts w:ascii="Arial" w:eastAsia="Times New Roman" w:hAnsi="Arial" w:cs="Arial"/>
          <w:sz w:val="24"/>
          <w:szCs w:val="24"/>
          <w:lang w:eastAsia="en-GB"/>
        </w:rPr>
      </w:pPr>
    </w:p>
    <w:p w14:paraId="752C9B88" w14:textId="77777777" w:rsidR="009D1EF8" w:rsidRPr="009D1EF8" w:rsidRDefault="009D1EF8" w:rsidP="00EE44EB">
      <w:pPr>
        <w:numPr>
          <w:ilvl w:val="1"/>
          <w:numId w:val="6"/>
        </w:numPr>
        <w:spacing w:after="0" w:line="360" w:lineRule="auto"/>
        <w:ind w:left="426" w:hanging="426"/>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Primary Fires</w:t>
      </w:r>
    </w:p>
    <w:p w14:paraId="4B57A0A6" w14:textId="77777777" w:rsidR="009D1EF8" w:rsidRPr="009D1EF8" w:rsidRDefault="009D1EF8" w:rsidP="00EE44EB">
      <w:pPr>
        <w:numPr>
          <w:ilvl w:val="1"/>
          <w:numId w:val="6"/>
        </w:numPr>
        <w:spacing w:after="0" w:line="360" w:lineRule="auto"/>
        <w:ind w:left="426" w:hanging="426"/>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Secondary Fires</w:t>
      </w:r>
    </w:p>
    <w:p w14:paraId="7BBADE09" w14:textId="77777777" w:rsidR="009D1EF8" w:rsidRPr="009D1EF8" w:rsidRDefault="009D1EF8" w:rsidP="00EE44EB">
      <w:pPr>
        <w:numPr>
          <w:ilvl w:val="1"/>
          <w:numId w:val="6"/>
        </w:numPr>
        <w:spacing w:after="0" w:line="360" w:lineRule="auto"/>
        <w:ind w:left="426" w:hanging="426"/>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Emergency Responder</w:t>
      </w:r>
    </w:p>
    <w:p w14:paraId="4AE50863" w14:textId="77777777" w:rsidR="009D1EF8" w:rsidRPr="009D1EF8" w:rsidRDefault="009D1EF8" w:rsidP="00EE44EB">
      <w:pPr>
        <w:numPr>
          <w:ilvl w:val="1"/>
          <w:numId w:val="6"/>
        </w:numPr>
        <w:spacing w:after="0" w:line="360" w:lineRule="auto"/>
        <w:ind w:left="426" w:hanging="426"/>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Flood Risk</w:t>
      </w:r>
    </w:p>
    <w:p w14:paraId="4F7FA763" w14:textId="77777777" w:rsidR="009D1EF8" w:rsidRPr="009D1EF8" w:rsidRDefault="009D1EF8" w:rsidP="00EE44EB">
      <w:pPr>
        <w:numPr>
          <w:ilvl w:val="1"/>
          <w:numId w:val="6"/>
        </w:numPr>
        <w:spacing w:after="0" w:line="360" w:lineRule="auto"/>
        <w:ind w:left="426" w:hanging="426"/>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Social &amp; Community</w:t>
      </w:r>
    </w:p>
    <w:p w14:paraId="6F45709B" w14:textId="77777777" w:rsidR="009D1EF8" w:rsidRPr="009D1EF8" w:rsidRDefault="009D1EF8" w:rsidP="00EE44EB">
      <w:pPr>
        <w:spacing w:after="0" w:line="360" w:lineRule="auto"/>
        <w:jc w:val="both"/>
        <w:rPr>
          <w:rFonts w:ascii="Arial" w:eastAsia="Times New Roman" w:hAnsi="Arial" w:cs="Arial"/>
          <w:sz w:val="24"/>
          <w:szCs w:val="24"/>
          <w:lang w:eastAsia="en-GB"/>
        </w:rPr>
      </w:pPr>
    </w:p>
    <w:tbl>
      <w:tblPr>
        <w:tblStyle w:val="TableGrid"/>
        <w:tblW w:w="9157" w:type="dxa"/>
        <w:tblLayout w:type="fixed"/>
        <w:tblLook w:val="04A0" w:firstRow="1" w:lastRow="0" w:firstColumn="1" w:lastColumn="0" w:noHBand="0" w:noVBand="1"/>
      </w:tblPr>
      <w:tblGrid>
        <w:gridCol w:w="2263"/>
        <w:gridCol w:w="3828"/>
        <w:gridCol w:w="3066"/>
      </w:tblGrid>
      <w:tr w:rsidR="009D1EF8" w:rsidRPr="009D1EF8" w14:paraId="67578D25" w14:textId="77777777" w:rsidTr="004563E5">
        <w:trPr>
          <w:trHeight w:val="549"/>
        </w:trPr>
        <w:tc>
          <w:tcPr>
            <w:tcW w:w="2263" w:type="dxa"/>
          </w:tcPr>
          <w:p w14:paraId="55FDDCDF" w14:textId="77777777" w:rsidR="009D1EF8" w:rsidRPr="009D1EF8" w:rsidRDefault="009D1EF8" w:rsidP="00EE44EB">
            <w:pPr>
              <w:spacing w:line="360" w:lineRule="auto"/>
              <w:rPr>
                <w:rFonts w:cs="Arial"/>
                <w:b/>
                <w:sz w:val="24"/>
                <w:szCs w:val="24"/>
              </w:rPr>
            </w:pPr>
            <w:r w:rsidRPr="009D1EF8">
              <w:rPr>
                <w:rFonts w:cs="Arial"/>
                <w:b/>
                <w:sz w:val="24"/>
                <w:szCs w:val="24"/>
              </w:rPr>
              <w:t>Category of Harm</w:t>
            </w:r>
          </w:p>
        </w:tc>
        <w:tc>
          <w:tcPr>
            <w:tcW w:w="3828" w:type="dxa"/>
          </w:tcPr>
          <w:p w14:paraId="070F4CE1" w14:textId="77777777" w:rsidR="009D1EF8" w:rsidRPr="009D1EF8" w:rsidRDefault="009D1EF8" w:rsidP="00EE44EB">
            <w:pPr>
              <w:spacing w:line="360" w:lineRule="auto"/>
              <w:rPr>
                <w:rFonts w:cs="Arial"/>
                <w:b/>
                <w:sz w:val="24"/>
                <w:szCs w:val="24"/>
              </w:rPr>
            </w:pPr>
            <w:r w:rsidRPr="009D1EF8">
              <w:rPr>
                <w:rFonts w:cs="Arial"/>
                <w:b/>
                <w:sz w:val="24"/>
                <w:szCs w:val="24"/>
              </w:rPr>
              <w:t>Definition</w:t>
            </w:r>
          </w:p>
        </w:tc>
        <w:tc>
          <w:tcPr>
            <w:tcW w:w="3066" w:type="dxa"/>
          </w:tcPr>
          <w:p w14:paraId="7104FC7F" w14:textId="77777777" w:rsidR="009D1EF8" w:rsidRPr="009D1EF8" w:rsidRDefault="009D1EF8" w:rsidP="00EE44EB">
            <w:pPr>
              <w:spacing w:line="360" w:lineRule="auto"/>
              <w:rPr>
                <w:rFonts w:cs="Arial"/>
                <w:b/>
                <w:sz w:val="24"/>
                <w:szCs w:val="24"/>
              </w:rPr>
            </w:pPr>
            <w:r w:rsidRPr="009D1EF8">
              <w:rPr>
                <w:rFonts w:cs="Arial"/>
                <w:b/>
                <w:sz w:val="24"/>
                <w:szCs w:val="24"/>
              </w:rPr>
              <w:t>Attributes</w:t>
            </w:r>
          </w:p>
        </w:tc>
      </w:tr>
      <w:tr w:rsidR="009D1EF8" w:rsidRPr="009D1EF8" w14:paraId="24C9EDE6" w14:textId="77777777" w:rsidTr="004563E5">
        <w:trPr>
          <w:trHeight w:val="1042"/>
        </w:trPr>
        <w:tc>
          <w:tcPr>
            <w:tcW w:w="2263" w:type="dxa"/>
          </w:tcPr>
          <w:p w14:paraId="24CEABC5" w14:textId="77777777" w:rsidR="009D1EF8" w:rsidRPr="009D1EF8" w:rsidRDefault="009D1EF8" w:rsidP="00EE44EB">
            <w:pPr>
              <w:spacing w:line="360" w:lineRule="auto"/>
              <w:rPr>
                <w:rFonts w:cs="Arial"/>
                <w:sz w:val="24"/>
                <w:szCs w:val="24"/>
              </w:rPr>
            </w:pPr>
            <w:r w:rsidRPr="009D1EF8">
              <w:rPr>
                <w:rFonts w:cs="Arial"/>
                <w:sz w:val="24"/>
                <w:szCs w:val="24"/>
              </w:rPr>
              <w:t>Public Life</w:t>
            </w:r>
          </w:p>
        </w:tc>
        <w:tc>
          <w:tcPr>
            <w:tcW w:w="3828" w:type="dxa"/>
          </w:tcPr>
          <w:p w14:paraId="27A06A8D" w14:textId="77777777" w:rsidR="009D1EF8" w:rsidRPr="009D1EF8" w:rsidRDefault="009D1EF8" w:rsidP="00EE44EB">
            <w:pPr>
              <w:spacing w:line="360" w:lineRule="auto"/>
              <w:rPr>
                <w:rFonts w:cs="Arial"/>
                <w:sz w:val="24"/>
                <w:szCs w:val="24"/>
              </w:rPr>
            </w:pPr>
            <w:r w:rsidRPr="009D1EF8">
              <w:rPr>
                <w:rFonts w:cs="Arial"/>
                <w:sz w:val="24"/>
                <w:szCs w:val="24"/>
              </w:rPr>
              <w:t>Occupants and other persons who would need to escape to a place of safety in the event of fire</w:t>
            </w:r>
          </w:p>
        </w:tc>
        <w:tc>
          <w:tcPr>
            <w:tcW w:w="3066" w:type="dxa"/>
          </w:tcPr>
          <w:p w14:paraId="50246FB9" w14:textId="77777777" w:rsidR="009D1EF8" w:rsidRPr="009D1EF8" w:rsidRDefault="009D1EF8" w:rsidP="00EE44EB">
            <w:pPr>
              <w:numPr>
                <w:ilvl w:val="0"/>
                <w:numId w:val="3"/>
              </w:numPr>
              <w:spacing w:line="360" w:lineRule="auto"/>
              <w:contextualSpacing/>
              <w:rPr>
                <w:rFonts w:cs="Arial"/>
                <w:sz w:val="24"/>
                <w:szCs w:val="24"/>
              </w:rPr>
            </w:pPr>
            <w:r w:rsidRPr="009D1EF8">
              <w:rPr>
                <w:rFonts w:cs="Arial"/>
                <w:sz w:val="24"/>
                <w:szCs w:val="24"/>
              </w:rPr>
              <w:t>Primary Fires</w:t>
            </w:r>
          </w:p>
          <w:p w14:paraId="20DEF782" w14:textId="77777777" w:rsidR="009D1EF8" w:rsidRPr="009D1EF8" w:rsidRDefault="009D1EF8" w:rsidP="00EE44EB">
            <w:pPr>
              <w:numPr>
                <w:ilvl w:val="0"/>
                <w:numId w:val="3"/>
              </w:numPr>
              <w:spacing w:line="360" w:lineRule="auto"/>
              <w:contextualSpacing/>
              <w:rPr>
                <w:rFonts w:cs="Arial"/>
                <w:sz w:val="24"/>
                <w:szCs w:val="24"/>
              </w:rPr>
            </w:pPr>
            <w:r w:rsidRPr="009D1EF8">
              <w:rPr>
                <w:rFonts w:cs="Arial"/>
                <w:sz w:val="24"/>
                <w:szCs w:val="24"/>
              </w:rPr>
              <w:t>Secondary Fires</w:t>
            </w:r>
          </w:p>
        </w:tc>
      </w:tr>
      <w:tr w:rsidR="009D1EF8" w:rsidRPr="009D1EF8" w14:paraId="49E5832F" w14:textId="77777777" w:rsidTr="004563E5">
        <w:trPr>
          <w:trHeight w:val="1128"/>
        </w:trPr>
        <w:tc>
          <w:tcPr>
            <w:tcW w:w="2263" w:type="dxa"/>
          </w:tcPr>
          <w:p w14:paraId="71B868D1" w14:textId="77777777" w:rsidR="009D1EF8" w:rsidRPr="009D1EF8" w:rsidRDefault="009D1EF8" w:rsidP="00EE44EB">
            <w:pPr>
              <w:spacing w:line="360" w:lineRule="auto"/>
              <w:rPr>
                <w:rFonts w:cs="Arial"/>
                <w:sz w:val="24"/>
                <w:szCs w:val="24"/>
              </w:rPr>
            </w:pPr>
            <w:r w:rsidRPr="009D1EF8">
              <w:rPr>
                <w:rFonts w:cs="Arial"/>
                <w:sz w:val="24"/>
                <w:szCs w:val="24"/>
              </w:rPr>
              <w:t>Emergency Responder</w:t>
            </w:r>
          </w:p>
        </w:tc>
        <w:tc>
          <w:tcPr>
            <w:tcW w:w="3828" w:type="dxa"/>
          </w:tcPr>
          <w:p w14:paraId="4A9A1914" w14:textId="77777777" w:rsidR="009D1EF8" w:rsidRPr="009D1EF8" w:rsidRDefault="009D1EF8" w:rsidP="00EE44EB">
            <w:pPr>
              <w:spacing w:line="360" w:lineRule="auto"/>
              <w:rPr>
                <w:rFonts w:cs="Arial"/>
                <w:sz w:val="24"/>
                <w:szCs w:val="24"/>
              </w:rPr>
            </w:pPr>
            <w:r w:rsidRPr="009D1EF8">
              <w:rPr>
                <w:rFonts w:cs="Arial"/>
                <w:sz w:val="24"/>
                <w:szCs w:val="24"/>
              </w:rPr>
              <w:t>Responders from the Emergency Services who may have to enter a hazardous area in the event of fire</w:t>
            </w:r>
          </w:p>
        </w:tc>
        <w:tc>
          <w:tcPr>
            <w:tcW w:w="3066" w:type="dxa"/>
          </w:tcPr>
          <w:p w14:paraId="14C0F78C" w14:textId="77777777" w:rsidR="009D1EF8" w:rsidRPr="009D1EF8" w:rsidRDefault="009D1EF8" w:rsidP="00EE44EB">
            <w:pPr>
              <w:numPr>
                <w:ilvl w:val="0"/>
                <w:numId w:val="2"/>
              </w:numPr>
              <w:spacing w:line="360" w:lineRule="auto"/>
              <w:contextualSpacing/>
              <w:rPr>
                <w:rFonts w:cs="Arial"/>
                <w:sz w:val="24"/>
                <w:szCs w:val="24"/>
              </w:rPr>
            </w:pPr>
            <w:r w:rsidRPr="009D1EF8">
              <w:rPr>
                <w:rFonts w:cs="Arial"/>
                <w:sz w:val="24"/>
                <w:szCs w:val="24"/>
              </w:rPr>
              <w:t>Emergency Response Times</w:t>
            </w:r>
          </w:p>
        </w:tc>
      </w:tr>
      <w:tr w:rsidR="009D1EF8" w:rsidRPr="009D1EF8" w14:paraId="16832637" w14:textId="77777777" w:rsidTr="004563E5">
        <w:trPr>
          <w:trHeight w:val="1087"/>
        </w:trPr>
        <w:tc>
          <w:tcPr>
            <w:tcW w:w="2263" w:type="dxa"/>
          </w:tcPr>
          <w:p w14:paraId="04E68D4D" w14:textId="77777777" w:rsidR="009D1EF8" w:rsidRPr="009D1EF8" w:rsidRDefault="009D1EF8" w:rsidP="00EE44EB">
            <w:pPr>
              <w:spacing w:line="360" w:lineRule="auto"/>
              <w:rPr>
                <w:rFonts w:cs="Arial"/>
                <w:sz w:val="24"/>
                <w:szCs w:val="24"/>
              </w:rPr>
            </w:pPr>
            <w:r w:rsidRPr="009D1EF8">
              <w:rPr>
                <w:rFonts w:cs="Arial"/>
                <w:sz w:val="24"/>
                <w:szCs w:val="24"/>
              </w:rPr>
              <w:t>Environment</w:t>
            </w:r>
          </w:p>
        </w:tc>
        <w:tc>
          <w:tcPr>
            <w:tcW w:w="3828" w:type="dxa"/>
          </w:tcPr>
          <w:p w14:paraId="1BC773AE" w14:textId="77777777" w:rsidR="009D1EF8" w:rsidRPr="009D1EF8" w:rsidRDefault="009D1EF8" w:rsidP="00EE44EB">
            <w:pPr>
              <w:spacing w:line="360" w:lineRule="auto"/>
              <w:rPr>
                <w:rFonts w:cs="Arial"/>
                <w:sz w:val="24"/>
                <w:szCs w:val="24"/>
              </w:rPr>
            </w:pPr>
            <w:r w:rsidRPr="009D1EF8">
              <w:rPr>
                <w:rFonts w:cs="Arial"/>
                <w:sz w:val="24"/>
                <w:szCs w:val="24"/>
              </w:rPr>
              <w:t xml:space="preserve">Air, </w:t>
            </w:r>
            <w:proofErr w:type="gramStart"/>
            <w:r w:rsidRPr="009D1EF8">
              <w:rPr>
                <w:rFonts w:cs="Arial"/>
                <w:sz w:val="24"/>
                <w:szCs w:val="24"/>
              </w:rPr>
              <w:t>water</w:t>
            </w:r>
            <w:proofErr w:type="gramEnd"/>
            <w:r w:rsidRPr="009D1EF8">
              <w:rPr>
                <w:rFonts w:cs="Arial"/>
                <w:sz w:val="24"/>
                <w:szCs w:val="24"/>
              </w:rPr>
              <w:t xml:space="preserve"> and land </w:t>
            </w:r>
          </w:p>
        </w:tc>
        <w:tc>
          <w:tcPr>
            <w:tcW w:w="3066" w:type="dxa"/>
          </w:tcPr>
          <w:p w14:paraId="4DAD903C" w14:textId="57085873" w:rsidR="009D1EF8" w:rsidRPr="009D1EF8" w:rsidRDefault="009D1EF8" w:rsidP="00EE44EB">
            <w:pPr>
              <w:numPr>
                <w:ilvl w:val="0"/>
                <w:numId w:val="4"/>
              </w:numPr>
              <w:spacing w:line="360" w:lineRule="auto"/>
              <w:contextualSpacing/>
              <w:rPr>
                <w:rFonts w:cs="Arial"/>
                <w:sz w:val="24"/>
                <w:szCs w:val="24"/>
              </w:rPr>
            </w:pPr>
            <w:r w:rsidRPr="009D1EF8">
              <w:rPr>
                <w:rFonts w:cs="Arial"/>
                <w:sz w:val="24"/>
                <w:szCs w:val="24"/>
              </w:rPr>
              <w:t>Flood Risk Areas</w:t>
            </w:r>
            <w:r w:rsidR="00567535">
              <w:rPr>
                <w:rFonts w:cs="Arial"/>
                <w:sz w:val="24"/>
                <w:szCs w:val="24"/>
              </w:rPr>
              <w:t xml:space="preserve"> (taken from environmental health data)</w:t>
            </w:r>
            <w:r w:rsidRPr="009D1EF8">
              <w:rPr>
                <w:rFonts w:cs="Arial"/>
                <w:sz w:val="24"/>
                <w:szCs w:val="24"/>
              </w:rPr>
              <w:t xml:space="preserve"> </w:t>
            </w:r>
          </w:p>
        </w:tc>
      </w:tr>
      <w:tr w:rsidR="009D1EF8" w:rsidRPr="009D1EF8" w14:paraId="7A1663AE" w14:textId="77777777" w:rsidTr="004563E5">
        <w:trPr>
          <w:trHeight w:val="1276"/>
        </w:trPr>
        <w:tc>
          <w:tcPr>
            <w:tcW w:w="2263" w:type="dxa"/>
          </w:tcPr>
          <w:p w14:paraId="405DCC58" w14:textId="77777777" w:rsidR="009D1EF8" w:rsidRPr="009D1EF8" w:rsidRDefault="009D1EF8" w:rsidP="00EE44EB">
            <w:pPr>
              <w:spacing w:line="360" w:lineRule="auto"/>
              <w:rPr>
                <w:rFonts w:cs="Arial"/>
                <w:sz w:val="24"/>
                <w:szCs w:val="24"/>
              </w:rPr>
            </w:pPr>
            <w:r w:rsidRPr="009D1EF8">
              <w:rPr>
                <w:rFonts w:cs="Arial"/>
                <w:sz w:val="24"/>
                <w:szCs w:val="24"/>
              </w:rPr>
              <w:t>Social &amp; Community</w:t>
            </w:r>
          </w:p>
        </w:tc>
        <w:tc>
          <w:tcPr>
            <w:tcW w:w="3828" w:type="dxa"/>
          </w:tcPr>
          <w:p w14:paraId="697526EE" w14:textId="77777777" w:rsidR="009D1EF8" w:rsidRPr="009D1EF8" w:rsidRDefault="009D1EF8" w:rsidP="00EE44EB">
            <w:pPr>
              <w:spacing w:line="360" w:lineRule="auto"/>
              <w:rPr>
                <w:rFonts w:cs="Arial"/>
                <w:sz w:val="24"/>
                <w:szCs w:val="24"/>
              </w:rPr>
            </w:pPr>
            <w:r w:rsidRPr="009D1EF8">
              <w:rPr>
                <w:rFonts w:cs="Arial"/>
                <w:sz w:val="24"/>
                <w:szCs w:val="24"/>
              </w:rPr>
              <w:t>A perceived value that causes public, political and/or media reaction which may also include community disruption.</w:t>
            </w:r>
          </w:p>
        </w:tc>
        <w:tc>
          <w:tcPr>
            <w:tcW w:w="3066" w:type="dxa"/>
          </w:tcPr>
          <w:p w14:paraId="4E6365EE" w14:textId="77777777" w:rsidR="009D1EF8" w:rsidRPr="009D1EF8" w:rsidRDefault="009D1EF8" w:rsidP="00EE44EB">
            <w:pPr>
              <w:numPr>
                <w:ilvl w:val="0"/>
                <w:numId w:val="5"/>
              </w:numPr>
              <w:spacing w:line="360" w:lineRule="auto"/>
              <w:contextualSpacing/>
              <w:rPr>
                <w:rFonts w:cs="Arial"/>
                <w:sz w:val="24"/>
                <w:szCs w:val="24"/>
              </w:rPr>
            </w:pPr>
            <w:proofErr w:type="spellStart"/>
            <w:r w:rsidRPr="009D1EF8">
              <w:rPr>
                <w:rFonts w:cs="Arial"/>
                <w:sz w:val="24"/>
                <w:szCs w:val="24"/>
              </w:rPr>
              <w:t>LSOA</w:t>
            </w:r>
            <w:proofErr w:type="spellEnd"/>
            <w:r w:rsidRPr="009D1EF8">
              <w:rPr>
                <w:rFonts w:cs="Arial"/>
                <w:sz w:val="24"/>
                <w:szCs w:val="24"/>
              </w:rPr>
              <w:t xml:space="preserve"> Risk Information</w:t>
            </w:r>
          </w:p>
          <w:p w14:paraId="564A43C3" w14:textId="4F92ADEA" w:rsidR="009D1EF8" w:rsidRPr="009D1EF8" w:rsidRDefault="009D1EF8" w:rsidP="00EE44EB">
            <w:pPr>
              <w:numPr>
                <w:ilvl w:val="0"/>
                <w:numId w:val="5"/>
              </w:numPr>
              <w:spacing w:line="360" w:lineRule="auto"/>
              <w:contextualSpacing/>
              <w:rPr>
                <w:rFonts w:cs="Arial"/>
                <w:sz w:val="24"/>
                <w:szCs w:val="24"/>
              </w:rPr>
            </w:pPr>
            <w:r w:rsidRPr="009D1EF8">
              <w:rPr>
                <w:rFonts w:cs="Arial"/>
                <w:sz w:val="24"/>
                <w:szCs w:val="24"/>
              </w:rPr>
              <w:t>Mott M</w:t>
            </w:r>
            <w:r w:rsidR="00EF76CA">
              <w:rPr>
                <w:rFonts w:cs="Arial"/>
                <w:sz w:val="24"/>
                <w:szCs w:val="24"/>
              </w:rPr>
              <w:t>a</w:t>
            </w:r>
            <w:r w:rsidRPr="009D1EF8">
              <w:rPr>
                <w:rFonts w:cs="Arial"/>
                <w:sz w:val="24"/>
                <w:szCs w:val="24"/>
              </w:rPr>
              <w:t>cDonald Score</w:t>
            </w:r>
          </w:p>
        </w:tc>
      </w:tr>
    </w:tbl>
    <w:p w14:paraId="47FB143B" w14:textId="77777777" w:rsidR="009D1EF8" w:rsidRPr="009D1EF8" w:rsidRDefault="009D1EF8" w:rsidP="00EE44EB">
      <w:pPr>
        <w:keepNext/>
        <w:spacing w:after="0" w:line="360" w:lineRule="auto"/>
        <w:ind w:left="720"/>
        <w:outlineLvl w:val="2"/>
        <w:rPr>
          <w:rFonts w:ascii="Arial" w:eastAsia="Times New Roman" w:hAnsi="Arial" w:cs="Arial"/>
          <w:b/>
          <w:bCs/>
          <w:sz w:val="26"/>
          <w:szCs w:val="26"/>
          <w:lang w:eastAsia="en-GB"/>
        </w:rPr>
      </w:pPr>
    </w:p>
    <w:p w14:paraId="0643E564" w14:textId="77777777" w:rsidR="009D1EF8" w:rsidRPr="009D1EF8" w:rsidRDefault="009D1EF8" w:rsidP="00EE44EB">
      <w:pPr>
        <w:spacing w:after="0" w:line="360" w:lineRule="auto"/>
        <w:rPr>
          <w:rFonts w:ascii="Arial" w:eastAsia="Times New Roman" w:hAnsi="Arial" w:cs="Arial"/>
          <w:b/>
          <w:sz w:val="28"/>
          <w:szCs w:val="24"/>
          <w:lang w:val="en" w:eastAsia="en-GB"/>
        </w:rPr>
      </w:pPr>
      <w:r w:rsidRPr="009D1EF8">
        <w:rPr>
          <w:rFonts w:ascii="Arial" w:eastAsia="Times New Roman" w:hAnsi="Arial" w:cs="Arial"/>
          <w:sz w:val="24"/>
          <w:szCs w:val="24"/>
          <w:lang w:eastAsia="en-GB"/>
        </w:rPr>
        <w:br w:type="page"/>
      </w:r>
    </w:p>
    <w:p w14:paraId="75C3EB84" w14:textId="77777777" w:rsidR="009D1EF8" w:rsidRPr="001B64DF" w:rsidRDefault="009D1EF8" w:rsidP="00EE44EB">
      <w:pPr>
        <w:pStyle w:val="Heading1"/>
        <w:spacing w:before="0" w:line="360" w:lineRule="auto"/>
        <w:rPr>
          <w:rFonts w:ascii="Arial" w:eastAsia="Times New Roman" w:hAnsi="Arial" w:cs="Arial"/>
          <w:lang w:val="en" w:eastAsia="en-GB"/>
        </w:rPr>
      </w:pPr>
      <w:bookmarkStart w:id="13" w:name="_Toc77267542"/>
      <w:bookmarkStart w:id="14" w:name="_Toc85469287"/>
      <w:r w:rsidRPr="001B64DF">
        <w:rPr>
          <w:rFonts w:ascii="Arial" w:eastAsia="Times New Roman" w:hAnsi="Arial" w:cs="Arial"/>
          <w:lang w:val="en" w:eastAsia="en-GB"/>
        </w:rPr>
        <w:lastRenderedPageBreak/>
        <w:t>Appendix C – Additional Markers</w:t>
      </w:r>
      <w:bookmarkEnd w:id="13"/>
      <w:bookmarkEnd w:id="14"/>
    </w:p>
    <w:p w14:paraId="782F1E03" w14:textId="77777777" w:rsidR="009D1EF8" w:rsidRPr="009D1EF8" w:rsidRDefault="009D1EF8" w:rsidP="00EE44EB">
      <w:pPr>
        <w:spacing w:after="0" w:line="360" w:lineRule="auto"/>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Additional markers are included to inform the Service and Inspecting Officers:</w:t>
      </w:r>
    </w:p>
    <w:p w14:paraId="429F4B0E" w14:textId="42471AA1" w:rsidR="009D1EF8" w:rsidRPr="009D1EF8" w:rsidRDefault="009D1EF8" w:rsidP="00EE44EB">
      <w:pPr>
        <w:numPr>
          <w:ilvl w:val="1"/>
          <w:numId w:val="7"/>
        </w:numPr>
        <w:spacing w:after="0" w:line="360" w:lineRule="auto"/>
        <w:ind w:left="426" w:hanging="426"/>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Combined Code – this is a combination of the FSEC code</w:t>
      </w:r>
      <w:r w:rsidR="004563E5">
        <w:rPr>
          <w:rFonts w:ascii="Arial" w:eastAsia="Times New Roman" w:hAnsi="Arial" w:cs="Arial"/>
          <w:sz w:val="24"/>
          <w:szCs w:val="24"/>
          <w:lang w:eastAsia="en-GB"/>
        </w:rPr>
        <w:t xml:space="preserve"> and</w:t>
      </w:r>
      <w:r w:rsidRPr="009D1EF8">
        <w:rPr>
          <w:rFonts w:ascii="Arial" w:eastAsia="Times New Roman" w:hAnsi="Arial" w:cs="Arial"/>
          <w:sz w:val="24"/>
          <w:szCs w:val="24"/>
          <w:lang w:eastAsia="en-GB"/>
        </w:rPr>
        <w:t xml:space="preserve"> the Supplementary Line Number for the </w:t>
      </w:r>
      <w:r w:rsidR="001B64DF" w:rsidRPr="009D1EF8">
        <w:rPr>
          <w:rFonts w:ascii="Arial" w:eastAsia="Times New Roman" w:hAnsi="Arial" w:cs="Arial"/>
          <w:sz w:val="24"/>
          <w:szCs w:val="24"/>
          <w:lang w:eastAsia="en-GB"/>
        </w:rPr>
        <w:t>Premises</w:t>
      </w:r>
      <w:r w:rsidR="004563E5">
        <w:rPr>
          <w:rFonts w:ascii="Arial" w:eastAsia="Times New Roman" w:hAnsi="Arial" w:cs="Arial"/>
          <w:sz w:val="24"/>
          <w:szCs w:val="24"/>
          <w:lang w:eastAsia="en-GB"/>
        </w:rPr>
        <w:t>.</w:t>
      </w:r>
    </w:p>
    <w:p w14:paraId="740F3C90" w14:textId="77777777" w:rsidR="009D1EF8" w:rsidRPr="009D1EF8" w:rsidRDefault="009D1EF8" w:rsidP="00EE44EB">
      <w:pPr>
        <w:numPr>
          <w:ilvl w:val="1"/>
          <w:numId w:val="7"/>
        </w:numPr>
        <w:spacing w:after="0" w:line="360" w:lineRule="auto"/>
        <w:ind w:left="426" w:hanging="426"/>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Enforcement Action – shows Y if the premises has had an enforcement notice issued during the previous 3 years.</w:t>
      </w:r>
    </w:p>
    <w:p w14:paraId="07935069" w14:textId="77777777" w:rsidR="009D1EF8" w:rsidRPr="009D1EF8" w:rsidRDefault="009D1EF8" w:rsidP="00EE44EB">
      <w:pPr>
        <w:numPr>
          <w:ilvl w:val="1"/>
          <w:numId w:val="7"/>
        </w:numPr>
        <w:spacing w:after="0" w:line="360" w:lineRule="auto"/>
        <w:ind w:left="426" w:hanging="426"/>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Last Audit – shows the last date the premises had a fire safety audit, or blank if the premises has never been audited.</w:t>
      </w:r>
    </w:p>
    <w:p w14:paraId="3980756E" w14:textId="48204F42" w:rsidR="009D1EF8" w:rsidRDefault="009D1EF8" w:rsidP="00EE44EB">
      <w:pPr>
        <w:numPr>
          <w:ilvl w:val="1"/>
          <w:numId w:val="7"/>
        </w:numPr>
        <w:spacing w:after="0" w:line="360" w:lineRule="auto"/>
        <w:ind w:left="426" w:hanging="426"/>
        <w:contextualSpacing/>
        <w:jc w:val="both"/>
        <w:rPr>
          <w:rFonts w:ascii="Arial" w:eastAsia="Times New Roman" w:hAnsi="Arial" w:cs="Arial"/>
          <w:sz w:val="24"/>
          <w:szCs w:val="24"/>
          <w:lang w:eastAsia="en-GB"/>
        </w:rPr>
      </w:pPr>
      <w:r w:rsidRPr="009D1EF8">
        <w:rPr>
          <w:rFonts w:ascii="Arial" w:eastAsia="Times New Roman" w:hAnsi="Arial" w:cs="Arial"/>
          <w:sz w:val="24"/>
          <w:szCs w:val="24"/>
          <w:lang w:eastAsia="en-GB"/>
        </w:rPr>
        <w:t xml:space="preserve">Building Height – gives the building height from the enhanced </w:t>
      </w:r>
      <w:proofErr w:type="spellStart"/>
      <w:r w:rsidRPr="009D1EF8">
        <w:rPr>
          <w:rFonts w:ascii="Arial" w:eastAsia="Times New Roman" w:hAnsi="Arial" w:cs="Arial"/>
          <w:sz w:val="24"/>
          <w:szCs w:val="24"/>
          <w:lang w:eastAsia="en-GB"/>
        </w:rPr>
        <w:t>AddressBase</w:t>
      </w:r>
      <w:proofErr w:type="spellEnd"/>
      <w:r w:rsidRPr="009D1EF8">
        <w:rPr>
          <w:rFonts w:ascii="Arial" w:eastAsia="Times New Roman" w:hAnsi="Arial" w:cs="Arial"/>
          <w:sz w:val="24"/>
          <w:szCs w:val="24"/>
          <w:lang w:eastAsia="en-GB"/>
        </w:rPr>
        <w:t xml:space="preserve"> gazetteer, together with the Estimated Number of Storeys.</w:t>
      </w:r>
    </w:p>
    <w:p w14:paraId="537767B7" w14:textId="6546126D" w:rsidR="009D1EF8" w:rsidRPr="001B5BC1" w:rsidRDefault="009D1EF8" w:rsidP="001B5BC1">
      <w:pPr>
        <w:rPr>
          <w:rFonts w:ascii="Arial" w:eastAsia="Times New Roman" w:hAnsi="Arial" w:cs="Arial"/>
          <w:sz w:val="24"/>
          <w:szCs w:val="24"/>
          <w:lang w:eastAsia="en-GB"/>
        </w:rPr>
      </w:pPr>
    </w:p>
    <w:sectPr w:rsidR="009D1EF8" w:rsidRPr="001B5BC1" w:rsidSect="009D1EF8">
      <w:footerReference w:type="default" r:id="rId15"/>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D6FB" w14:textId="77777777" w:rsidR="009A7655" w:rsidRDefault="009A7655" w:rsidP="001B64DF">
      <w:pPr>
        <w:spacing w:after="0" w:line="240" w:lineRule="auto"/>
      </w:pPr>
      <w:r>
        <w:separator/>
      </w:r>
    </w:p>
  </w:endnote>
  <w:endnote w:type="continuationSeparator" w:id="0">
    <w:p w14:paraId="75FF0466" w14:textId="77777777" w:rsidR="009A7655" w:rsidRDefault="009A7655" w:rsidP="001B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51300"/>
      <w:docPartObj>
        <w:docPartGallery w:val="Page Numbers (Bottom of Page)"/>
        <w:docPartUnique/>
      </w:docPartObj>
    </w:sdtPr>
    <w:sdtEndPr/>
    <w:sdtContent>
      <w:sdt>
        <w:sdtPr>
          <w:id w:val="-1769616900"/>
          <w:docPartObj>
            <w:docPartGallery w:val="Page Numbers (Top of Page)"/>
            <w:docPartUnique/>
          </w:docPartObj>
        </w:sdtPr>
        <w:sdtEndPr/>
        <w:sdtContent>
          <w:p w14:paraId="17A38ADC" w14:textId="1B5AF284" w:rsidR="001B64DF" w:rsidRDefault="00DA6273" w:rsidP="00DA6273">
            <w:pPr>
              <w:pStyle w:val="Footer"/>
            </w:pPr>
            <w:r>
              <w:t>Version 1</w:t>
            </w:r>
            <w:r>
              <w:tab/>
            </w:r>
            <w:r>
              <w:tab/>
            </w:r>
            <w:r w:rsidR="001B64DF">
              <w:t xml:space="preserve">Page </w:t>
            </w:r>
            <w:r w:rsidR="001B64DF">
              <w:rPr>
                <w:b/>
                <w:bCs/>
                <w:sz w:val="24"/>
                <w:szCs w:val="24"/>
              </w:rPr>
              <w:fldChar w:fldCharType="begin"/>
            </w:r>
            <w:r w:rsidR="001B64DF">
              <w:rPr>
                <w:b/>
                <w:bCs/>
              </w:rPr>
              <w:instrText xml:space="preserve"> PAGE </w:instrText>
            </w:r>
            <w:r w:rsidR="001B64DF">
              <w:rPr>
                <w:b/>
                <w:bCs/>
                <w:sz w:val="24"/>
                <w:szCs w:val="24"/>
              </w:rPr>
              <w:fldChar w:fldCharType="separate"/>
            </w:r>
            <w:r w:rsidR="001B64DF">
              <w:rPr>
                <w:b/>
                <w:bCs/>
                <w:noProof/>
              </w:rPr>
              <w:t>2</w:t>
            </w:r>
            <w:r w:rsidR="001B64DF">
              <w:rPr>
                <w:b/>
                <w:bCs/>
                <w:sz w:val="24"/>
                <w:szCs w:val="24"/>
              </w:rPr>
              <w:fldChar w:fldCharType="end"/>
            </w:r>
            <w:r w:rsidR="001B64DF">
              <w:t xml:space="preserve"> of </w:t>
            </w:r>
            <w:r w:rsidR="001B64DF">
              <w:rPr>
                <w:b/>
                <w:bCs/>
                <w:sz w:val="24"/>
                <w:szCs w:val="24"/>
              </w:rPr>
              <w:fldChar w:fldCharType="begin"/>
            </w:r>
            <w:r w:rsidR="001B64DF">
              <w:rPr>
                <w:b/>
                <w:bCs/>
              </w:rPr>
              <w:instrText xml:space="preserve"> NUMPAGES  </w:instrText>
            </w:r>
            <w:r w:rsidR="001B64DF">
              <w:rPr>
                <w:b/>
                <w:bCs/>
                <w:sz w:val="24"/>
                <w:szCs w:val="24"/>
              </w:rPr>
              <w:fldChar w:fldCharType="separate"/>
            </w:r>
            <w:r w:rsidR="001B64DF">
              <w:rPr>
                <w:b/>
                <w:bCs/>
                <w:noProof/>
              </w:rPr>
              <w:t>2</w:t>
            </w:r>
            <w:r w:rsidR="001B64DF">
              <w:rPr>
                <w:b/>
                <w:bCs/>
                <w:sz w:val="24"/>
                <w:szCs w:val="24"/>
              </w:rPr>
              <w:fldChar w:fldCharType="end"/>
            </w:r>
          </w:p>
        </w:sdtContent>
      </w:sdt>
    </w:sdtContent>
  </w:sdt>
  <w:p w14:paraId="0E8F8D7F" w14:textId="77777777" w:rsidR="001B64DF" w:rsidRDefault="001B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5ABB" w14:textId="77777777" w:rsidR="009A7655" w:rsidRDefault="009A7655" w:rsidP="001B64DF">
      <w:pPr>
        <w:spacing w:after="0" w:line="240" w:lineRule="auto"/>
      </w:pPr>
      <w:r>
        <w:separator/>
      </w:r>
    </w:p>
  </w:footnote>
  <w:footnote w:type="continuationSeparator" w:id="0">
    <w:p w14:paraId="527B67F2" w14:textId="77777777" w:rsidR="009A7655" w:rsidRDefault="009A7655" w:rsidP="001B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75"/>
    <w:multiLevelType w:val="hybridMultilevel"/>
    <w:tmpl w:val="A202B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B7480"/>
    <w:multiLevelType w:val="hybridMultilevel"/>
    <w:tmpl w:val="E0BC1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C684A"/>
    <w:multiLevelType w:val="hybridMultilevel"/>
    <w:tmpl w:val="6F360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8D61A5"/>
    <w:multiLevelType w:val="hybridMultilevel"/>
    <w:tmpl w:val="D8BC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94673F"/>
    <w:multiLevelType w:val="hybridMultilevel"/>
    <w:tmpl w:val="2DF22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C26890"/>
    <w:multiLevelType w:val="hybridMultilevel"/>
    <w:tmpl w:val="E0BC1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55C45"/>
    <w:multiLevelType w:val="hybridMultilevel"/>
    <w:tmpl w:val="F4C61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D82632"/>
    <w:multiLevelType w:val="hybridMultilevel"/>
    <w:tmpl w:val="EB060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925538"/>
    <w:multiLevelType w:val="multilevel"/>
    <w:tmpl w:val="F7B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4F0581"/>
    <w:multiLevelType w:val="multilevel"/>
    <w:tmpl w:val="9184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AD7A31"/>
    <w:multiLevelType w:val="multilevel"/>
    <w:tmpl w:val="16B44D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1" w15:restartNumberingAfterBreak="0">
    <w:nsid w:val="5DF12331"/>
    <w:multiLevelType w:val="hybridMultilevel"/>
    <w:tmpl w:val="E0BC15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1567A5"/>
    <w:multiLevelType w:val="hybridMultilevel"/>
    <w:tmpl w:val="DFFA0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8F1E85"/>
    <w:multiLevelType w:val="hybridMultilevel"/>
    <w:tmpl w:val="0F1C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2"/>
  </w:num>
  <w:num w:numId="4">
    <w:abstractNumId w:val="4"/>
  </w:num>
  <w:num w:numId="5">
    <w:abstractNumId w:val="0"/>
  </w:num>
  <w:num w:numId="6">
    <w:abstractNumId w:val="1"/>
  </w:num>
  <w:num w:numId="7">
    <w:abstractNumId w:val="5"/>
  </w:num>
  <w:num w:numId="8">
    <w:abstractNumId w:val="10"/>
  </w:num>
  <w:num w:numId="9">
    <w:abstractNumId w:val="8"/>
  </w:num>
  <w:num w:numId="10">
    <w:abstractNumId w:val="9"/>
  </w:num>
  <w:num w:numId="11">
    <w:abstractNumId w:val="3"/>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F8"/>
    <w:rsid w:val="00005999"/>
    <w:rsid w:val="0001722A"/>
    <w:rsid w:val="00081937"/>
    <w:rsid w:val="000F130F"/>
    <w:rsid w:val="001B5BC1"/>
    <w:rsid w:val="001B64DF"/>
    <w:rsid w:val="001B66B3"/>
    <w:rsid w:val="001D1CB6"/>
    <w:rsid w:val="00203A3F"/>
    <w:rsid w:val="002B7C3E"/>
    <w:rsid w:val="002D45FE"/>
    <w:rsid w:val="00320DBE"/>
    <w:rsid w:val="004563E5"/>
    <w:rsid w:val="004D1BD1"/>
    <w:rsid w:val="00567535"/>
    <w:rsid w:val="00582423"/>
    <w:rsid w:val="005A103C"/>
    <w:rsid w:val="00626E62"/>
    <w:rsid w:val="0063608E"/>
    <w:rsid w:val="006464B8"/>
    <w:rsid w:val="007D35AC"/>
    <w:rsid w:val="009A7655"/>
    <w:rsid w:val="009B5D68"/>
    <w:rsid w:val="009D1EF8"/>
    <w:rsid w:val="00A044E7"/>
    <w:rsid w:val="00B0297F"/>
    <w:rsid w:val="00C76FF5"/>
    <w:rsid w:val="00CD14AB"/>
    <w:rsid w:val="00D81B46"/>
    <w:rsid w:val="00D9551D"/>
    <w:rsid w:val="00DA6273"/>
    <w:rsid w:val="00E11CBC"/>
    <w:rsid w:val="00E34F53"/>
    <w:rsid w:val="00EE44EB"/>
    <w:rsid w:val="00EF76CA"/>
    <w:rsid w:val="00F042C5"/>
    <w:rsid w:val="00F2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0E8D"/>
  <w15:chartTrackingRefBased/>
  <w15:docId w15:val="{9287F964-B5B3-4382-B0D4-E35FBCB1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4F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EF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style>
  <w:style w:type="paragraph" w:styleId="TOC1">
    <w:name w:val="toc 1"/>
    <w:basedOn w:val="Normal"/>
    <w:next w:val="Normal"/>
    <w:autoRedefine/>
    <w:uiPriority w:val="39"/>
    <w:unhideWhenUsed/>
    <w:rsid w:val="00DA6273"/>
    <w:pPr>
      <w:tabs>
        <w:tab w:val="right" w:leader="dot" w:pos="9060"/>
      </w:tabs>
      <w:spacing w:after="100" w:line="360" w:lineRule="auto"/>
    </w:pPr>
  </w:style>
  <w:style w:type="paragraph" w:styleId="TOC2">
    <w:name w:val="toc 2"/>
    <w:basedOn w:val="Normal"/>
    <w:next w:val="Normal"/>
    <w:autoRedefine/>
    <w:uiPriority w:val="39"/>
    <w:unhideWhenUsed/>
    <w:rsid w:val="009D1EF8"/>
    <w:pPr>
      <w:spacing w:after="100"/>
      <w:ind w:left="220"/>
    </w:pPr>
  </w:style>
  <w:style w:type="paragraph" w:styleId="TOC3">
    <w:name w:val="toc 3"/>
    <w:basedOn w:val="Normal"/>
    <w:next w:val="Normal"/>
    <w:autoRedefine/>
    <w:uiPriority w:val="39"/>
    <w:unhideWhenUsed/>
    <w:rsid w:val="009D1EF8"/>
    <w:pPr>
      <w:spacing w:after="100"/>
      <w:ind w:left="440"/>
    </w:pPr>
  </w:style>
  <w:style w:type="character" w:styleId="Hyperlink">
    <w:name w:val="Hyperlink"/>
    <w:basedOn w:val="DefaultParagraphFont"/>
    <w:uiPriority w:val="99"/>
    <w:unhideWhenUsed/>
    <w:rsid w:val="009D1EF8"/>
    <w:rPr>
      <w:color w:val="0563C1" w:themeColor="hyperlink"/>
      <w:u w:val="single"/>
    </w:rPr>
  </w:style>
  <w:style w:type="paragraph" w:customStyle="1" w:styleId="paragraph">
    <w:name w:val="paragraph"/>
    <w:basedOn w:val="Normal"/>
    <w:rsid w:val="009D1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1EF8"/>
  </w:style>
  <w:style w:type="character" w:customStyle="1" w:styleId="eop">
    <w:name w:val="eop"/>
    <w:basedOn w:val="DefaultParagraphFont"/>
    <w:rsid w:val="009D1EF8"/>
  </w:style>
  <w:style w:type="character" w:customStyle="1" w:styleId="Heading1Char">
    <w:name w:val="Heading 1 Char"/>
    <w:basedOn w:val="DefaultParagraphFont"/>
    <w:link w:val="Heading1"/>
    <w:uiPriority w:val="9"/>
    <w:rsid w:val="006360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608E"/>
    <w:pPr>
      <w:outlineLvl w:val="9"/>
    </w:pPr>
    <w:rPr>
      <w:lang w:val="en-US"/>
    </w:rPr>
  </w:style>
  <w:style w:type="character" w:customStyle="1" w:styleId="Heading2Char">
    <w:name w:val="Heading 2 Char"/>
    <w:basedOn w:val="DefaultParagraphFont"/>
    <w:link w:val="Heading2"/>
    <w:uiPriority w:val="9"/>
    <w:rsid w:val="00E34F5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4F53"/>
    <w:pPr>
      <w:ind w:left="720"/>
      <w:contextualSpacing/>
    </w:pPr>
  </w:style>
  <w:style w:type="paragraph" w:styleId="Header">
    <w:name w:val="header"/>
    <w:basedOn w:val="Normal"/>
    <w:link w:val="HeaderChar"/>
    <w:uiPriority w:val="99"/>
    <w:unhideWhenUsed/>
    <w:rsid w:val="001B6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DF"/>
  </w:style>
  <w:style w:type="paragraph" w:styleId="Footer">
    <w:name w:val="footer"/>
    <w:basedOn w:val="Normal"/>
    <w:link w:val="FooterChar"/>
    <w:uiPriority w:val="99"/>
    <w:unhideWhenUsed/>
    <w:rsid w:val="001B6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DF"/>
  </w:style>
  <w:style w:type="character" w:styleId="CommentReference">
    <w:name w:val="annotation reference"/>
    <w:basedOn w:val="DefaultParagraphFont"/>
    <w:uiPriority w:val="99"/>
    <w:semiHidden/>
    <w:unhideWhenUsed/>
    <w:rsid w:val="00626E62"/>
    <w:rPr>
      <w:sz w:val="16"/>
      <w:szCs w:val="16"/>
    </w:rPr>
  </w:style>
  <w:style w:type="paragraph" w:styleId="CommentText">
    <w:name w:val="annotation text"/>
    <w:basedOn w:val="Normal"/>
    <w:link w:val="CommentTextChar"/>
    <w:uiPriority w:val="99"/>
    <w:semiHidden/>
    <w:unhideWhenUsed/>
    <w:rsid w:val="00626E62"/>
    <w:pPr>
      <w:spacing w:line="240" w:lineRule="auto"/>
    </w:pPr>
    <w:rPr>
      <w:sz w:val="20"/>
      <w:szCs w:val="20"/>
    </w:rPr>
  </w:style>
  <w:style w:type="character" w:customStyle="1" w:styleId="CommentTextChar">
    <w:name w:val="Comment Text Char"/>
    <w:basedOn w:val="DefaultParagraphFont"/>
    <w:link w:val="CommentText"/>
    <w:uiPriority w:val="99"/>
    <w:semiHidden/>
    <w:rsid w:val="00626E62"/>
    <w:rPr>
      <w:sz w:val="20"/>
      <w:szCs w:val="20"/>
    </w:rPr>
  </w:style>
  <w:style w:type="paragraph" w:styleId="CommentSubject">
    <w:name w:val="annotation subject"/>
    <w:basedOn w:val="CommentText"/>
    <w:next w:val="CommentText"/>
    <w:link w:val="CommentSubjectChar"/>
    <w:uiPriority w:val="99"/>
    <w:semiHidden/>
    <w:unhideWhenUsed/>
    <w:rsid w:val="00626E62"/>
    <w:rPr>
      <w:b/>
      <w:bCs/>
    </w:rPr>
  </w:style>
  <w:style w:type="character" w:customStyle="1" w:styleId="CommentSubjectChar">
    <w:name w:val="Comment Subject Char"/>
    <w:basedOn w:val="CommentTextChar"/>
    <w:link w:val="CommentSubject"/>
    <w:uiPriority w:val="99"/>
    <w:semiHidden/>
    <w:rsid w:val="00626E62"/>
    <w:rPr>
      <w:b/>
      <w:bCs/>
      <w:sz w:val="20"/>
      <w:szCs w:val="20"/>
    </w:rPr>
  </w:style>
  <w:style w:type="character" w:styleId="UnresolvedMention">
    <w:name w:val="Unresolved Mention"/>
    <w:basedOn w:val="DefaultParagraphFont"/>
    <w:uiPriority w:val="99"/>
    <w:semiHidden/>
    <w:unhideWhenUsed/>
    <w:rsid w:val="00D9551D"/>
    <w:rPr>
      <w:color w:val="605E5C"/>
      <w:shd w:val="clear" w:color="auto" w:fill="E1DFDD"/>
    </w:rPr>
  </w:style>
  <w:style w:type="character" w:styleId="Strong">
    <w:name w:val="Strong"/>
    <w:basedOn w:val="DefaultParagraphFont"/>
    <w:uiPriority w:val="22"/>
    <w:qFormat/>
    <w:rsid w:val="00567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2850">
      <w:bodyDiv w:val="1"/>
      <w:marLeft w:val="0"/>
      <w:marRight w:val="0"/>
      <w:marTop w:val="0"/>
      <w:marBottom w:val="0"/>
      <w:divBdr>
        <w:top w:val="none" w:sz="0" w:space="0" w:color="auto"/>
        <w:left w:val="none" w:sz="0" w:space="0" w:color="auto"/>
        <w:bottom w:val="none" w:sz="0" w:space="0" w:color="auto"/>
        <w:right w:val="none" w:sz="0" w:space="0" w:color="auto"/>
      </w:divBdr>
      <w:divsChild>
        <w:div w:id="1232470915">
          <w:marLeft w:val="0"/>
          <w:marRight w:val="0"/>
          <w:marTop w:val="0"/>
          <w:marBottom w:val="0"/>
          <w:divBdr>
            <w:top w:val="none" w:sz="0" w:space="0" w:color="auto"/>
            <w:left w:val="none" w:sz="0" w:space="0" w:color="auto"/>
            <w:bottom w:val="none" w:sz="0" w:space="0" w:color="auto"/>
            <w:right w:val="none" w:sz="0" w:space="0" w:color="auto"/>
          </w:divBdr>
        </w:div>
        <w:div w:id="1281642662">
          <w:marLeft w:val="0"/>
          <w:marRight w:val="0"/>
          <w:marTop w:val="0"/>
          <w:marBottom w:val="0"/>
          <w:divBdr>
            <w:top w:val="none" w:sz="0" w:space="0" w:color="auto"/>
            <w:left w:val="none" w:sz="0" w:space="0" w:color="auto"/>
            <w:bottom w:val="none" w:sz="0" w:space="0" w:color="auto"/>
            <w:right w:val="none" w:sz="0" w:space="0" w:color="auto"/>
          </w:divBdr>
        </w:div>
        <w:div w:id="1366980163">
          <w:marLeft w:val="0"/>
          <w:marRight w:val="0"/>
          <w:marTop w:val="0"/>
          <w:marBottom w:val="0"/>
          <w:divBdr>
            <w:top w:val="none" w:sz="0" w:space="0" w:color="auto"/>
            <w:left w:val="none" w:sz="0" w:space="0" w:color="auto"/>
            <w:bottom w:val="none" w:sz="0" w:space="0" w:color="auto"/>
            <w:right w:val="none" w:sz="0" w:space="0" w:color="auto"/>
          </w:divBdr>
          <w:divsChild>
            <w:div w:id="507981459">
              <w:marLeft w:val="0"/>
              <w:marRight w:val="0"/>
              <w:marTop w:val="0"/>
              <w:marBottom w:val="0"/>
              <w:divBdr>
                <w:top w:val="none" w:sz="0" w:space="0" w:color="auto"/>
                <w:left w:val="none" w:sz="0" w:space="0" w:color="auto"/>
                <w:bottom w:val="none" w:sz="0" w:space="0" w:color="auto"/>
                <w:right w:val="none" w:sz="0" w:space="0" w:color="auto"/>
              </w:divBdr>
            </w:div>
            <w:div w:id="1945990841">
              <w:marLeft w:val="0"/>
              <w:marRight w:val="0"/>
              <w:marTop w:val="0"/>
              <w:marBottom w:val="0"/>
              <w:divBdr>
                <w:top w:val="none" w:sz="0" w:space="0" w:color="auto"/>
                <w:left w:val="none" w:sz="0" w:space="0" w:color="auto"/>
                <w:bottom w:val="none" w:sz="0" w:space="0" w:color="auto"/>
                <w:right w:val="none" w:sz="0" w:space="0" w:color="auto"/>
              </w:divBdr>
            </w:div>
          </w:divsChild>
        </w:div>
        <w:div w:id="1964924062">
          <w:marLeft w:val="0"/>
          <w:marRight w:val="0"/>
          <w:marTop w:val="0"/>
          <w:marBottom w:val="0"/>
          <w:divBdr>
            <w:top w:val="none" w:sz="0" w:space="0" w:color="auto"/>
            <w:left w:val="none" w:sz="0" w:space="0" w:color="auto"/>
            <w:bottom w:val="none" w:sz="0" w:space="0" w:color="auto"/>
            <w:right w:val="none" w:sz="0" w:space="0" w:color="auto"/>
          </w:divBdr>
          <w:divsChild>
            <w:div w:id="381101494">
              <w:marLeft w:val="0"/>
              <w:marRight w:val="0"/>
              <w:marTop w:val="0"/>
              <w:marBottom w:val="0"/>
              <w:divBdr>
                <w:top w:val="none" w:sz="0" w:space="0" w:color="auto"/>
                <w:left w:val="none" w:sz="0" w:space="0" w:color="auto"/>
                <w:bottom w:val="none" w:sz="0" w:space="0" w:color="auto"/>
                <w:right w:val="none" w:sz="0" w:space="0" w:color="auto"/>
              </w:divBdr>
            </w:div>
            <w:div w:id="1118574049">
              <w:marLeft w:val="0"/>
              <w:marRight w:val="0"/>
              <w:marTop w:val="0"/>
              <w:marBottom w:val="0"/>
              <w:divBdr>
                <w:top w:val="none" w:sz="0" w:space="0" w:color="auto"/>
                <w:left w:val="none" w:sz="0" w:space="0" w:color="auto"/>
                <w:bottom w:val="none" w:sz="0" w:space="0" w:color="auto"/>
                <w:right w:val="none" w:sz="0" w:space="0" w:color="auto"/>
              </w:divBdr>
            </w:div>
          </w:divsChild>
        </w:div>
        <w:div w:id="737944716">
          <w:marLeft w:val="0"/>
          <w:marRight w:val="0"/>
          <w:marTop w:val="0"/>
          <w:marBottom w:val="0"/>
          <w:divBdr>
            <w:top w:val="none" w:sz="0" w:space="0" w:color="auto"/>
            <w:left w:val="none" w:sz="0" w:space="0" w:color="auto"/>
            <w:bottom w:val="none" w:sz="0" w:space="0" w:color="auto"/>
            <w:right w:val="none" w:sz="0" w:space="0" w:color="auto"/>
          </w:divBdr>
          <w:divsChild>
            <w:div w:id="1157919673">
              <w:marLeft w:val="0"/>
              <w:marRight w:val="0"/>
              <w:marTop w:val="0"/>
              <w:marBottom w:val="0"/>
              <w:divBdr>
                <w:top w:val="none" w:sz="0" w:space="0" w:color="auto"/>
                <w:left w:val="none" w:sz="0" w:space="0" w:color="auto"/>
                <w:bottom w:val="none" w:sz="0" w:space="0" w:color="auto"/>
                <w:right w:val="none" w:sz="0" w:space="0" w:color="auto"/>
              </w:divBdr>
            </w:div>
            <w:div w:id="717702385">
              <w:marLeft w:val="0"/>
              <w:marRight w:val="0"/>
              <w:marTop w:val="0"/>
              <w:marBottom w:val="0"/>
              <w:divBdr>
                <w:top w:val="none" w:sz="0" w:space="0" w:color="auto"/>
                <w:left w:val="none" w:sz="0" w:space="0" w:color="auto"/>
                <w:bottom w:val="none" w:sz="0" w:space="0" w:color="auto"/>
                <w:right w:val="none" w:sz="0" w:space="0" w:color="auto"/>
              </w:divBdr>
            </w:div>
            <w:div w:id="1829714198">
              <w:marLeft w:val="0"/>
              <w:marRight w:val="0"/>
              <w:marTop w:val="0"/>
              <w:marBottom w:val="0"/>
              <w:divBdr>
                <w:top w:val="none" w:sz="0" w:space="0" w:color="auto"/>
                <w:left w:val="none" w:sz="0" w:space="0" w:color="auto"/>
                <w:bottom w:val="none" w:sz="0" w:space="0" w:color="auto"/>
                <w:right w:val="none" w:sz="0" w:space="0" w:color="auto"/>
              </w:divBdr>
            </w:div>
          </w:divsChild>
        </w:div>
        <w:div w:id="428740012">
          <w:marLeft w:val="0"/>
          <w:marRight w:val="0"/>
          <w:marTop w:val="0"/>
          <w:marBottom w:val="0"/>
          <w:divBdr>
            <w:top w:val="none" w:sz="0" w:space="0" w:color="auto"/>
            <w:left w:val="none" w:sz="0" w:space="0" w:color="auto"/>
            <w:bottom w:val="none" w:sz="0" w:space="0" w:color="auto"/>
            <w:right w:val="none" w:sz="0" w:space="0" w:color="auto"/>
          </w:divBdr>
        </w:div>
      </w:divsChild>
    </w:div>
    <w:div w:id="976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6234/177874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05/1541/contents/m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5/1541/contents/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6234/1778745.pdf" TargetMode="External"/><Relationship Id="rId4" Type="http://schemas.openxmlformats.org/officeDocument/2006/relationships/settings" Target="settings.xml"/><Relationship Id="rId9" Type="http://schemas.openxmlformats.org/officeDocument/2006/relationships/hyperlink" Target="http://www.legislation.gov.uk/uksi/2005/1541/article/2/mad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02EC-7D0E-43FD-A939-226B39FE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 Hamer</cp:lastModifiedBy>
  <cp:revision>2</cp:revision>
  <cp:lastPrinted>2021-08-05T16:00:00Z</cp:lastPrinted>
  <dcterms:created xsi:type="dcterms:W3CDTF">2021-10-18T16:08:00Z</dcterms:created>
  <dcterms:modified xsi:type="dcterms:W3CDTF">2021-10-18T16:08:00Z</dcterms:modified>
</cp:coreProperties>
</file>