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2C66" w14:textId="03ED59D3" w:rsidR="00227DE6" w:rsidRPr="00AA3DE8" w:rsidRDefault="00C50EE8" w:rsidP="00C50EE8">
      <w:pPr>
        <w:rPr>
          <w:rFonts w:ascii="Arial" w:hAnsi="Arial" w:cs="Arial"/>
          <w:color w:val="000000" w:themeColor="text1"/>
          <w:sz w:val="28"/>
          <w:szCs w:val="28"/>
        </w:rPr>
      </w:pPr>
      <w:r w:rsidRPr="00AA3DE8">
        <w:rPr>
          <w:rFonts w:ascii="Arial" w:hAnsi="Arial" w:cs="Arial"/>
          <w:b/>
          <w:bCs/>
          <w:sz w:val="28"/>
          <w:szCs w:val="28"/>
        </w:rPr>
        <w:t>Lancashire Combined Fire Authority Productivity and Efficiency Plan 2026/27</w:t>
      </w:r>
    </w:p>
    <w:p w14:paraId="5B0C26F6" w14:textId="77777777" w:rsidR="004620EC" w:rsidRPr="00AA3DE8" w:rsidRDefault="004620EC" w:rsidP="6218B4DB">
      <w:pPr>
        <w:rPr>
          <w:rFonts w:ascii="Arial" w:hAnsi="Arial" w:cs="Arial"/>
          <w:color w:val="000000" w:themeColor="text1"/>
          <w:szCs w:val="24"/>
        </w:rPr>
      </w:pPr>
    </w:p>
    <w:p w14:paraId="5EC70F7C" w14:textId="77777777" w:rsidR="002016FB" w:rsidRPr="00AA3DE8" w:rsidRDefault="002016FB">
      <w:pPr>
        <w:rPr>
          <w:rFonts w:ascii="Arial" w:hAnsi="Arial" w:cs="Arial"/>
          <w:b/>
          <w:bCs/>
          <w:szCs w:val="24"/>
        </w:rPr>
      </w:pPr>
      <w:r w:rsidRPr="00AA3DE8">
        <w:rPr>
          <w:rFonts w:ascii="Arial" w:hAnsi="Arial" w:cs="Arial"/>
          <w:b/>
          <w:bCs/>
          <w:szCs w:val="24"/>
        </w:rPr>
        <w:br w:type="page"/>
      </w:r>
    </w:p>
    <w:p w14:paraId="2F1F0ED0" w14:textId="30C79461" w:rsidR="004620EC" w:rsidRPr="00AA3DE8" w:rsidRDefault="004620EC" w:rsidP="44AC8DC3">
      <w:pPr>
        <w:rPr>
          <w:rFonts w:ascii="Arial" w:hAnsi="Arial" w:cs="Arial"/>
          <w:b/>
          <w:bCs/>
          <w:color w:val="000000" w:themeColor="text1"/>
          <w:sz w:val="28"/>
          <w:szCs w:val="28"/>
        </w:rPr>
      </w:pPr>
      <w:r w:rsidRPr="00AA3DE8">
        <w:rPr>
          <w:rFonts w:ascii="Arial" w:hAnsi="Arial" w:cs="Arial"/>
          <w:b/>
          <w:bCs/>
          <w:sz w:val="28"/>
          <w:szCs w:val="28"/>
        </w:rPr>
        <w:lastRenderedPageBreak/>
        <w:t xml:space="preserve">Primary Information </w:t>
      </w:r>
    </w:p>
    <w:p w14:paraId="7228A871" w14:textId="77777777" w:rsidR="00A91324" w:rsidRDefault="00A91324" w:rsidP="6218B4DB">
      <w:pPr>
        <w:rPr>
          <w:rFonts w:ascii="Arial" w:hAnsi="Arial" w:cs="Arial"/>
          <w:color w:val="000000" w:themeColor="text1"/>
          <w:szCs w:val="24"/>
        </w:rPr>
      </w:pPr>
    </w:p>
    <w:p w14:paraId="0FB005B5" w14:textId="77777777" w:rsidR="00BB0D66" w:rsidRDefault="00BB0D66" w:rsidP="001C56D7">
      <w:pPr>
        <w:rPr>
          <w:rFonts w:ascii="Arial" w:hAnsi="Arial" w:cs="Arial"/>
          <w:b/>
          <w:bCs/>
          <w:szCs w:val="24"/>
        </w:rPr>
      </w:pPr>
      <w:bookmarkStart w:id="0" w:name="_Toc196988007"/>
      <w:r w:rsidRPr="001C56D7">
        <w:rPr>
          <w:rFonts w:ascii="Arial" w:hAnsi="Arial" w:cs="Arial"/>
          <w:b/>
          <w:bCs/>
          <w:szCs w:val="24"/>
        </w:rPr>
        <w:t>Budget (£’000)</w:t>
      </w:r>
      <w:bookmarkEnd w:id="0"/>
      <w:r w:rsidRPr="001C56D7">
        <w:rPr>
          <w:rFonts w:ascii="Arial" w:hAnsi="Arial" w:cs="Arial"/>
          <w:b/>
          <w:bCs/>
          <w:szCs w:val="24"/>
        </w:rPr>
        <w:t xml:space="preserve"> </w:t>
      </w:r>
    </w:p>
    <w:p w14:paraId="214B7824" w14:textId="77777777" w:rsidR="00EE060E" w:rsidRPr="001C56D7" w:rsidRDefault="00EE060E" w:rsidP="001C56D7">
      <w:pPr>
        <w:rPr>
          <w:rFonts w:ascii="Arial" w:hAnsi="Arial" w:cs="Arial"/>
          <w:b/>
          <w:bCs/>
          <w:szCs w:val="24"/>
        </w:rPr>
      </w:pPr>
    </w:p>
    <w:tbl>
      <w:tblPr>
        <w:tblStyle w:val="TableGrid"/>
        <w:tblW w:w="8505" w:type="dxa"/>
        <w:tblLayout w:type="fixed"/>
        <w:tblLook w:val="06A0" w:firstRow="1" w:lastRow="0" w:firstColumn="1" w:lastColumn="0" w:noHBand="1" w:noVBand="1"/>
      </w:tblPr>
      <w:tblGrid>
        <w:gridCol w:w="2835"/>
        <w:gridCol w:w="1134"/>
        <w:gridCol w:w="1134"/>
        <w:gridCol w:w="1134"/>
        <w:gridCol w:w="1134"/>
        <w:gridCol w:w="1134"/>
      </w:tblGrid>
      <w:tr w:rsidR="00122539" w:rsidRPr="00D75223" w14:paraId="10EA1021" w14:textId="267810CE" w:rsidTr="00122539">
        <w:trPr>
          <w:trHeight w:val="255"/>
        </w:trPr>
        <w:tc>
          <w:tcPr>
            <w:tcW w:w="2835" w:type="dxa"/>
          </w:tcPr>
          <w:p w14:paraId="7808044A" w14:textId="77777777" w:rsidR="00122539" w:rsidRPr="00D75223" w:rsidRDefault="00122539" w:rsidP="00122539">
            <w:pPr>
              <w:spacing w:before="100" w:beforeAutospacing="1" w:after="100" w:afterAutospacing="1"/>
              <w:rPr>
                <w:rFonts w:ascii="Arial" w:hAnsi="Arial" w:cs="Arial"/>
                <w:b/>
                <w:bCs/>
                <w:szCs w:val="24"/>
              </w:rPr>
            </w:pPr>
            <w:r w:rsidRPr="00D75223">
              <w:rPr>
                <w:rFonts w:ascii="Arial" w:hAnsi="Arial" w:cs="Arial"/>
                <w:b/>
                <w:bCs/>
                <w:szCs w:val="24"/>
              </w:rPr>
              <w:t>Revenue Expenditure</w:t>
            </w:r>
          </w:p>
        </w:tc>
        <w:tc>
          <w:tcPr>
            <w:tcW w:w="1134" w:type="dxa"/>
          </w:tcPr>
          <w:p w14:paraId="29E16F1B" w14:textId="77777777" w:rsidR="00122539" w:rsidRPr="00D75223" w:rsidRDefault="00122539" w:rsidP="00122539">
            <w:pPr>
              <w:spacing w:before="100" w:beforeAutospacing="1" w:after="100" w:afterAutospacing="1"/>
              <w:jc w:val="right"/>
              <w:rPr>
                <w:rFonts w:ascii="Arial" w:hAnsi="Arial" w:cs="Arial"/>
                <w:b/>
                <w:bCs/>
                <w:szCs w:val="24"/>
              </w:rPr>
            </w:pPr>
            <w:r w:rsidRPr="00D75223">
              <w:rPr>
                <w:rFonts w:ascii="Arial" w:hAnsi="Arial" w:cs="Arial"/>
                <w:b/>
                <w:bCs/>
                <w:szCs w:val="24"/>
              </w:rPr>
              <w:t>2024/25</w:t>
            </w:r>
          </w:p>
        </w:tc>
        <w:tc>
          <w:tcPr>
            <w:tcW w:w="1134" w:type="dxa"/>
          </w:tcPr>
          <w:p w14:paraId="4870228B" w14:textId="77777777" w:rsidR="00122539" w:rsidRPr="00D75223" w:rsidRDefault="00122539" w:rsidP="00122539">
            <w:pPr>
              <w:spacing w:before="100" w:beforeAutospacing="1" w:after="100" w:afterAutospacing="1"/>
              <w:jc w:val="right"/>
              <w:rPr>
                <w:rFonts w:ascii="Arial" w:hAnsi="Arial" w:cs="Arial"/>
                <w:b/>
                <w:bCs/>
                <w:szCs w:val="24"/>
              </w:rPr>
            </w:pPr>
            <w:r w:rsidRPr="00D75223">
              <w:rPr>
                <w:rFonts w:ascii="Arial" w:hAnsi="Arial" w:cs="Arial"/>
                <w:b/>
                <w:bCs/>
                <w:szCs w:val="24"/>
              </w:rPr>
              <w:t>2025/26</w:t>
            </w:r>
          </w:p>
        </w:tc>
        <w:tc>
          <w:tcPr>
            <w:tcW w:w="1134" w:type="dxa"/>
          </w:tcPr>
          <w:p w14:paraId="271825F4" w14:textId="0892FCDE" w:rsidR="00122539" w:rsidRPr="00D75223" w:rsidRDefault="00122539" w:rsidP="00122539">
            <w:pPr>
              <w:spacing w:before="100" w:beforeAutospacing="1" w:after="100" w:afterAutospacing="1"/>
              <w:jc w:val="right"/>
              <w:rPr>
                <w:rFonts w:ascii="Arial" w:hAnsi="Arial" w:cs="Arial"/>
                <w:b/>
                <w:bCs/>
                <w:szCs w:val="24"/>
              </w:rPr>
            </w:pPr>
            <w:r w:rsidRPr="00D75223">
              <w:rPr>
                <w:rFonts w:ascii="Arial" w:hAnsi="Arial" w:cs="Arial"/>
                <w:b/>
                <w:bCs/>
                <w:szCs w:val="24"/>
              </w:rPr>
              <w:t>202</w:t>
            </w:r>
            <w:r>
              <w:rPr>
                <w:rFonts w:ascii="Arial" w:hAnsi="Arial" w:cs="Arial"/>
                <w:b/>
                <w:bCs/>
                <w:szCs w:val="24"/>
              </w:rPr>
              <w:t>6</w:t>
            </w:r>
            <w:r w:rsidRPr="00D75223">
              <w:rPr>
                <w:rFonts w:ascii="Arial" w:hAnsi="Arial" w:cs="Arial"/>
                <w:b/>
                <w:bCs/>
                <w:szCs w:val="24"/>
              </w:rPr>
              <w:t>/2</w:t>
            </w:r>
            <w:r>
              <w:rPr>
                <w:rFonts w:ascii="Arial" w:hAnsi="Arial" w:cs="Arial"/>
                <w:b/>
                <w:bCs/>
                <w:szCs w:val="24"/>
              </w:rPr>
              <w:t>7</w:t>
            </w:r>
          </w:p>
        </w:tc>
        <w:tc>
          <w:tcPr>
            <w:tcW w:w="1134" w:type="dxa"/>
          </w:tcPr>
          <w:p w14:paraId="6ED55DAF" w14:textId="6B03FD0C" w:rsidR="00122539" w:rsidRPr="00D75223" w:rsidRDefault="00122539" w:rsidP="00122539">
            <w:pPr>
              <w:spacing w:before="100" w:beforeAutospacing="1" w:after="100" w:afterAutospacing="1"/>
              <w:jc w:val="right"/>
              <w:rPr>
                <w:rFonts w:ascii="Arial" w:hAnsi="Arial" w:cs="Arial"/>
                <w:b/>
                <w:bCs/>
                <w:szCs w:val="24"/>
              </w:rPr>
            </w:pPr>
            <w:r w:rsidRPr="00D75223">
              <w:rPr>
                <w:rFonts w:ascii="Arial" w:hAnsi="Arial" w:cs="Arial"/>
                <w:b/>
                <w:bCs/>
                <w:szCs w:val="24"/>
              </w:rPr>
              <w:t>202</w:t>
            </w:r>
            <w:r w:rsidR="004500CC">
              <w:rPr>
                <w:rFonts w:ascii="Arial" w:hAnsi="Arial" w:cs="Arial"/>
                <w:b/>
                <w:bCs/>
                <w:szCs w:val="24"/>
              </w:rPr>
              <w:t>7</w:t>
            </w:r>
            <w:r w:rsidRPr="00D75223">
              <w:rPr>
                <w:rFonts w:ascii="Arial" w:hAnsi="Arial" w:cs="Arial"/>
                <w:b/>
                <w:bCs/>
                <w:szCs w:val="24"/>
              </w:rPr>
              <w:t>/2</w:t>
            </w:r>
            <w:r w:rsidR="004500CC">
              <w:rPr>
                <w:rFonts w:ascii="Arial" w:hAnsi="Arial" w:cs="Arial"/>
                <w:b/>
                <w:bCs/>
                <w:szCs w:val="24"/>
              </w:rPr>
              <w:t>8</w:t>
            </w:r>
          </w:p>
        </w:tc>
        <w:tc>
          <w:tcPr>
            <w:tcW w:w="1134" w:type="dxa"/>
          </w:tcPr>
          <w:p w14:paraId="672971F8" w14:textId="29270212" w:rsidR="00122539" w:rsidRPr="00D75223" w:rsidRDefault="00122539" w:rsidP="00122539">
            <w:pPr>
              <w:spacing w:before="100" w:beforeAutospacing="1" w:after="100" w:afterAutospacing="1"/>
              <w:jc w:val="right"/>
              <w:rPr>
                <w:rFonts w:ascii="Arial" w:hAnsi="Arial" w:cs="Arial"/>
                <w:b/>
                <w:bCs/>
                <w:szCs w:val="24"/>
              </w:rPr>
            </w:pPr>
            <w:r w:rsidRPr="00D75223">
              <w:rPr>
                <w:rFonts w:ascii="Arial" w:hAnsi="Arial" w:cs="Arial"/>
                <w:b/>
                <w:bCs/>
                <w:szCs w:val="24"/>
              </w:rPr>
              <w:t>202</w:t>
            </w:r>
            <w:r w:rsidR="004500CC">
              <w:rPr>
                <w:rFonts w:ascii="Arial" w:hAnsi="Arial" w:cs="Arial"/>
                <w:b/>
                <w:bCs/>
                <w:szCs w:val="24"/>
              </w:rPr>
              <w:t>8</w:t>
            </w:r>
            <w:r w:rsidRPr="00D75223">
              <w:rPr>
                <w:rFonts w:ascii="Arial" w:hAnsi="Arial" w:cs="Arial"/>
                <w:b/>
                <w:bCs/>
                <w:szCs w:val="24"/>
              </w:rPr>
              <w:t>/2</w:t>
            </w:r>
            <w:r w:rsidR="004500CC">
              <w:rPr>
                <w:rFonts w:ascii="Arial" w:hAnsi="Arial" w:cs="Arial"/>
                <w:b/>
                <w:bCs/>
                <w:szCs w:val="24"/>
              </w:rPr>
              <w:t>9</w:t>
            </w:r>
          </w:p>
        </w:tc>
      </w:tr>
      <w:tr w:rsidR="000F6023" w:rsidRPr="00D75223" w14:paraId="3C6A6CC8" w14:textId="2808218B" w:rsidTr="00122539">
        <w:trPr>
          <w:trHeight w:val="255"/>
        </w:trPr>
        <w:tc>
          <w:tcPr>
            <w:tcW w:w="2835" w:type="dxa"/>
          </w:tcPr>
          <w:p w14:paraId="7E798F76" w14:textId="77777777" w:rsidR="000F6023" w:rsidRPr="00D75223" w:rsidRDefault="000F6023" w:rsidP="000F6023">
            <w:pPr>
              <w:spacing w:before="100" w:beforeAutospacing="1" w:after="100" w:afterAutospacing="1"/>
              <w:rPr>
                <w:rFonts w:ascii="Arial" w:hAnsi="Arial" w:cs="Arial"/>
                <w:szCs w:val="24"/>
              </w:rPr>
            </w:pPr>
            <w:r w:rsidRPr="00A92DC6">
              <w:rPr>
                <w:rFonts w:ascii="Arial" w:hAnsi="Arial" w:cs="Arial"/>
                <w:szCs w:val="24"/>
              </w:rPr>
              <w:t>Direct Employee</w:t>
            </w:r>
          </w:p>
        </w:tc>
        <w:tc>
          <w:tcPr>
            <w:tcW w:w="1134" w:type="dxa"/>
          </w:tcPr>
          <w:p w14:paraId="3F252A71" w14:textId="687172A5"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57</w:t>
            </w:r>
            <w:r>
              <w:rPr>
                <w:rFonts w:ascii="Arial" w:hAnsi="Arial" w:cs="Arial"/>
                <w:szCs w:val="24"/>
              </w:rPr>
              <w:t>,</w:t>
            </w:r>
            <w:r w:rsidRPr="000F6023">
              <w:rPr>
                <w:rFonts w:ascii="Arial" w:hAnsi="Arial" w:cs="Arial"/>
                <w:szCs w:val="24"/>
              </w:rPr>
              <w:t>993</w:t>
            </w:r>
          </w:p>
        </w:tc>
        <w:tc>
          <w:tcPr>
            <w:tcW w:w="1134" w:type="dxa"/>
          </w:tcPr>
          <w:p w14:paraId="0FDA1529" w14:textId="196284F9"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57</w:t>
            </w:r>
            <w:r>
              <w:rPr>
                <w:rFonts w:ascii="Arial" w:hAnsi="Arial" w:cs="Arial"/>
                <w:szCs w:val="24"/>
              </w:rPr>
              <w:t>,</w:t>
            </w:r>
            <w:r w:rsidRPr="000F6023">
              <w:rPr>
                <w:rFonts w:ascii="Arial" w:hAnsi="Arial" w:cs="Arial"/>
                <w:szCs w:val="24"/>
              </w:rPr>
              <w:t>023</w:t>
            </w:r>
          </w:p>
        </w:tc>
        <w:tc>
          <w:tcPr>
            <w:tcW w:w="1134" w:type="dxa"/>
          </w:tcPr>
          <w:p w14:paraId="5D7C8F58" w14:textId="37295B00"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58</w:t>
            </w:r>
            <w:r>
              <w:rPr>
                <w:rFonts w:ascii="Arial" w:hAnsi="Arial" w:cs="Arial"/>
                <w:szCs w:val="24"/>
              </w:rPr>
              <w:t>,</w:t>
            </w:r>
            <w:r w:rsidRPr="000F6023">
              <w:rPr>
                <w:rFonts w:ascii="Arial" w:hAnsi="Arial" w:cs="Arial"/>
                <w:szCs w:val="24"/>
              </w:rPr>
              <w:t>888</w:t>
            </w:r>
          </w:p>
        </w:tc>
        <w:tc>
          <w:tcPr>
            <w:tcW w:w="1134" w:type="dxa"/>
          </w:tcPr>
          <w:p w14:paraId="26B39D0C" w14:textId="234EAF09"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59</w:t>
            </w:r>
            <w:r w:rsidR="00D366B3">
              <w:rPr>
                <w:rFonts w:ascii="Arial" w:hAnsi="Arial" w:cs="Arial"/>
                <w:szCs w:val="24"/>
              </w:rPr>
              <w:t>,</w:t>
            </w:r>
            <w:r w:rsidRPr="000F6023">
              <w:rPr>
                <w:rFonts w:ascii="Arial" w:hAnsi="Arial" w:cs="Arial"/>
                <w:szCs w:val="24"/>
              </w:rPr>
              <w:t>094</w:t>
            </w:r>
          </w:p>
        </w:tc>
        <w:tc>
          <w:tcPr>
            <w:tcW w:w="1134" w:type="dxa"/>
          </w:tcPr>
          <w:p w14:paraId="5AFB9621" w14:textId="5C7BFC29"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59</w:t>
            </w:r>
            <w:r w:rsidR="00D366B3">
              <w:rPr>
                <w:rFonts w:ascii="Arial" w:hAnsi="Arial" w:cs="Arial"/>
                <w:szCs w:val="24"/>
              </w:rPr>
              <w:t>,</w:t>
            </w:r>
            <w:r w:rsidRPr="000F6023">
              <w:rPr>
                <w:rFonts w:ascii="Arial" w:hAnsi="Arial" w:cs="Arial"/>
                <w:szCs w:val="24"/>
              </w:rPr>
              <w:t>599</w:t>
            </w:r>
          </w:p>
        </w:tc>
      </w:tr>
      <w:tr w:rsidR="000F6023" w:rsidRPr="00D75223" w14:paraId="17862DAD" w14:textId="55781AE6" w:rsidTr="00122539">
        <w:trPr>
          <w:trHeight w:val="255"/>
        </w:trPr>
        <w:tc>
          <w:tcPr>
            <w:tcW w:w="2835" w:type="dxa"/>
          </w:tcPr>
          <w:p w14:paraId="59DC18E9" w14:textId="77777777" w:rsidR="000F6023" w:rsidRPr="00D75223" w:rsidRDefault="000F6023" w:rsidP="000F6023">
            <w:pPr>
              <w:spacing w:before="100" w:beforeAutospacing="1" w:after="100" w:afterAutospacing="1"/>
              <w:rPr>
                <w:rFonts w:ascii="Arial" w:hAnsi="Arial" w:cs="Arial"/>
                <w:szCs w:val="24"/>
              </w:rPr>
            </w:pPr>
            <w:r w:rsidRPr="00A92DC6">
              <w:rPr>
                <w:rFonts w:ascii="Arial" w:hAnsi="Arial" w:cs="Arial"/>
                <w:szCs w:val="24"/>
              </w:rPr>
              <w:t>Indirect Employee</w:t>
            </w:r>
          </w:p>
        </w:tc>
        <w:tc>
          <w:tcPr>
            <w:tcW w:w="1134" w:type="dxa"/>
          </w:tcPr>
          <w:p w14:paraId="064C3065" w14:textId="63480A4B"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w:t>
            </w:r>
            <w:r>
              <w:rPr>
                <w:rFonts w:ascii="Arial" w:hAnsi="Arial" w:cs="Arial"/>
                <w:szCs w:val="24"/>
              </w:rPr>
              <w:t>,</w:t>
            </w:r>
            <w:r w:rsidRPr="000F6023">
              <w:rPr>
                <w:rFonts w:ascii="Arial" w:hAnsi="Arial" w:cs="Arial"/>
                <w:szCs w:val="24"/>
              </w:rPr>
              <w:t>491</w:t>
            </w:r>
          </w:p>
        </w:tc>
        <w:tc>
          <w:tcPr>
            <w:tcW w:w="1134" w:type="dxa"/>
          </w:tcPr>
          <w:p w14:paraId="33E94844" w14:textId="73940771"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4</w:t>
            </w:r>
            <w:r>
              <w:rPr>
                <w:rFonts w:ascii="Arial" w:hAnsi="Arial" w:cs="Arial"/>
                <w:szCs w:val="24"/>
              </w:rPr>
              <w:t>,</w:t>
            </w:r>
            <w:r w:rsidRPr="000F6023">
              <w:rPr>
                <w:rFonts w:ascii="Arial" w:hAnsi="Arial" w:cs="Arial"/>
                <w:szCs w:val="24"/>
              </w:rPr>
              <w:t>435</w:t>
            </w:r>
          </w:p>
        </w:tc>
        <w:tc>
          <w:tcPr>
            <w:tcW w:w="1134" w:type="dxa"/>
          </w:tcPr>
          <w:p w14:paraId="0B02868B" w14:textId="4894EA0A"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4</w:t>
            </w:r>
            <w:r>
              <w:rPr>
                <w:rFonts w:ascii="Arial" w:hAnsi="Arial" w:cs="Arial"/>
                <w:szCs w:val="24"/>
              </w:rPr>
              <w:t>,</w:t>
            </w:r>
            <w:r w:rsidRPr="000F6023">
              <w:rPr>
                <w:rFonts w:ascii="Arial" w:hAnsi="Arial" w:cs="Arial"/>
                <w:szCs w:val="24"/>
              </w:rPr>
              <w:t>567</w:t>
            </w:r>
          </w:p>
        </w:tc>
        <w:tc>
          <w:tcPr>
            <w:tcW w:w="1134" w:type="dxa"/>
          </w:tcPr>
          <w:p w14:paraId="37A15159" w14:textId="1C9DBCE5"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4</w:t>
            </w:r>
            <w:r w:rsidR="00D366B3">
              <w:rPr>
                <w:rFonts w:ascii="Arial" w:hAnsi="Arial" w:cs="Arial"/>
                <w:szCs w:val="24"/>
              </w:rPr>
              <w:t>,</w:t>
            </w:r>
            <w:r w:rsidRPr="000F6023">
              <w:rPr>
                <w:rFonts w:ascii="Arial" w:hAnsi="Arial" w:cs="Arial"/>
                <w:szCs w:val="24"/>
              </w:rPr>
              <w:t>714</w:t>
            </w:r>
          </w:p>
        </w:tc>
        <w:tc>
          <w:tcPr>
            <w:tcW w:w="1134" w:type="dxa"/>
          </w:tcPr>
          <w:p w14:paraId="7BACBFFB" w14:textId="1B8592E7"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4</w:t>
            </w:r>
            <w:r w:rsidR="00D366B3">
              <w:rPr>
                <w:rFonts w:ascii="Arial" w:hAnsi="Arial" w:cs="Arial"/>
                <w:szCs w:val="24"/>
              </w:rPr>
              <w:t>,</w:t>
            </w:r>
            <w:r w:rsidRPr="000F6023">
              <w:rPr>
                <w:rFonts w:ascii="Arial" w:hAnsi="Arial" w:cs="Arial"/>
                <w:szCs w:val="24"/>
              </w:rPr>
              <w:t>803</w:t>
            </w:r>
          </w:p>
        </w:tc>
      </w:tr>
      <w:tr w:rsidR="000F6023" w:rsidRPr="00D75223" w14:paraId="7539D6EB" w14:textId="74453E24" w:rsidTr="00122539">
        <w:trPr>
          <w:trHeight w:val="255"/>
        </w:trPr>
        <w:tc>
          <w:tcPr>
            <w:tcW w:w="2835" w:type="dxa"/>
          </w:tcPr>
          <w:p w14:paraId="1192F894" w14:textId="77777777" w:rsidR="000F6023" w:rsidRPr="00D75223" w:rsidRDefault="000F6023" w:rsidP="000F6023">
            <w:pPr>
              <w:spacing w:before="100" w:beforeAutospacing="1" w:after="100" w:afterAutospacing="1"/>
              <w:rPr>
                <w:rFonts w:ascii="Arial" w:hAnsi="Arial" w:cs="Arial"/>
                <w:szCs w:val="24"/>
              </w:rPr>
            </w:pPr>
            <w:r w:rsidRPr="00A92DC6">
              <w:rPr>
                <w:rFonts w:ascii="Arial" w:hAnsi="Arial" w:cs="Arial"/>
                <w:szCs w:val="24"/>
              </w:rPr>
              <w:t>Premises</w:t>
            </w:r>
          </w:p>
        </w:tc>
        <w:tc>
          <w:tcPr>
            <w:tcW w:w="1134" w:type="dxa"/>
          </w:tcPr>
          <w:p w14:paraId="79797322" w14:textId="5DBFBDBB"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w:t>
            </w:r>
            <w:r>
              <w:rPr>
                <w:rFonts w:ascii="Arial" w:hAnsi="Arial" w:cs="Arial"/>
                <w:szCs w:val="24"/>
              </w:rPr>
              <w:t>,</w:t>
            </w:r>
            <w:r w:rsidRPr="000F6023">
              <w:rPr>
                <w:rFonts w:ascii="Arial" w:hAnsi="Arial" w:cs="Arial"/>
                <w:szCs w:val="24"/>
              </w:rPr>
              <w:t>774</w:t>
            </w:r>
          </w:p>
        </w:tc>
        <w:tc>
          <w:tcPr>
            <w:tcW w:w="1134" w:type="dxa"/>
          </w:tcPr>
          <w:p w14:paraId="4342D032" w14:textId="10EE62BB"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w:t>
            </w:r>
            <w:r>
              <w:rPr>
                <w:rFonts w:ascii="Arial" w:hAnsi="Arial" w:cs="Arial"/>
                <w:szCs w:val="24"/>
              </w:rPr>
              <w:t>,</w:t>
            </w:r>
            <w:r w:rsidRPr="000F6023">
              <w:rPr>
                <w:rFonts w:ascii="Arial" w:hAnsi="Arial" w:cs="Arial"/>
                <w:szCs w:val="24"/>
              </w:rPr>
              <w:t>833</w:t>
            </w:r>
          </w:p>
        </w:tc>
        <w:tc>
          <w:tcPr>
            <w:tcW w:w="1134" w:type="dxa"/>
          </w:tcPr>
          <w:p w14:paraId="5DF936F4" w14:textId="13E34FB6"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w:t>
            </w:r>
            <w:r>
              <w:rPr>
                <w:rFonts w:ascii="Arial" w:hAnsi="Arial" w:cs="Arial"/>
                <w:szCs w:val="24"/>
              </w:rPr>
              <w:t>,</w:t>
            </w:r>
            <w:r w:rsidRPr="000F6023">
              <w:rPr>
                <w:rFonts w:ascii="Arial" w:hAnsi="Arial" w:cs="Arial"/>
                <w:szCs w:val="24"/>
              </w:rPr>
              <w:t>258</w:t>
            </w:r>
          </w:p>
        </w:tc>
        <w:tc>
          <w:tcPr>
            <w:tcW w:w="1134" w:type="dxa"/>
          </w:tcPr>
          <w:p w14:paraId="508EEA32" w14:textId="6A6461C0"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w:t>
            </w:r>
            <w:r w:rsidR="00D366B3">
              <w:rPr>
                <w:rFonts w:ascii="Arial" w:hAnsi="Arial" w:cs="Arial"/>
                <w:szCs w:val="24"/>
              </w:rPr>
              <w:t>,</w:t>
            </w:r>
            <w:r w:rsidRPr="000F6023">
              <w:rPr>
                <w:rFonts w:ascii="Arial" w:hAnsi="Arial" w:cs="Arial"/>
                <w:szCs w:val="24"/>
              </w:rPr>
              <w:t>301</w:t>
            </w:r>
          </w:p>
        </w:tc>
        <w:tc>
          <w:tcPr>
            <w:tcW w:w="1134" w:type="dxa"/>
          </w:tcPr>
          <w:p w14:paraId="1F6DDB8C" w14:textId="6E6171DF"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w:t>
            </w:r>
            <w:r w:rsidR="00D366B3">
              <w:rPr>
                <w:rFonts w:ascii="Arial" w:hAnsi="Arial" w:cs="Arial"/>
                <w:szCs w:val="24"/>
              </w:rPr>
              <w:t>,</w:t>
            </w:r>
            <w:r w:rsidRPr="000F6023">
              <w:rPr>
                <w:rFonts w:ascii="Arial" w:hAnsi="Arial" w:cs="Arial"/>
                <w:szCs w:val="24"/>
              </w:rPr>
              <w:t>391</w:t>
            </w:r>
          </w:p>
        </w:tc>
      </w:tr>
      <w:tr w:rsidR="000F6023" w:rsidRPr="00D75223" w14:paraId="678B83AA" w14:textId="5927B351" w:rsidTr="00122539">
        <w:trPr>
          <w:trHeight w:val="255"/>
        </w:trPr>
        <w:tc>
          <w:tcPr>
            <w:tcW w:w="2835" w:type="dxa"/>
          </w:tcPr>
          <w:p w14:paraId="46F6DD85" w14:textId="77777777" w:rsidR="000F6023" w:rsidRPr="00D75223" w:rsidRDefault="000F6023" w:rsidP="000F6023">
            <w:pPr>
              <w:spacing w:before="100" w:beforeAutospacing="1" w:after="100" w:afterAutospacing="1"/>
              <w:rPr>
                <w:rFonts w:ascii="Arial" w:hAnsi="Arial" w:cs="Arial"/>
                <w:szCs w:val="24"/>
              </w:rPr>
            </w:pPr>
            <w:r w:rsidRPr="00A92DC6">
              <w:rPr>
                <w:rFonts w:ascii="Arial" w:hAnsi="Arial" w:cs="Arial"/>
                <w:szCs w:val="24"/>
              </w:rPr>
              <w:t>Transport</w:t>
            </w:r>
          </w:p>
        </w:tc>
        <w:tc>
          <w:tcPr>
            <w:tcW w:w="1134" w:type="dxa"/>
          </w:tcPr>
          <w:p w14:paraId="3270DD22" w14:textId="1FDE8AA6"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2</w:t>
            </w:r>
            <w:r>
              <w:rPr>
                <w:rFonts w:ascii="Arial" w:hAnsi="Arial" w:cs="Arial"/>
                <w:szCs w:val="24"/>
              </w:rPr>
              <w:t>,</w:t>
            </w:r>
            <w:r w:rsidRPr="000F6023">
              <w:rPr>
                <w:rFonts w:ascii="Arial" w:hAnsi="Arial" w:cs="Arial"/>
                <w:szCs w:val="24"/>
              </w:rPr>
              <w:t>345</w:t>
            </w:r>
          </w:p>
        </w:tc>
        <w:tc>
          <w:tcPr>
            <w:tcW w:w="1134" w:type="dxa"/>
          </w:tcPr>
          <w:p w14:paraId="2EE0222A" w14:textId="244E49F8"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2</w:t>
            </w:r>
            <w:r>
              <w:rPr>
                <w:rFonts w:ascii="Arial" w:hAnsi="Arial" w:cs="Arial"/>
                <w:szCs w:val="24"/>
              </w:rPr>
              <w:t>,</w:t>
            </w:r>
            <w:r w:rsidRPr="000F6023">
              <w:rPr>
                <w:rFonts w:ascii="Arial" w:hAnsi="Arial" w:cs="Arial"/>
                <w:szCs w:val="24"/>
              </w:rPr>
              <w:t>446</w:t>
            </w:r>
          </w:p>
        </w:tc>
        <w:tc>
          <w:tcPr>
            <w:tcW w:w="1134" w:type="dxa"/>
          </w:tcPr>
          <w:p w14:paraId="6E6687CF" w14:textId="1275B6F0"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2</w:t>
            </w:r>
            <w:r>
              <w:rPr>
                <w:rFonts w:ascii="Arial" w:hAnsi="Arial" w:cs="Arial"/>
                <w:szCs w:val="24"/>
              </w:rPr>
              <w:t>,</w:t>
            </w:r>
            <w:r w:rsidRPr="000F6023">
              <w:rPr>
                <w:rFonts w:ascii="Arial" w:hAnsi="Arial" w:cs="Arial"/>
                <w:szCs w:val="24"/>
              </w:rPr>
              <w:t>528</w:t>
            </w:r>
          </w:p>
        </w:tc>
        <w:tc>
          <w:tcPr>
            <w:tcW w:w="1134" w:type="dxa"/>
          </w:tcPr>
          <w:p w14:paraId="30EE7A52" w14:textId="2806E44F"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2</w:t>
            </w:r>
            <w:r w:rsidR="00D366B3">
              <w:rPr>
                <w:rFonts w:ascii="Arial" w:hAnsi="Arial" w:cs="Arial"/>
                <w:szCs w:val="24"/>
              </w:rPr>
              <w:t>,</w:t>
            </w:r>
            <w:r w:rsidRPr="000F6023">
              <w:rPr>
                <w:rFonts w:ascii="Arial" w:hAnsi="Arial" w:cs="Arial"/>
                <w:szCs w:val="24"/>
              </w:rPr>
              <w:t>579</w:t>
            </w:r>
          </w:p>
        </w:tc>
        <w:tc>
          <w:tcPr>
            <w:tcW w:w="1134" w:type="dxa"/>
          </w:tcPr>
          <w:p w14:paraId="63170131" w14:textId="2B5A5C91"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2</w:t>
            </w:r>
            <w:r w:rsidR="00D366B3">
              <w:rPr>
                <w:rFonts w:ascii="Arial" w:hAnsi="Arial" w:cs="Arial"/>
                <w:szCs w:val="24"/>
              </w:rPr>
              <w:t>,</w:t>
            </w:r>
            <w:r w:rsidRPr="000F6023">
              <w:rPr>
                <w:rFonts w:ascii="Arial" w:hAnsi="Arial" w:cs="Arial"/>
                <w:szCs w:val="24"/>
              </w:rPr>
              <w:t>630</w:t>
            </w:r>
          </w:p>
        </w:tc>
      </w:tr>
      <w:tr w:rsidR="000F6023" w:rsidRPr="00D75223" w14:paraId="03BFC03A" w14:textId="6DC8989D" w:rsidTr="00122539">
        <w:trPr>
          <w:trHeight w:val="255"/>
        </w:trPr>
        <w:tc>
          <w:tcPr>
            <w:tcW w:w="2835" w:type="dxa"/>
          </w:tcPr>
          <w:p w14:paraId="6E470BDD" w14:textId="77777777" w:rsidR="000F6023" w:rsidRPr="00D75223" w:rsidRDefault="000F6023" w:rsidP="000F6023">
            <w:pPr>
              <w:spacing w:before="100" w:beforeAutospacing="1" w:after="100" w:afterAutospacing="1"/>
              <w:rPr>
                <w:rFonts w:ascii="Arial" w:hAnsi="Arial" w:cs="Arial"/>
                <w:szCs w:val="24"/>
              </w:rPr>
            </w:pPr>
            <w:r w:rsidRPr="00A92DC6">
              <w:rPr>
                <w:rFonts w:ascii="Arial" w:hAnsi="Arial" w:cs="Arial"/>
                <w:szCs w:val="24"/>
              </w:rPr>
              <w:t>Supplies and Services</w:t>
            </w:r>
          </w:p>
        </w:tc>
        <w:tc>
          <w:tcPr>
            <w:tcW w:w="1134" w:type="dxa"/>
          </w:tcPr>
          <w:p w14:paraId="0DFC5B9C" w14:textId="3779C25F"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9</w:t>
            </w:r>
            <w:r>
              <w:rPr>
                <w:rFonts w:ascii="Arial" w:hAnsi="Arial" w:cs="Arial"/>
                <w:szCs w:val="24"/>
              </w:rPr>
              <w:t>,</w:t>
            </w:r>
            <w:r w:rsidRPr="000F6023">
              <w:rPr>
                <w:rFonts w:ascii="Arial" w:hAnsi="Arial" w:cs="Arial"/>
                <w:szCs w:val="24"/>
              </w:rPr>
              <w:t>622</w:t>
            </w:r>
          </w:p>
        </w:tc>
        <w:tc>
          <w:tcPr>
            <w:tcW w:w="1134" w:type="dxa"/>
          </w:tcPr>
          <w:p w14:paraId="2553325C" w14:textId="6A78851C"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10</w:t>
            </w:r>
            <w:r>
              <w:rPr>
                <w:rFonts w:ascii="Arial" w:hAnsi="Arial" w:cs="Arial"/>
                <w:szCs w:val="24"/>
              </w:rPr>
              <w:t>,</w:t>
            </w:r>
            <w:r w:rsidRPr="000F6023">
              <w:rPr>
                <w:rFonts w:ascii="Arial" w:hAnsi="Arial" w:cs="Arial"/>
                <w:szCs w:val="24"/>
              </w:rPr>
              <w:t>470</w:t>
            </w:r>
          </w:p>
        </w:tc>
        <w:tc>
          <w:tcPr>
            <w:tcW w:w="1134" w:type="dxa"/>
          </w:tcPr>
          <w:p w14:paraId="1337FE45" w14:textId="48F7C30B"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10</w:t>
            </w:r>
            <w:r>
              <w:rPr>
                <w:rFonts w:ascii="Arial" w:hAnsi="Arial" w:cs="Arial"/>
                <w:szCs w:val="24"/>
              </w:rPr>
              <w:t>,</w:t>
            </w:r>
            <w:r w:rsidRPr="000F6023">
              <w:rPr>
                <w:rFonts w:ascii="Arial" w:hAnsi="Arial" w:cs="Arial"/>
                <w:szCs w:val="24"/>
              </w:rPr>
              <w:t>496</w:t>
            </w:r>
          </w:p>
        </w:tc>
        <w:tc>
          <w:tcPr>
            <w:tcW w:w="1134" w:type="dxa"/>
          </w:tcPr>
          <w:p w14:paraId="2EAA2192" w14:textId="2B717135"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10</w:t>
            </w:r>
            <w:r w:rsidR="00D366B3">
              <w:rPr>
                <w:rFonts w:ascii="Arial" w:hAnsi="Arial" w:cs="Arial"/>
                <w:szCs w:val="24"/>
              </w:rPr>
              <w:t>,</w:t>
            </w:r>
            <w:r w:rsidRPr="000F6023">
              <w:rPr>
                <w:rFonts w:ascii="Arial" w:hAnsi="Arial" w:cs="Arial"/>
                <w:szCs w:val="24"/>
              </w:rPr>
              <w:t>827</w:t>
            </w:r>
          </w:p>
        </w:tc>
        <w:tc>
          <w:tcPr>
            <w:tcW w:w="1134" w:type="dxa"/>
          </w:tcPr>
          <w:p w14:paraId="4393A829" w14:textId="449DF786"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11</w:t>
            </w:r>
            <w:r w:rsidR="00D366B3">
              <w:rPr>
                <w:rFonts w:ascii="Arial" w:hAnsi="Arial" w:cs="Arial"/>
                <w:szCs w:val="24"/>
              </w:rPr>
              <w:t>,</w:t>
            </w:r>
            <w:r w:rsidRPr="000F6023">
              <w:rPr>
                <w:rFonts w:ascii="Arial" w:hAnsi="Arial" w:cs="Arial"/>
                <w:szCs w:val="24"/>
              </w:rPr>
              <w:t>120</w:t>
            </w:r>
          </w:p>
        </w:tc>
      </w:tr>
      <w:tr w:rsidR="000F6023" w:rsidRPr="00D75223" w14:paraId="6FF92033" w14:textId="07348B3C" w:rsidTr="00122539">
        <w:trPr>
          <w:trHeight w:val="255"/>
        </w:trPr>
        <w:tc>
          <w:tcPr>
            <w:tcW w:w="2835" w:type="dxa"/>
          </w:tcPr>
          <w:p w14:paraId="6E3E2B83" w14:textId="77777777" w:rsidR="000F6023" w:rsidRPr="00D75223" w:rsidRDefault="000F6023" w:rsidP="000F6023">
            <w:pPr>
              <w:spacing w:before="100" w:beforeAutospacing="1" w:after="100" w:afterAutospacing="1"/>
              <w:rPr>
                <w:rFonts w:ascii="Arial" w:hAnsi="Arial" w:cs="Arial"/>
                <w:szCs w:val="24"/>
              </w:rPr>
            </w:pPr>
            <w:r w:rsidRPr="00A92DC6">
              <w:rPr>
                <w:rFonts w:ascii="Arial" w:hAnsi="Arial" w:cs="Arial"/>
                <w:szCs w:val="24"/>
              </w:rPr>
              <w:t>Capital Financing</w:t>
            </w:r>
          </w:p>
        </w:tc>
        <w:tc>
          <w:tcPr>
            <w:tcW w:w="1134" w:type="dxa"/>
          </w:tcPr>
          <w:p w14:paraId="55A312B4" w14:textId="5522759A"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2</w:t>
            </w:r>
            <w:r>
              <w:rPr>
                <w:rFonts w:ascii="Arial" w:hAnsi="Arial" w:cs="Arial"/>
                <w:szCs w:val="24"/>
              </w:rPr>
              <w:t>,</w:t>
            </w:r>
            <w:r w:rsidRPr="000F6023">
              <w:rPr>
                <w:rFonts w:ascii="Arial" w:hAnsi="Arial" w:cs="Arial"/>
                <w:szCs w:val="24"/>
              </w:rPr>
              <w:t>600</w:t>
            </w:r>
          </w:p>
        </w:tc>
        <w:tc>
          <w:tcPr>
            <w:tcW w:w="1134" w:type="dxa"/>
          </w:tcPr>
          <w:p w14:paraId="6C11550F" w14:textId="2C977118"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2</w:t>
            </w:r>
            <w:r>
              <w:rPr>
                <w:rFonts w:ascii="Arial" w:hAnsi="Arial" w:cs="Arial"/>
                <w:szCs w:val="24"/>
              </w:rPr>
              <w:t>,</w:t>
            </w:r>
            <w:r w:rsidRPr="000F6023">
              <w:rPr>
                <w:rFonts w:ascii="Arial" w:hAnsi="Arial" w:cs="Arial"/>
                <w:szCs w:val="24"/>
              </w:rPr>
              <w:t>601</w:t>
            </w:r>
          </w:p>
        </w:tc>
        <w:tc>
          <w:tcPr>
            <w:tcW w:w="1134" w:type="dxa"/>
          </w:tcPr>
          <w:p w14:paraId="3DAFC115" w14:textId="64025D21"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3</w:t>
            </w:r>
            <w:r>
              <w:rPr>
                <w:rFonts w:ascii="Arial" w:hAnsi="Arial" w:cs="Arial"/>
                <w:szCs w:val="24"/>
              </w:rPr>
              <w:t>,</w:t>
            </w:r>
            <w:r w:rsidRPr="000F6023">
              <w:rPr>
                <w:rFonts w:ascii="Arial" w:hAnsi="Arial" w:cs="Arial"/>
                <w:szCs w:val="24"/>
              </w:rPr>
              <w:t>604</w:t>
            </w:r>
          </w:p>
        </w:tc>
        <w:tc>
          <w:tcPr>
            <w:tcW w:w="1134" w:type="dxa"/>
          </w:tcPr>
          <w:p w14:paraId="78F69711" w14:textId="3A10D52C"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4</w:t>
            </w:r>
            <w:r w:rsidR="00D366B3">
              <w:rPr>
                <w:rFonts w:ascii="Arial" w:hAnsi="Arial" w:cs="Arial"/>
                <w:szCs w:val="24"/>
              </w:rPr>
              <w:t>,</w:t>
            </w:r>
            <w:r w:rsidRPr="000F6023">
              <w:rPr>
                <w:rFonts w:ascii="Arial" w:hAnsi="Arial" w:cs="Arial"/>
                <w:szCs w:val="24"/>
              </w:rPr>
              <w:t>746</w:t>
            </w:r>
          </w:p>
        </w:tc>
        <w:tc>
          <w:tcPr>
            <w:tcW w:w="1134" w:type="dxa"/>
          </w:tcPr>
          <w:p w14:paraId="05CE2D0E" w14:textId="7B2DA924"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5</w:t>
            </w:r>
            <w:r w:rsidR="00D366B3">
              <w:rPr>
                <w:rFonts w:ascii="Arial" w:hAnsi="Arial" w:cs="Arial"/>
                <w:szCs w:val="24"/>
              </w:rPr>
              <w:t>,</w:t>
            </w:r>
            <w:r w:rsidRPr="000F6023">
              <w:rPr>
                <w:rFonts w:ascii="Arial" w:hAnsi="Arial" w:cs="Arial"/>
                <w:szCs w:val="24"/>
              </w:rPr>
              <w:t>679</w:t>
            </w:r>
          </w:p>
        </w:tc>
      </w:tr>
      <w:tr w:rsidR="000F6023" w:rsidRPr="00D75223" w14:paraId="6B0369BE" w14:textId="0CCB6440" w:rsidTr="00122539">
        <w:trPr>
          <w:trHeight w:val="255"/>
        </w:trPr>
        <w:tc>
          <w:tcPr>
            <w:tcW w:w="2835" w:type="dxa"/>
          </w:tcPr>
          <w:p w14:paraId="43553931" w14:textId="77777777" w:rsidR="000F6023" w:rsidRPr="00D75223" w:rsidRDefault="000F6023" w:rsidP="000F6023">
            <w:pPr>
              <w:spacing w:before="100" w:beforeAutospacing="1" w:after="100" w:afterAutospacing="1"/>
              <w:rPr>
                <w:rFonts w:ascii="Arial" w:hAnsi="Arial" w:cs="Arial"/>
                <w:szCs w:val="24"/>
              </w:rPr>
            </w:pPr>
            <w:r w:rsidRPr="00A92DC6">
              <w:rPr>
                <w:rFonts w:ascii="Arial" w:hAnsi="Arial" w:cs="Arial"/>
                <w:szCs w:val="24"/>
              </w:rPr>
              <w:t>Other</w:t>
            </w:r>
          </w:p>
        </w:tc>
        <w:tc>
          <w:tcPr>
            <w:tcW w:w="1134" w:type="dxa"/>
          </w:tcPr>
          <w:p w14:paraId="3FB1BF68" w14:textId="26066C8A"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w:t>
            </w:r>
            <w:r>
              <w:rPr>
                <w:rFonts w:ascii="Arial" w:hAnsi="Arial" w:cs="Arial"/>
                <w:szCs w:val="24"/>
              </w:rPr>
              <w:t>,</w:t>
            </w:r>
            <w:r w:rsidRPr="000F6023">
              <w:rPr>
                <w:rFonts w:ascii="Arial" w:hAnsi="Arial" w:cs="Arial"/>
                <w:szCs w:val="24"/>
              </w:rPr>
              <w:t>280</w:t>
            </w:r>
          </w:p>
        </w:tc>
        <w:tc>
          <w:tcPr>
            <w:tcW w:w="1134" w:type="dxa"/>
          </w:tcPr>
          <w:p w14:paraId="2108D5EB" w14:textId="48DA6B1A"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w:t>
            </w:r>
            <w:r>
              <w:rPr>
                <w:rFonts w:ascii="Arial" w:hAnsi="Arial" w:cs="Arial"/>
                <w:szCs w:val="24"/>
              </w:rPr>
              <w:t>,</w:t>
            </w:r>
            <w:r w:rsidRPr="000F6023">
              <w:rPr>
                <w:rFonts w:ascii="Arial" w:hAnsi="Arial" w:cs="Arial"/>
                <w:szCs w:val="24"/>
              </w:rPr>
              <w:t>291</w:t>
            </w:r>
          </w:p>
        </w:tc>
        <w:tc>
          <w:tcPr>
            <w:tcW w:w="1134" w:type="dxa"/>
          </w:tcPr>
          <w:p w14:paraId="0E30D7BC" w14:textId="49BB968D"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w:t>
            </w:r>
            <w:r>
              <w:rPr>
                <w:rFonts w:ascii="Arial" w:hAnsi="Arial" w:cs="Arial"/>
                <w:szCs w:val="24"/>
              </w:rPr>
              <w:t>,</w:t>
            </w:r>
            <w:r w:rsidRPr="000F6023">
              <w:rPr>
                <w:rFonts w:ascii="Arial" w:hAnsi="Arial" w:cs="Arial"/>
                <w:szCs w:val="24"/>
              </w:rPr>
              <w:t>552</w:t>
            </w:r>
          </w:p>
        </w:tc>
        <w:tc>
          <w:tcPr>
            <w:tcW w:w="1134" w:type="dxa"/>
          </w:tcPr>
          <w:p w14:paraId="1A903B76" w14:textId="32CEC76F"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w:t>
            </w:r>
            <w:r w:rsidR="00D366B3">
              <w:rPr>
                <w:rFonts w:ascii="Arial" w:hAnsi="Arial" w:cs="Arial"/>
                <w:szCs w:val="24"/>
              </w:rPr>
              <w:t>,</w:t>
            </w:r>
            <w:r w:rsidRPr="000F6023">
              <w:rPr>
                <w:rFonts w:ascii="Arial" w:hAnsi="Arial" w:cs="Arial"/>
                <w:szCs w:val="24"/>
              </w:rPr>
              <w:t>578</w:t>
            </w:r>
          </w:p>
        </w:tc>
        <w:tc>
          <w:tcPr>
            <w:tcW w:w="1134" w:type="dxa"/>
          </w:tcPr>
          <w:p w14:paraId="71D1B50D" w14:textId="21BEC5A3" w:rsidR="000F6023" w:rsidRPr="00D75223" w:rsidRDefault="000F6023" w:rsidP="000F6023">
            <w:pPr>
              <w:spacing w:before="100" w:beforeAutospacing="1" w:after="100" w:afterAutospacing="1"/>
              <w:jc w:val="right"/>
              <w:rPr>
                <w:rFonts w:ascii="Arial" w:hAnsi="Arial" w:cs="Arial"/>
                <w:szCs w:val="24"/>
              </w:rPr>
            </w:pPr>
            <w:r w:rsidRPr="000F6023">
              <w:rPr>
                <w:rFonts w:ascii="Arial" w:hAnsi="Arial" w:cs="Arial"/>
                <w:szCs w:val="24"/>
              </w:rPr>
              <w:t>1</w:t>
            </w:r>
            <w:r w:rsidR="00D366B3">
              <w:rPr>
                <w:rFonts w:ascii="Arial" w:hAnsi="Arial" w:cs="Arial"/>
                <w:szCs w:val="24"/>
              </w:rPr>
              <w:t>,</w:t>
            </w:r>
            <w:r w:rsidRPr="000F6023">
              <w:rPr>
                <w:rFonts w:ascii="Arial" w:hAnsi="Arial" w:cs="Arial"/>
                <w:szCs w:val="24"/>
              </w:rPr>
              <w:t>604</w:t>
            </w:r>
          </w:p>
        </w:tc>
      </w:tr>
      <w:tr w:rsidR="000F6023" w:rsidRPr="00D366B3" w14:paraId="4A926A88" w14:textId="356A01A9" w:rsidTr="00122539">
        <w:trPr>
          <w:trHeight w:val="255"/>
        </w:trPr>
        <w:tc>
          <w:tcPr>
            <w:tcW w:w="2835" w:type="dxa"/>
          </w:tcPr>
          <w:p w14:paraId="7CFC81E6" w14:textId="77777777" w:rsidR="000F6023" w:rsidRPr="00D366B3" w:rsidRDefault="000F6023" w:rsidP="000F6023">
            <w:pPr>
              <w:spacing w:before="100" w:beforeAutospacing="1" w:after="100" w:afterAutospacing="1"/>
              <w:rPr>
                <w:rFonts w:ascii="Arial" w:hAnsi="Arial" w:cs="Arial"/>
                <w:b/>
                <w:bCs/>
                <w:szCs w:val="24"/>
              </w:rPr>
            </w:pPr>
            <w:r w:rsidRPr="00D366B3">
              <w:rPr>
                <w:rFonts w:ascii="Arial" w:hAnsi="Arial" w:cs="Arial"/>
                <w:b/>
                <w:bCs/>
                <w:szCs w:val="24"/>
              </w:rPr>
              <w:t>Total</w:t>
            </w:r>
          </w:p>
        </w:tc>
        <w:tc>
          <w:tcPr>
            <w:tcW w:w="1134" w:type="dxa"/>
          </w:tcPr>
          <w:p w14:paraId="544E1FB0" w14:textId="5F7EAA92" w:rsidR="000F6023" w:rsidRPr="00D366B3" w:rsidRDefault="000F6023" w:rsidP="000F6023">
            <w:pPr>
              <w:spacing w:before="100" w:beforeAutospacing="1" w:after="100" w:afterAutospacing="1"/>
              <w:jc w:val="right"/>
              <w:rPr>
                <w:rFonts w:ascii="Arial" w:hAnsi="Arial" w:cs="Arial"/>
                <w:b/>
                <w:bCs/>
                <w:szCs w:val="24"/>
              </w:rPr>
            </w:pPr>
            <w:r w:rsidRPr="00D366B3">
              <w:rPr>
                <w:rFonts w:ascii="Arial" w:hAnsi="Arial" w:cs="Arial"/>
                <w:b/>
                <w:bCs/>
                <w:szCs w:val="24"/>
              </w:rPr>
              <w:t>81,105</w:t>
            </w:r>
          </w:p>
        </w:tc>
        <w:tc>
          <w:tcPr>
            <w:tcW w:w="1134" w:type="dxa"/>
          </w:tcPr>
          <w:p w14:paraId="54227FEC" w14:textId="7E4BA5EC" w:rsidR="000F6023" w:rsidRPr="00D366B3" w:rsidRDefault="000F6023" w:rsidP="000F6023">
            <w:pPr>
              <w:spacing w:before="100" w:beforeAutospacing="1" w:after="100" w:afterAutospacing="1"/>
              <w:jc w:val="right"/>
              <w:rPr>
                <w:rFonts w:ascii="Arial" w:hAnsi="Arial" w:cs="Arial"/>
                <w:b/>
                <w:bCs/>
                <w:szCs w:val="24"/>
              </w:rPr>
            </w:pPr>
            <w:r w:rsidRPr="00D366B3">
              <w:rPr>
                <w:rFonts w:ascii="Arial" w:hAnsi="Arial" w:cs="Arial"/>
                <w:b/>
                <w:bCs/>
                <w:szCs w:val="24"/>
              </w:rPr>
              <w:t>84,099</w:t>
            </w:r>
          </w:p>
        </w:tc>
        <w:tc>
          <w:tcPr>
            <w:tcW w:w="1134" w:type="dxa"/>
          </w:tcPr>
          <w:p w14:paraId="74E7F4B0" w14:textId="3C8B77B7" w:rsidR="000F6023" w:rsidRPr="00D366B3" w:rsidRDefault="000F6023" w:rsidP="000F6023">
            <w:pPr>
              <w:spacing w:before="100" w:beforeAutospacing="1" w:after="100" w:afterAutospacing="1"/>
              <w:jc w:val="right"/>
              <w:rPr>
                <w:rFonts w:ascii="Arial" w:hAnsi="Arial" w:cs="Arial"/>
                <w:b/>
                <w:bCs/>
                <w:szCs w:val="24"/>
              </w:rPr>
            </w:pPr>
            <w:r w:rsidRPr="00D366B3">
              <w:rPr>
                <w:rFonts w:ascii="Arial" w:hAnsi="Arial" w:cs="Arial"/>
                <w:b/>
                <w:bCs/>
                <w:szCs w:val="24"/>
              </w:rPr>
              <w:t>86,893</w:t>
            </w:r>
          </w:p>
        </w:tc>
        <w:tc>
          <w:tcPr>
            <w:tcW w:w="1134" w:type="dxa"/>
          </w:tcPr>
          <w:p w14:paraId="288DBEE0" w14:textId="41C5CDFB" w:rsidR="000F6023" w:rsidRPr="00D366B3" w:rsidRDefault="000F6023" w:rsidP="000F6023">
            <w:pPr>
              <w:spacing w:before="100" w:beforeAutospacing="1" w:after="100" w:afterAutospacing="1"/>
              <w:jc w:val="right"/>
              <w:rPr>
                <w:rFonts w:ascii="Arial" w:hAnsi="Arial" w:cs="Arial"/>
                <w:b/>
                <w:bCs/>
                <w:szCs w:val="24"/>
              </w:rPr>
            </w:pPr>
            <w:r w:rsidRPr="00D366B3">
              <w:rPr>
                <w:rFonts w:ascii="Arial" w:hAnsi="Arial" w:cs="Arial"/>
                <w:b/>
                <w:bCs/>
                <w:szCs w:val="24"/>
              </w:rPr>
              <w:t>88</w:t>
            </w:r>
            <w:r w:rsidR="00D366B3" w:rsidRPr="00D366B3">
              <w:rPr>
                <w:rFonts w:ascii="Arial" w:hAnsi="Arial" w:cs="Arial"/>
                <w:b/>
                <w:bCs/>
                <w:szCs w:val="24"/>
              </w:rPr>
              <w:t>,</w:t>
            </w:r>
            <w:r w:rsidRPr="00D366B3">
              <w:rPr>
                <w:rFonts w:ascii="Arial" w:hAnsi="Arial" w:cs="Arial"/>
                <w:b/>
                <w:bCs/>
                <w:szCs w:val="24"/>
              </w:rPr>
              <w:t>839</w:t>
            </w:r>
          </w:p>
        </w:tc>
        <w:tc>
          <w:tcPr>
            <w:tcW w:w="1134" w:type="dxa"/>
          </w:tcPr>
          <w:p w14:paraId="3ECE6E83" w14:textId="2EB0C5EC" w:rsidR="000F6023" w:rsidRPr="00D366B3" w:rsidRDefault="000F6023" w:rsidP="000F6023">
            <w:pPr>
              <w:spacing w:before="100" w:beforeAutospacing="1" w:after="100" w:afterAutospacing="1"/>
              <w:jc w:val="right"/>
              <w:rPr>
                <w:rFonts w:ascii="Arial" w:hAnsi="Arial" w:cs="Arial"/>
                <w:b/>
                <w:bCs/>
                <w:szCs w:val="24"/>
              </w:rPr>
            </w:pPr>
            <w:r w:rsidRPr="00D366B3">
              <w:rPr>
                <w:rFonts w:ascii="Arial" w:hAnsi="Arial" w:cs="Arial"/>
                <w:b/>
                <w:bCs/>
                <w:szCs w:val="24"/>
              </w:rPr>
              <w:t>90</w:t>
            </w:r>
            <w:r w:rsidR="00D366B3" w:rsidRPr="00D366B3">
              <w:rPr>
                <w:rFonts w:ascii="Arial" w:hAnsi="Arial" w:cs="Arial"/>
                <w:b/>
                <w:bCs/>
                <w:szCs w:val="24"/>
              </w:rPr>
              <w:t>,</w:t>
            </w:r>
            <w:r w:rsidRPr="00D366B3">
              <w:rPr>
                <w:rFonts w:ascii="Arial" w:hAnsi="Arial" w:cs="Arial"/>
                <w:b/>
                <w:bCs/>
                <w:szCs w:val="24"/>
              </w:rPr>
              <w:t>826</w:t>
            </w:r>
          </w:p>
        </w:tc>
      </w:tr>
    </w:tbl>
    <w:p w14:paraId="25449019" w14:textId="77777777" w:rsidR="009D18D1" w:rsidRDefault="009D18D1" w:rsidP="6218B4DB">
      <w:pPr>
        <w:rPr>
          <w:rFonts w:ascii="Arial" w:hAnsi="Arial" w:cs="Arial"/>
          <w:color w:val="000000" w:themeColor="text1"/>
          <w:szCs w:val="24"/>
        </w:rPr>
      </w:pPr>
    </w:p>
    <w:tbl>
      <w:tblPr>
        <w:tblStyle w:val="TableGrid"/>
        <w:tblW w:w="8505" w:type="dxa"/>
        <w:tblLayout w:type="fixed"/>
        <w:tblLook w:val="06A0" w:firstRow="1" w:lastRow="0" w:firstColumn="1" w:lastColumn="0" w:noHBand="1" w:noVBand="1"/>
      </w:tblPr>
      <w:tblGrid>
        <w:gridCol w:w="2835"/>
        <w:gridCol w:w="1134"/>
        <w:gridCol w:w="1134"/>
        <w:gridCol w:w="1134"/>
        <w:gridCol w:w="1134"/>
        <w:gridCol w:w="1134"/>
      </w:tblGrid>
      <w:tr w:rsidR="009F1689" w:rsidRPr="00D75223" w14:paraId="28F03C21" w14:textId="7177C01A" w:rsidTr="009F1689">
        <w:trPr>
          <w:trHeight w:val="255"/>
        </w:trPr>
        <w:tc>
          <w:tcPr>
            <w:tcW w:w="2835" w:type="dxa"/>
          </w:tcPr>
          <w:p w14:paraId="70624145" w14:textId="77777777" w:rsidR="009F1689" w:rsidRPr="00D75223" w:rsidRDefault="009F1689" w:rsidP="009F1689">
            <w:pPr>
              <w:spacing w:before="100" w:beforeAutospacing="1" w:after="100" w:afterAutospacing="1"/>
              <w:rPr>
                <w:rFonts w:ascii="Arial" w:hAnsi="Arial" w:cs="Arial"/>
                <w:b/>
                <w:bCs/>
                <w:szCs w:val="24"/>
              </w:rPr>
            </w:pPr>
            <w:r>
              <w:rPr>
                <w:rFonts w:ascii="Arial" w:hAnsi="Arial" w:cs="Arial"/>
                <w:b/>
                <w:bCs/>
                <w:szCs w:val="24"/>
              </w:rPr>
              <w:t>Income</w:t>
            </w:r>
          </w:p>
        </w:tc>
        <w:tc>
          <w:tcPr>
            <w:tcW w:w="1134" w:type="dxa"/>
          </w:tcPr>
          <w:p w14:paraId="2E5BDB4D" w14:textId="2A0E9ABD" w:rsidR="009F1689" w:rsidRPr="00D75223" w:rsidRDefault="009F1689" w:rsidP="009F1689">
            <w:pPr>
              <w:spacing w:before="100" w:beforeAutospacing="1" w:after="100" w:afterAutospacing="1"/>
              <w:jc w:val="right"/>
              <w:rPr>
                <w:rFonts w:ascii="Arial" w:hAnsi="Arial" w:cs="Arial"/>
                <w:b/>
                <w:bCs/>
                <w:szCs w:val="24"/>
              </w:rPr>
            </w:pPr>
            <w:r w:rsidRPr="00D75223">
              <w:rPr>
                <w:rFonts w:ascii="Arial" w:hAnsi="Arial" w:cs="Arial"/>
                <w:b/>
                <w:bCs/>
                <w:szCs w:val="24"/>
              </w:rPr>
              <w:t>2024/25</w:t>
            </w:r>
          </w:p>
        </w:tc>
        <w:tc>
          <w:tcPr>
            <w:tcW w:w="1134" w:type="dxa"/>
          </w:tcPr>
          <w:p w14:paraId="14F8D42B" w14:textId="0D531F1A" w:rsidR="009F1689" w:rsidRPr="00D75223" w:rsidRDefault="009F1689" w:rsidP="009F1689">
            <w:pPr>
              <w:spacing w:before="100" w:beforeAutospacing="1" w:after="100" w:afterAutospacing="1"/>
              <w:jc w:val="right"/>
              <w:rPr>
                <w:rFonts w:ascii="Arial" w:hAnsi="Arial" w:cs="Arial"/>
                <w:b/>
                <w:bCs/>
                <w:szCs w:val="24"/>
              </w:rPr>
            </w:pPr>
            <w:r w:rsidRPr="00D75223">
              <w:rPr>
                <w:rFonts w:ascii="Arial" w:hAnsi="Arial" w:cs="Arial"/>
                <w:b/>
                <w:bCs/>
                <w:szCs w:val="24"/>
              </w:rPr>
              <w:t>2025/26</w:t>
            </w:r>
          </w:p>
        </w:tc>
        <w:tc>
          <w:tcPr>
            <w:tcW w:w="1134" w:type="dxa"/>
          </w:tcPr>
          <w:p w14:paraId="2328BACB" w14:textId="48DCE523" w:rsidR="009F1689" w:rsidRPr="00D75223" w:rsidRDefault="009F1689" w:rsidP="009F1689">
            <w:pPr>
              <w:spacing w:before="100" w:beforeAutospacing="1" w:after="100" w:afterAutospacing="1"/>
              <w:jc w:val="right"/>
              <w:rPr>
                <w:rFonts w:ascii="Arial" w:hAnsi="Arial" w:cs="Arial"/>
                <w:b/>
                <w:bCs/>
                <w:szCs w:val="24"/>
              </w:rPr>
            </w:pPr>
            <w:r w:rsidRPr="00D75223">
              <w:rPr>
                <w:rFonts w:ascii="Arial" w:hAnsi="Arial" w:cs="Arial"/>
                <w:b/>
                <w:bCs/>
                <w:szCs w:val="24"/>
              </w:rPr>
              <w:t>202</w:t>
            </w:r>
            <w:r>
              <w:rPr>
                <w:rFonts w:ascii="Arial" w:hAnsi="Arial" w:cs="Arial"/>
                <w:b/>
                <w:bCs/>
                <w:szCs w:val="24"/>
              </w:rPr>
              <w:t>6</w:t>
            </w:r>
            <w:r w:rsidRPr="00D75223">
              <w:rPr>
                <w:rFonts w:ascii="Arial" w:hAnsi="Arial" w:cs="Arial"/>
                <w:b/>
                <w:bCs/>
                <w:szCs w:val="24"/>
              </w:rPr>
              <w:t>/2</w:t>
            </w:r>
            <w:r>
              <w:rPr>
                <w:rFonts w:ascii="Arial" w:hAnsi="Arial" w:cs="Arial"/>
                <w:b/>
                <w:bCs/>
                <w:szCs w:val="24"/>
              </w:rPr>
              <w:t>7</w:t>
            </w:r>
          </w:p>
        </w:tc>
        <w:tc>
          <w:tcPr>
            <w:tcW w:w="1134" w:type="dxa"/>
          </w:tcPr>
          <w:p w14:paraId="1BEE21FC" w14:textId="5D4F4E7F" w:rsidR="009F1689" w:rsidRPr="00D75223" w:rsidRDefault="009F1689" w:rsidP="009F1689">
            <w:pPr>
              <w:spacing w:before="100" w:beforeAutospacing="1" w:after="100" w:afterAutospacing="1"/>
              <w:jc w:val="right"/>
              <w:rPr>
                <w:rFonts w:ascii="Arial" w:hAnsi="Arial" w:cs="Arial"/>
                <w:b/>
                <w:bCs/>
                <w:szCs w:val="24"/>
              </w:rPr>
            </w:pPr>
            <w:r w:rsidRPr="00D75223">
              <w:rPr>
                <w:rFonts w:ascii="Arial" w:hAnsi="Arial" w:cs="Arial"/>
                <w:b/>
                <w:bCs/>
                <w:szCs w:val="24"/>
              </w:rPr>
              <w:t>202</w:t>
            </w:r>
            <w:r>
              <w:rPr>
                <w:rFonts w:ascii="Arial" w:hAnsi="Arial" w:cs="Arial"/>
                <w:b/>
                <w:bCs/>
                <w:szCs w:val="24"/>
              </w:rPr>
              <w:t>7</w:t>
            </w:r>
            <w:r w:rsidRPr="00D75223">
              <w:rPr>
                <w:rFonts w:ascii="Arial" w:hAnsi="Arial" w:cs="Arial"/>
                <w:b/>
                <w:bCs/>
                <w:szCs w:val="24"/>
              </w:rPr>
              <w:t>/2</w:t>
            </w:r>
            <w:r>
              <w:rPr>
                <w:rFonts w:ascii="Arial" w:hAnsi="Arial" w:cs="Arial"/>
                <w:b/>
                <w:bCs/>
                <w:szCs w:val="24"/>
              </w:rPr>
              <w:t>8</w:t>
            </w:r>
          </w:p>
        </w:tc>
        <w:tc>
          <w:tcPr>
            <w:tcW w:w="1134" w:type="dxa"/>
          </w:tcPr>
          <w:p w14:paraId="1A11A474" w14:textId="468355B9" w:rsidR="009F1689" w:rsidRPr="00D75223" w:rsidRDefault="009F1689" w:rsidP="009F1689">
            <w:pPr>
              <w:spacing w:before="100" w:beforeAutospacing="1" w:after="100" w:afterAutospacing="1"/>
              <w:jc w:val="right"/>
              <w:rPr>
                <w:rFonts w:ascii="Arial" w:hAnsi="Arial" w:cs="Arial"/>
                <w:b/>
                <w:bCs/>
                <w:szCs w:val="24"/>
              </w:rPr>
            </w:pPr>
            <w:r w:rsidRPr="00D75223">
              <w:rPr>
                <w:rFonts w:ascii="Arial" w:hAnsi="Arial" w:cs="Arial"/>
                <w:b/>
                <w:bCs/>
                <w:szCs w:val="24"/>
              </w:rPr>
              <w:t>202</w:t>
            </w:r>
            <w:r>
              <w:rPr>
                <w:rFonts w:ascii="Arial" w:hAnsi="Arial" w:cs="Arial"/>
                <w:b/>
                <w:bCs/>
                <w:szCs w:val="24"/>
              </w:rPr>
              <w:t>8</w:t>
            </w:r>
            <w:r w:rsidRPr="00D75223">
              <w:rPr>
                <w:rFonts w:ascii="Arial" w:hAnsi="Arial" w:cs="Arial"/>
                <w:b/>
                <w:bCs/>
                <w:szCs w:val="24"/>
              </w:rPr>
              <w:t>/2</w:t>
            </w:r>
            <w:r>
              <w:rPr>
                <w:rFonts w:ascii="Arial" w:hAnsi="Arial" w:cs="Arial"/>
                <w:b/>
                <w:bCs/>
                <w:szCs w:val="24"/>
              </w:rPr>
              <w:t>9</w:t>
            </w:r>
          </w:p>
        </w:tc>
      </w:tr>
      <w:tr w:rsidR="00EE060E" w:rsidRPr="00D75223" w14:paraId="3F54BF63" w14:textId="2B428E7E" w:rsidTr="009F1689">
        <w:trPr>
          <w:trHeight w:val="255"/>
        </w:trPr>
        <w:tc>
          <w:tcPr>
            <w:tcW w:w="2835" w:type="dxa"/>
          </w:tcPr>
          <w:p w14:paraId="233F94E8" w14:textId="77777777" w:rsidR="00EE060E" w:rsidRPr="00D75223" w:rsidRDefault="00EE060E" w:rsidP="00EE060E">
            <w:pPr>
              <w:spacing w:before="100" w:beforeAutospacing="1" w:after="100" w:afterAutospacing="1"/>
              <w:rPr>
                <w:rFonts w:ascii="Arial" w:hAnsi="Arial" w:cs="Arial"/>
                <w:szCs w:val="24"/>
              </w:rPr>
            </w:pPr>
            <w:r w:rsidRPr="00A92DC6">
              <w:rPr>
                <w:rFonts w:ascii="Arial" w:hAnsi="Arial" w:cs="Arial"/>
                <w:szCs w:val="24"/>
              </w:rPr>
              <w:t>Actual Received from Precept</w:t>
            </w:r>
          </w:p>
        </w:tc>
        <w:tc>
          <w:tcPr>
            <w:tcW w:w="1134" w:type="dxa"/>
          </w:tcPr>
          <w:p w14:paraId="144C2498" w14:textId="35C26CA5" w:rsidR="00EE060E" w:rsidRPr="00D75223"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39</w:t>
            </w:r>
            <w:r>
              <w:rPr>
                <w:rFonts w:ascii="Arial" w:hAnsi="Arial" w:cs="Arial"/>
                <w:szCs w:val="24"/>
              </w:rPr>
              <w:t>,</w:t>
            </w:r>
            <w:r w:rsidRPr="00EE060E">
              <w:rPr>
                <w:rFonts w:ascii="Arial" w:hAnsi="Arial" w:cs="Arial"/>
                <w:szCs w:val="24"/>
              </w:rPr>
              <w:t>396</w:t>
            </w:r>
          </w:p>
        </w:tc>
        <w:tc>
          <w:tcPr>
            <w:tcW w:w="1134" w:type="dxa"/>
          </w:tcPr>
          <w:p w14:paraId="48249AD5" w14:textId="2C345689" w:rsidR="00EE060E" w:rsidRPr="00D75223"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42</w:t>
            </w:r>
            <w:r>
              <w:rPr>
                <w:rFonts w:ascii="Arial" w:hAnsi="Arial" w:cs="Arial"/>
                <w:szCs w:val="24"/>
              </w:rPr>
              <w:t>,</w:t>
            </w:r>
            <w:r w:rsidRPr="00EE060E">
              <w:rPr>
                <w:rFonts w:ascii="Arial" w:hAnsi="Arial" w:cs="Arial"/>
                <w:szCs w:val="24"/>
              </w:rPr>
              <w:t>254</w:t>
            </w:r>
          </w:p>
        </w:tc>
        <w:tc>
          <w:tcPr>
            <w:tcW w:w="1134" w:type="dxa"/>
          </w:tcPr>
          <w:p w14:paraId="67E27B13" w14:textId="6EE87E7D"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45</w:t>
            </w:r>
            <w:r>
              <w:rPr>
                <w:rFonts w:ascii="Arial" w:hAnsi="Arial" w:cs="Arial"/>
                <w:szCs w:val="24"/>
              </w:rPr>
              <w:t>,</w:t>
            </w:r>
            <w:r w:rsidRPr="00EE060E">
              <w:rPr>
                <w:rFonts w:ascii="Arial" w:hAnsi="Arial" w:cs="Arial"/>
                <w:szCs w:val="24"/>
              </w:rPr>
              <w:t>064</w:t>
            </w:r>
          </w:p>
        </w:tc>
        <w:tc>
          <w:tcPr>
            <w:tcW w:w="1134" w:type="dxa"/>
          </w:tcPr>
          <w:p w14:paraId="762DFFF4" w14:textId="6D35D943"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48</w:t>
            </w:r>
            <w:r>
              <w:rPr>
                <w:rFonts w:ascii="Arial" w:hAnsi="Arial" w:cs="Arial"/>
                <w:szCs w:val="24"/>
              </w:rPr>
              <w:t>,</w:t>
            </w:r>
            <w:r w:rsidRPr="00EE060E">
              <w:rPr>
                <w:rFonts w:ascii="Arial" w:hAnsi="Arial" w:cs="Arial"/>
                <w:szCs w:val="24"/>
              </w:rPr>
              <w:t>036</w:t>
            </w:r>
          </w:p>
        </w:tc>
        <w:tc>
          <w:tcPr>
            <w:tcW w:w="1134" w:type="dxa"/>
          </w:tcPr>
          <w:p w14:paraId="33612F85" w14:textId="45DCE2C4"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51</w:t>
            </w:r>
            <w:r>
              <w:rPr>
                <w:rFonts w:ascii="Arial" w:hAnsi="Arial" w:cs="Arial"/>
                <w:szCs w:val="24"/>
              </w:rPr>
              <w:t>,</w:t>
            </w:r>
            <w:r w:rsidRPr="00EE060E">
              <w:rPr>
                <w:rFonts w:ascii="Arial" w:hAnsi="Arial" w:cs="Arial"/>
                <w:szCs w:val="24"/>
              </w:rPr>
              <w:t>075</w:t>
            </w:r>
          </w:p>
        </w:tc>
      </w:tr>
      <w:tr w:rsidR="00EE060E" w:rsidRPr="00D75223" w14:paraId="48F130A6" w14:textId="229AEF69" w:rsidTr="009F1689">
        <w:trPr>
          <w:trHeight w:val="255"/>
        </w:trPr>
        <w:tc>
          <w:tcPr>
            <w:tcW w:w="2835" w:type="dxa"/>
          </w:tcPr>
          <w:p w14:paraId="313F02EC" w14:textId="77777777" w:rsidR="00EE060E" w:rsidRPr="00D75223" w:rsidRDefault="00EE060E" w:rsidP="00EE060E">
            <w:pPr>
              <w:spacing w:before="100" w:beforeAutospacing="1" w:after="100" w:afterAutospacing="1"/>
              <w:rPr>
                <w:rFonts w:ascii="Arial" w:hAnsi="Arial" w:cs="Arial"/>
                <w:szCs w:val="24"/>
              </w:rPr>
            </w:pPr>
            <w:r w:rsidRPr="00A92DC6">
              <w:rPr>
                <w:rFonts w:ascii="Arial" w:hAnsi="Arial" w:cs="Arial"/>
                <w:szCs w:val="24"/>
              </w:rPr>
              <w:t>Local Government Finance Settlement</w:t>
            </w:r>
          </w:p>
        </w:tc>
        <w:tc>
          <w:tcPr>
            <w:tcW w:w="1134" w:type="dxa"/>
          </w:tcPr>
          <w:p w14:paraId="4C9EB5CC" w14:textId="7ECED060" w:rsidR="00EE060E" w:rsidRPr="00D75223"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35</w:t>
            </w:r>
            <w:r>
              <w:rPr>
                <w:rFonts w:ascii="Arial" w:hAnsi="Arial" w:cs="Arial"/>
                <w:szCs w:val="24"/>
              </w:rPr>
              <w:t>,</w:t>
            </w:r>
            <w:r w:rsidRPr="00EE060E">
              <w:rPr>
                <w:rFonts w:ascii="Arial" w:hAnsi="Arial" w:cs="Arial"/>
                <w:szCs w:val="24"/>
              </w:rPr>
              <w:t>760</w:t>
            </w:r>
          </w:p>
        </w:tc>
        <w:tc>
          <w:tcPr>
            <w:tcW w:w="1134" w:type="dxa"/>
          </w:tcPr>
          <w:p w14:paraId="7FB11EA2" w14:textId="6F29A88F" w:rsidR="00EE060E" w:rsidRPr="00D75223"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35</w:t>
            </w:r>
            <w:r>
              <w:rPr>
                <w:rFonts w:ascii="Arial" w:hAnsi="Arial" w:cs="Arial"/>
                <w:szCs w:val="24"/>
              </w:rPr>
              <w:t>,</w:t>
            </w:r>
            <w:r w:rsidRPr="00EE060E">
              <w:rPr>
                <w:rFonts w:ascii="Arial" w:hAnsi="Arial" w:cs="Arial"/>
                <w:szCs w:val="24"/>
              </w:rPr>
              <w:t>257</w:t>
            </w:r>
          </w:p>
        </w:tc>
        <w:tc>
          <w:tcPr>
            <w:tcW w:w="1134" w:type="dxa"/>
          </w:tcPr>
          <w:p w14:paraId="2D733B48" w14:textId="68496E81"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35</w:t>
            </w:r>
            <w:r>
              <w:rPr>
                <w:rFonts w:ascii="Arial" w:hAnsi="Arial" w:cs="Arial"/>
                <w:szCs w:val="24"/>
              </w:rPr>
              <w:t>,</w:t>
            </w:r>
            <w:r w:rsidRPr="00EE060E">
              <w:rPr>
                <w:rFonts w:ascii="Arial" w:hAnsi="Arial" w:cs="Arial"/>
                <w:szCs w:val="24"/>
              </w:rPr>
              <w:t>461</w:t>
            </w:r>
          </w:p>
        </w:tc>
        <w:tc>
          <w:tcPr>
            <w:tcW w:w="1134" w:type="dxa"/>
          </w:tcPr>
          <w:p w14:paraId="11B2C675" w14:textId="3C719A36"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34</w:t>
            </w:r>
            <w:r>
              <w:rPr>
                <w:rFonts w:ascii="Arial" w:hAnsi="Arial" w:cs="Arial"/>
                <w:szCs w:val="24"/>
              </w:rPr>
              <w:t>,</w:t>
            </w:r>
            <w:r w:rsidRPr="00EE060E">
              <w:rPr>
                <w:rFonts w:ascii="Arial" w:hAnsi="Arial" w:cs="Arial"/>
                <w:szCs w:val="24"/>
              </w:rPr>
              <w:t>768</w:t>
            </w:r>
          </w:p>
        </w:tc>
        <w:tc>
          <w:tcPr>
            <w:tcW w:w="1134" w:type="dxa"/>
          </w:tcPr>
          <w:p w14:paraId="2CDF520F" w14:textId="45F443C2"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33</w:t>
            </w:r>
            <w:r>
              <w:rPr>
                <w:rFonts w:ascii="Arial" w:hAnsi="Arial" w:cs="Arial"/>
                <w:szCs w:val="24"/>
              </w:rPr>
              <w:t>,</w:t>
            </w:r>
            <w:r w:rsidRPr="00EE060E">
              <w:rPr>
                <w:rFonts w:ascii="Arial" w:hAnsi="Arial" w:cs="Arial"/>
                <w:szCs w:val="24"/>
              </w:rPr>
              <w:t>924</w:t>
            </w:r>
          </w:p>
        </w:tc>
      </w:tr>
      <w:tr w:rsidR="00EE060E" w:rsidRPr="00D75223" w14:paraId="490A55D8" w14:textId="270B4A7A" w:rsidTr="009F1689">
        <w:trPr>
          <w:trHeight w:val="255"/>
        </w:trPr>
        <w:tc>
          <w:tcPr>
            <w:tcW w:w="2835" w:type="dxa"/>
          </w:tcPr>
          <w:p w14:paraId="67E43D9F" w14:textId="77777777" w:rsidR="00EE060E" w:rsidRPr="00D75223" w:rsidRDefault="00EE060E" w:rsidP="00EE060E">
            <w:pPr>
              <w:spacing w:before="100" w:beforeAutospacing="1" w:after="100" w:afterAutospacing="1"/>
              <w:rPr>
                <w:rFonts w:ascii="Arial" w:hAnsi="Arial" w:cs="Arial"/>
                <w:szCs w:val="24"/>
              </w:rPr>
            </w:pPr>
            <w:r w:rsidRPr="00A92DC6">
              <w:rPr>
                <w:rFonts w:ascii="Arial" w:hAnsi="Arial" w:cs="Arial"/>
                <w:szCs w:val="24"/>
              </w:rPr>
              <w:t>Other Grants</w:t>
            </w:r>
          </w:p>
        </w:tc>
        <w:tc>
          <w:tcPr>
            <w:tcW w:w="1134" w:type="dxa"/>
          </w:tcPr>
          <w:p w14:paraId="05358080" w14:textId="77777777" w:rsidR="00EE060E" w:rsidRPr="00D75223" w:rsidRDefault="00EE060E" w:rsidP="00EE060E">
            <w:pPr>
              <w:spacing w:before="100" w:beforeAutospacing="1" w:after="100" w:afterAutospacing="1"/>
              <w:jc w:val="right"/>
              <w:rPr>
                <w:rFonts w:ascii="Arial" w:hAnsi="Arial" w:cs="Arial"/>
                <w:szCs w:val="24"/>
              </w:rPr>
            </w:pPr>
          </w:p>
        </w:tc>
        <w:tc>
          <w:tcPr>
            <w:tcW w:w="1134" w:type="dxa"/>
          </w:tcPr>
          <w:p w14:paraId="708F6B0A" w14:textId="77777777" w:rsidR="00EE060E" w:rsidRPr="00D75223" w:rsidRDefault="00EE060E" w:rsidP="00EE060E">
            <w:pPr>
              <w:spacing w:before="100" w:beforeAutospacing="1" w:after="100" w:afterAutospacing="1"/>
              <w:jc w:val="right"/>
              <w:rPr>
                <w:rFonts w:ascii="Arial" w:hAnsi="Arial" w:cs="Arial"/>
                <w:szCs w:val="24"/>
              </w:rPr>
            </w:pPr>
          </w:p>
        </w:tc>
        <w:tc>
          <w:tcPr>
            <w:tcW w:w="1134" w:type="dxa"/>
          </w:tcPr>
          <w:p w14:paraId="07083F15" w14:textId="77777777" w:rsidR="00EE060E" w:rsidRPr="00D75223" w:rsidRDefault="00EE060E" w:rsidP="00EE060E">
            <w:pPr>
              <w:spacing w:before="100" w:beforeAutospacing="1" w:after="100" w:afterAutospacing="1"/>
              <w:jc w:val="right"/>
              <w:rPr>
                <w:rFonts w:ascii="Arial" w:hAnsi="Arial" w:cs="Arial"/>
                <w:szCs w:val="24"/>
              </w:rPr>
            </w:pPr>
          </w:p>
        </w:tc>
        <w:tc>
          <w:tcPr>
            <w:tcW w:w="1134" w:type="dxa"/>
          </w:tcPr>
          <w:p w14:paraId="361C6BF9" w14:textId="0633A9DD" w:rsidR="00EE060E" w:rsidRPr="00D75223" w:rsidRDefault="00EE060E" w:rsidP="00EE060E">
            <w:pPr>
              <w:spacing w:before="100" w:beforeAutospacing="1" w:after="100" w:afterAutospacing="1"/>
              <w:jc w:val="right"/>
              <w:rPr>
                <w:rFonts w:ascii="Arial" w:hAnsi="Arial" w:cs="Arial"/>
                <w:szCs w:val="24"/>
              </w:rPr>
            </w:pPr>
          </w:p>
        </w:tc>
        <w:tc>
          <w:tcPr>
            <w:tcW w:w="1134" w:type="dxa"/>
          </w:tcPr>
          <w:p w14:paraId="7734F9AB" w14:textId="105F6117" w:rsidR="00EE060E" w:rsidRPr="00D75223" w:rsidRDefault="00EE060E" w:rsidP="00EE060E">
            <w:pPr>
              <w:spacing w:before="100" w:beforeAutospacing="1" w:after="100" w:afterAutospacing="1"/>
              <w:jc w:val="right"/>
              <w:rPr>
                <w:rFonts w:ascii="Arial" w:hAnsi="Arial" w:cs="Arial"/>
                <w:szCs w:val="24"/>
              </w:rPr>
            </w:pPr>
          </w:p>
        </w:tc>
      </w:tr>
      <w:tr w:rsidR="00EE060E" w:rsidRPr="00D75223" w14:paraId="7BC063B7" w14:textId="218B3BC2" w:rsidTr="009F1689">
        <w:trPr>
          <w:trHeight w:val="255"/>
        </w:trPr>
        <w:tc>
          <w:tcPr>
            <w:tcW w:w="2835" w:type="dxa"/>
          </w:tcPr>
          <w:p w14:paraId="2C8C1902" w14:textId="77777777" w:rsidR="00EE060E" w:rsidRPr="00D75223" w:rsidRDefault="00EE060E" w:rsidP="00EE060E">
            <w:pPr>
              <w:spacing w:before="100" w:beforeAutospacing="1" w:after="100" w:afterAutospacing="1"/>
              <w:rPr>
                <w:rFonts w:ascii="Arial" w:hAnsi="Arial" w:cs="Arial"/>
                <w:szCs w:val="24"/>
              </w:rPr>
            </w:pPr>
            <w:r w:rsidRPr="00A92DC6">
              <w:rPr>
                <w:rFonts w:ascii="Arial" w:hAnsi="Arial" w:cs="Arial"/>
                <w:szCs w:val="24"/>
              </w:rPr>
              <w:t>Income Raised Locally</w:t>
            </w:r>
          </w:p>
        </w:tc>
        <w:tc>
          <w:tcPr>
            <w:tcW w:w="1134" w:type="dxa"/>
          </w:tcPr>
          <w:p w14:paraId="725B1756" w14:textId="5F1CFC4B" w:rsidR="00EE060E" w:rsidRPr="00D75223"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5</w:t>
            </w:r>
            <w:r>
              <w:rPr>
                <w:rFonts w:ascii="Arial" w:hAnsi="Arial" w:cs="Arial"/>
                <w:szCs w:val="24"/>
              </w:rPr>
              <w:t>,</w:t>
            </w:r>
            <w:r w:rsidRPr="00EE060E">
              <w:rPr>
                <w:rFonts w:ascii="Arial" w:hAnsi="Arial" w:cs="Arial"/>
                <w:szCs w:val="24"/>
              </w:rPr>
              <w:t>949</w:t>
            </w:r>
          </w:p>
        </w:tc>
        <w:tc>
          <w:tcPr>
            <w:tcW w:w="1134" w:type="dxa"/>
          </w:tcPr>
          <w:p w14:paraId="2B9B3155" w14:textId="0B58F7DE" w:rsidR="00EE060E" w:rsidRPr="00D75223"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6</w:t>
            </w:r>
            <w:r>
              <w:rPr>
                <w:rFonts w:ascii="Arial" w:hAnsi="Arial" w:cs="Arial"/>
                <w:szCs w:val="24"/>
              </w:rPr>
              <w:t>,</w:t>
            </w:r>
            <w:r w:rsidRPr="00EE060E">
              <w:rPr>
                <w:rFonts w:ascii="Arial" w:hAnsi="Arial" w:cs="Arial"/>
                <w:szCs w:val="24"/>
              </w:rPr>
              <w:t>588</w:t>
            </w:r>
          </w:p>
        </w:tc>
        <w:tc>
          <w:tcPr>
            <w:tcW w:w="1134" w:type="dxa"/>
          </w:tcPr>
          <w:p w14:paraId="0DAEDADC" w14:textId="642136AF"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6</w:t>
            </w:r>
            <w:r>
              <w:rPr>
                <w:rFonts w:ascii="Arial" w:hAnsi="Arial" w:cs="Arial"/>
                <w:szCs w:val="24"/>
              </w:rPr>
              <w:t>,</w:t>
            </w:r>
            <w:r w:rsidRPr="00EE060E">
              <w:rPr>
                <w:rFonts w:ascii="Arial" w:hAnsi="Arial" w:cs="Arial"/>
                <w:szCs w:val="24"/>
              </w:rPr>
              <w:t>368</w:t>
            </w:r>
          </w:p>
        </w:tc>
        <w:tc>
          <w:tcPr>
            <w:tcW w:w="1134" w:type="dxa"/>
          </w:tcPr>
          <w:p w14:paraId="1F0E347C" w14:textId="7766C3C7"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6</w:t>
            </w:r>
            <w:r>
              <w:rPr>
                <w:rFonts w:ascii="Arial" w:hAnsi="Arial" w:cs="Arial"/>
                <w:szCs w:val="24"/>
              </w:rPr>
              <w:t>,</w:t>
            </w:r>
            <w:r w:rsidRPr="00EE060E">
              <w:rPr>
                <w:rFonts w:ascii="Arial" w:hAnsi="Arial" w:cs="Arial"/>
                <w:szCs w:val="24"/>
              </w:rPr>
              <w:t>035</w:t>
            </w:r>
          </w:p>
        </w:tc>
        <w:tc>
          <w:tcPr>
            <w:tcW w:w="1134" w:type="dxa"/>
          </w:tcPr>
          <w:p w14:paraId="75803F4A" w14:textId="46D8390D" w:rsidR="00EE060E" w:rsidRPr="00A92DC6" w:rsidRDefault="00EE060E" w:rsidP="00EE060E">
            <w:pPr>
              <w:spacing w:before="100" w:beforeAutospacing="1" w:after="100" w:afterAutospacing="1"/>
              <w:jc w:val="right"/>
              <w:rPr>
                <w:rFonts w:ascii="Arial" w:hAnsi="Arial" w:cs="Arial"/>
                <w:szCs w:val="24"/>
              </w:rPr>
            </w:pPr>
            <w:r w:rsidRPr="00EE060E">
              <w:rPr>
                <w:rFonts w:ascii="Arial" w:hAnsi="Arial" w:cs="Arial"/>
                <w:szCs w:val="24"/>
              </w:rPr>
              <w:t>5</w:t>
            </w:r>
            <w:r>
              <w:rPr>
                <w:rFonts w:ascii="Arial" w:hAnsi="Arial" w:cs="Arial"/>
                <w:szCs w:val="24"/>
              </w:rPr>
              <w:t>,</w:t>
            </w:r>
            <w:r w:rsidRPr="00EE060E">
              <w:rPr>
                <w:rFonts w:ascii="Arial" w:hAnsi="Arial" w:cs="Arial"/>
                <w:szCs w:val="24"/>
              </w:rPr>
              <w:t>827</w:t>
            </w:r>
          </w:p>
        </w:tc>
      </w:tr>
      <w:tr w:rsidR="00EE060E" w:rsidRPr="00EE060E" w14:paraId="3D5C06C1" w14:textId="274C2059" w:rsidTr="009F1689">
        <w:trPr>
          <w:trHeight w:val="255"/>
        </w:trPr>
        <w:tc>
          <w:tcPr>
            <w:tcW w:w="2835" w:type="dxa"/>
          </w:tcPr>
          <w:p w14:paraId="1EBE5B85" w14:textId="77777777" w:rsidR="00EE060E" w:rsidRPr="00EE060E" w:rsidRDefault="00EE060E" w:rsidP="00EE060E">
            <w:pPr>
              <w:spacing w:before="100" w:beforeAutospacing="1" w:after="100" w:afterAutospacing="1"/>
              <w:rPr>
                <w:rFonts w:ascii="Arial" w:hAnsi="Arial" w:cs="Arial"/>
                <w:b/>
                <w:bCs/>
                <w:szCs w:val="24"/>
              </w:rPr>
            </w:pPr>
            <w:r w:rsidRPr="00EE060E">
              <w:rPr>
                <w:rFonts w:ascii="Arial" w:hAnsi="Arial" w:cs="Arial"/>
                <w:b/>
                <w:bCs/>
                <w:szCs w:val="24"/>
              </w:rPr>
              <w:t>Total</w:t>
            </w:r>
          </w:p>
        </w:tc>
        <w:tc>
          <w:tcPr>
            <w:tcW w:w="1134" w:type="dxa"/>
          </w:tcPr>
          <w:p w14:paraId="5F84ADEF" w14:textId="7607A82D" w:rsidR="00EE060E" w:rsidRPr="00EE060E" w:rsidRDefault="00EE060E" w:rsidP="00EE060E">
            <w:pPr>
              <w:spacing w:before="100" w:beforeAutospacing="1" w:after="100" w:afterAutospacing="1"/>
              <w:jc w:val="right"/>
              <w:rPr>
                <w:rFonts w:ascii="Arial" w:hAnsi="Arial" w:cs="Arial"/>
                <w:b/>
                <w:bCs/>
                <w:szCs w:val="24"/>
              </w:rPr>
            </w:pPr>
            <w:r w:rsidRPr="00EE060E">
              <w:rPr>
                <w:rFonts w:ascii="Arial" w:hAnsi="Arial" w:cs="Arial"/>
                <w:b/>
                <w:bCs/>
                <w:szCs w:val="24"/>
              </w:rPr>
              <w:t>81,105</w:t>
            </w:r>
          </w:p>
        </w:tc>
        <w:tc>
          <w:tcPr>
            <w:tcW w:w="1134" w:type="dxa"/>
          </w:tcPr>
          <w:p w14:paraId="001193B4" w14:textId="1ECBCBDF" w:rsidR="00EE060E" w:rsidRPr="00EE060E" w:rsidRDefault="00EE060E" w:rsidP="00EE060E">
            <w:pPr>
              <w:spacing w:before="100" w:beforeAutospacing="1" w:after="100" w:afterAutospacing="1"/>
              <w:jc w:val="right"/>
              <w:rPr>
                <w:rFonts w:ascii="Arial" w:hAnsi="Arial" w:cs="Arial"/>
                <w:b/>
                <w:bCs/>
                <w:szCs w:val="24"/>
              </w:rPr>
            </w:pPr>
            <w:r w:rsidRPr="00EE060E">
              <w:rPr>
                <w:rFonts w:ascii="Arial" w:hAnsi="Arial" w:cs="Arial"/>
                <w:b/>
                <w:bCs/>
                <w:szCs w:val="24"/>
              </w:rPr>
              <w:t>84,099</w:t>
            </w:r>
          </w:p>
        </w:tc>
        <w:tc>
          <w:tcPr>
            <w:tcW w:w="1134" w:type="dxa"/>
          </w:tcPr>
          <w:p w14:paraId="7F7C609E" w14:textId="693BC006" w:rsidR="00EE060E" w:rsidRPr="00EE060E" w:rsidRDefault="00EE060E" w:rsidP="00EE060E">
            <w:pPr>
              <w:spacing w:before="100" w:beforeAutospacing="1" w:after="100" w:afterAutospacing="1"/>
              <w:jc w:val="right"/>
              <w:rPr>
                <w:rFonts w:ascii="Arial" w:hAnsi="Arial" w:cs="Arial"/>
                <w:b/>
                <w:bCs/>
                <w:szCs w:val="24"/>
              </w:rPr>
            </w:pPr>
            <w:r w:rsidRPr="00EE060E">
              <w:rPr>
                <w:rFonts w:ascii="Arial" w:hAnsi="Arial" w:cs="Arial"/>
                <w:b/>
                <w:bCs/>
                <w:szCs w:val="24"/>
              </w:rPr>
              <w:t>86,893</w:t>
            </w:r>
          </w:p>
        </w:tc>
        <w:tc>
          <w:tcPr>
            <w:tcW w:w="1134" w:type="dxa"/>
          </w:tcPr>
          <w:p w14:paraId="75016A9F" w14:textId="344287F6" w:rsidR="00EE060E" w:rsidRPr="00EE060E" w:rsidRDefault="00EE060E" w:rsidP="00EE060E">
            <w:pPr>
              <w:spacing w:before="100" w:beforeAutospacing="1" w:after="100" w:afterAutospacing="1"/>
              <w:jc w:val="right"/>
              <w:rPr>
                <w:rFonts w:ascii="Arial" w:hAnsi="Arial" w:cs="Arial"/>
                <w:b/>
                <w:bCs/>
                <w:szCs w:val="24"/>
              </w:rPr>
            </w:pPr>
            <w:r w:rsidRPr="00EE060E">
              <w:rPr>
                <w:rFonts w:ascii="Arial" w:hAnsi="Arial" w:cs="Arial"/>
                <w:b/>
                <w:bCs/>
                <w:szCs w:val="24"/>
              </w:rPr>
              <w:t>88,839</w:t>
            </w:r>
          </w:p>
        </w:tc>
        <w:tc>
          <w:tcPr>
            <w:tcW w:w="1134" w:type="dxa"/>
          </w:tcPr>
          <w:p w14:paraId="2E81CEF9" w14:textId="70117DD0" w:rsidR="00EE060E" w:rsidRPr="00EE060E" w:rsidRDefault="00EE060E" w:rsidP="00EE060E">
            <w:pPr>
              <w:spacing w:before="100" w:beforeAutospacing="1" w:after="100" w:afterAutospacing="1"/>
              <w:jc w:val="right"/>
              <w:rPr>
                <w:rFonts w:ascii="Arial" w:hAnsi="Arial" w:cs="Arial"/>
                <w:b/>
                <w:bCs/>
                <w:szCs w:val="24"/>
              </w:rPr>
            </w:pPr>
            <w:r w:rsidRPr="00EE060E">
              <w:rPr>
                <w:rFonts w:ascii="Arial" w:hAnsi="Arial" w:cs="Arial"/>
                <w:b/>
                <w:bCs/>
                <w:szCs w:val="24"/>
              </w:rPr>
              <w:t>90,826</w:t>
            </w:r>
          </w:p>
        </w:tc>
      </w:tr>
    </w:tbl>
    <w:p w14:paraId="50A58F7C" w14:textId="77777777" w:rsidR="00B85729" w:rsidRDefault="00B85729" w:rsidP="6218B4DB">
      <w:pPr>
        <w:rPr>
          <w:rFonts w:ascii="Arial" w:hAnsi="Arial" w:cs="Arial"/>
          <w:color w:val="000000" w:themeColor="text1"/>
          <w:szCs w:val="24"/>
        </w:rPr>
      </w:pPr>
    </w:p>
    <w:p w14:paraId="6848BE19" w14:textId="55B55BB9" w:rsidR="001C56D7" w:rsidRDefault="001C56D7" w:rsidP="001C56D7">
      <w:pPr>
        <w:rPr>
          <w:rFonts w:ascii="Arial" w:hAnsi="Arial" w:cs="Arial"/>
          <w:b/>
          <w:bCs/>
          <w:szCs w:val="24"/>
        </w:rPr>
      </w:pPr>
      <w:r>
        <w:rPr>
          <w:rFonts w:ascii="Arial" w:hAnsi="Arial" w:cs="Arial"/>
          <w:b/>
          <w:bCs/>
          <w:szCs w:val="24"/>
        </w:rPr>
        <w:t>Reserves Table</w:t>
      </w:r>
      <w:r w:rsidR="00964F82">
        <w:rPr>
          <w:rFonts w:ascii="Arial" w:hAnsi="Arial" w:cs="Arial"/>
          <w:b/>
          <w:bCs/>
          <w:szCs w:val="24"/>
        </w:rPr>
        <w:t xml:space="preserve"> (£’000)</w:t>
      </w:r>
      <w:r w:rsidRPr="001C56D7">
        <w:rPr>
          <w:rFonts w:ascii="Arial" w:hAnsi="Arial" w:cs="Arial"/>
          <w:b/>
          <w:bCs/>
          <w:szCs w:val="24"/>
        </w:rPr>
        <w:t xml:space="preserve"> </w:t>
      </w:r>
    </w:p>
    <w:p w14:paraId="6446CFDE" w14:textId="77777777" w:rsidR="00857300" w:rsidRPr="001C56D7" w:rsidRDefault="00857300" w:rsidP="001C56D7">
      <w:pPr>
        <w:rPr>
          <w:rFonts w:ascii="Arial" w:hAnsi="Arial" w:cs="Arial"/>
          <w:b/>
          <w:bCs/>
          <w:szCs w:val="24"/>
        </w:rPr>
      </w:pPr>
    </w:p>
    <w:tbl>
      <w:tblPr>
        <w:tblStyle w:val="TableGrid"/>
        <w:tblW w:w="8505" w:type="dxa"/>
        <w:tblLayout w:type="fixed"/>
        <w:tblLook w:val="06A0" w:firstRow="1" w:lastRow="0" w:firstColumn="1" w:lastColumn="0" w:noHBand="1" w:noVBand="1"/>
      </w:tblPr>
      <w:tblGrid>
        <w:gridCol w:w="2835"/>
        <w:gridCol w:w="1134"/>
        <w:gridCol w:w="1134"/>
        <w:gridCol w:w="1134"/>
        <w:gridCol w:w="1134"/>
        <w:gridCol w:w="1134"/>
      </w:tblGrid>
      <w:tr w:rsidR="00286423" w:rsidRPr="00D75223" w14:paraId="12E03D39" w14:textId="58DC7D32" w:rsidTr="004B0620">
        <w:trPr>
          <w:trHeight w:val="255"/>
        </w:trPr>
        <w:tc>
          <w:tcPr>
            <w:tcW w:w="2835" w:type="dxa"/>
          </w:tcPr>
          <w:p w14:paraId="65EB5281" w14:textId="0BA17010" w:rsidR="00286423" w:rsidRPr="005E4CAA" w:rsidRDefault="00286423" w:rsidP="000C4EAB">
            <w:pPr>
              <w:pStyle w:val="Heading3"/>
            </w:pPr>
          </w:p>
        </w:tc>
        <w:tc>
          <w:tcPr>
            <w:tcW w:w="1134" w:type="dxa"/>
          </w:tcPr>
          <w:p w14:paraId="2E8C2573" w14:textId="77777777" w:rsidR="00286423" w:rsidRPr="00D75223" w:rsidRDefault="00286423" w:rsidP="000C4EAB">
            <w:pPr>
              <w:spacing w:before="100" w:beforeAutospacing="1" w:after="100" w:afterAutospacing="1" w:line="259" w:lineRule="auto"/>
              <w:jc w:val="right"/>
              <w:rPr>
                <w:rFonts w:ascii="Arial" w:hAnsi="Arial" w:cs="Arial"/>
                <w:b/>
                <w:bCs/>
                <w:szCs w:val="24"/>
              </w:rPr>
            </w:pPr>
            <w:r w:rsidRPr="00D75223">
              <w:rPr>
                <w:rFonts w:ascii="Arial" w:hAnsi="Arial" w:cs="Arial"/>
                <w:b/>
                <w:bCs/>
                <w:szCs w:val="24"/>
              </w:rPr>
              <w:t>2024/25</w:t>
            </w:r>
          </w:p>
        </w:tc>
        <w:tc>
          <w:tcPr>
            <w:tcW w:w="1134" w:type="dxa"/>
          </w:tcPr>
          <w:p w14:paraId="51856F2A" w14:textId="77777777" w:rsidR="00286423" w:rsidRPr="00D75223" w:rsidRDefault="00286423" w:rsidP="000C4EAB">
            <w:pPr>
              <w:spacing w:before="100" w:beforeAutospacing="1" w:after="100" w:afterAutospacing="1" w:line="259" w:lineRule="auto"/>
              <w:jc w:val="right"/>
              <w:rPr>
                <w:rFonts w:ascii="Arial" w:hAnsi="Arial" w:cs="Arial"/>
                <w:b/>
                <w:bCs/>
                <w:szCs w:val="24"/>
              </w:rPr>
            </w:pPr>
            <w:r w:rsidRPr="00D75223">
              <w:rPr>
                <w:rFonts w:ascii="Arial" w:hAnsi="Arial" w:cs="Arial"/>
                <w:b/>
                <w:bCs/>
                <w:szCs w:val="24"/>
              </w:rPr>
              <w:t>2025/26</w:t>
            </w:r>
          </w:p>
        </w:tc>
        <w:tc>
          <w:tcPr>
            <w:tcW w:w="1134" w:type="dxa"/>
          </w:tcPr>
          <w:p w14:paraId="0706758E" w14:textId="77777777" w:rsidR="00286423" w:rsidRPr="00D75223" w:rsidRDefault="00286423" w:rsidP="000C4EAB">
            <w:pPr>
              <w:spacing w:before="100" w:beforeAutospacing="1" w:after="100" w:afterAutospacing="1" w:line="259" w:lineRule="auto"/>
              <w:jc w:val="right"/>
              <w:rPr>
                <w:rFonts w:ascii="Arial" w:hAnsi="Arial" w:cs="Arial"/>
                <w:b/>
                <w:bCs/>
                <w:szCs w:val="24"/>
              </w:rPr>
            </w:pPr>
            <w:r w:rsidRPr="00D75223">
              <w:rPr>
                <w:rFonts w:ascii="Arial" w:hAnsi="Arial" w:cs="Arial"/>
                <w:b/>
                <w:bCs/>
                <w:szCs w:val="24"/>
              </w:rPr>
              <w:t>2026/27</w:t>
            </w:r>
          </w:p>
        </w:tc>
        <w:tc>
          <w:tcPr>
            <w:tcW w:w="1134" w:type="dxa"/>
          </w:tcPr>
          <w:p w14:paraId="1DD86D27" w14:textId="77777777" w:rsidR="00286423" w:rsidRPr="00D75223" w:rsidRDefault="00286423" w:rsidP="000C4EAB">
            <w:pPr>
              <w:spacing w:before="100" w:beforeAutospacing="1" w:after="100" w:afterAutospacing="1" w:line="259" w:lineRule="auto"/>
              <w:jc w:val="right"/>
              <w:rPr>
                <w:rFonts w:ascii="Arial" w:hAnsi="Arial" w:cs="Arial"/>
                <w:b/>
                <w:bCs/>
                <w:szCs w:val="24"/>
              </w:rPr>
            </w:pPr>
            <w:r w:rsidRPr="00D75223">
              <w:rPr>
                <w:rFonts w:ascii="Arial" w:hAnsi="Arial" w:cs="Arial"/>
                <w:b/>
                <w:bCs/>
                <w:szCs w:val="24"/>
              </w:rPr>
              <w:t>2027/28</w:t>
            </w:r>
          </w:p>
        </w:tc>
        <w:tc>
          <w:tcPr>
            <w:tcW w:w="1134" w:type="dxa"/>
          </w:tcPr>
          <w:p w14:paraId="1DBBD071" w14:textId="08E7E6E9" w:rsidR="00286423" w:rsidRPr="00D75223" w:rsidRDefault="00286423" w:rsidP="000C4EAB">
            <w:pPr>
              <w:spacing w:before="100" w:beforeAutospacing="1" w:after="100" w:afterAutospacing="1" w:line="259" w:lineRule="auto"/>
              <w:jc w:val="right"/>
              <w:rPr>
                <w:rFonts w:ascii="Arial" w:hAnsi="Arial" w:cs="Arial"/>
                <w:b/>
                <w:bCs/>
                <w:szCs w:val="24"/>
              </w:rPr>
            </w:pPr>
            <w:r w:rsidRPr="00D75223">
              <w:rPr>
                <w:rFonts w:ascii="Arial" w:hAnsi="Arial" w:cs="Arial"/>
                <w:b/>
                <w:bCs/>
                <w:szCs w:val="24"/>
              </w:rPr>
              <w:t>202</w:t>
            </w:r>
            <w:r>
              <w:rPr>
                <w:rFonts w:ascii="Arial" w:hAnsi="Arial" w:cs="Arial"/>
                <w:b/>
                <w:bCs/>
                <w:szCs w:val="24"/>
              </w:rPr>
              <w:t>8</w:t>
            </w:r>
            <w:r w:rsidRPr="00D75223">
              <w:rPr>
                <w:rFonts w:ascii="Arial" w:hAnsi="Arial" w:cs="Arial"/>
                <w:b/>
                <w:bCs/>
                <w:szCs w:val="24"/>
              </w:rPr>
              <w:t>/2</w:t>
            </w:r>
            <w:r>
              <w:rPr>
                <w:rFonts w:ascii="Arial" w:hAnsi="Arial" w:cs="Arial"/>
                <w:b/>
                <w:bCs/>
                <w:szCs w:val="24"/>
              </w:rPr>
              <w:t>9</w:t>
            </w:r>
          </w:p>
        </w:tc>
      </w:tr>
      <w:tr w:rsidR="004B0620" w:rsidRPr="00D75223" w14:paraId="6B7E129C" w14:textId="60DC5263" w:rsidTr="004B0620">
        <w:trPr>
          <w:trHeight w:val="255"/>
        </w:trPr>
        <w:tc>
          <w:tcPr>
            <w:tcW w:w="2835" w:type="dxa"/>
          </w:tcPr>
          <w:p w14:paraId="3F997532" w14:textId="77777777" w:rsidR="004B0620" w:rsidRPr="00D75223" w:rsidRDefault="004B0620" w:rsidP="004B0620">
            <w:pPr>
              <w:spacing w:before="100" w:beforeAutospacing="1" w:after="100" w:afterAutospacing="1"/>
              <w:rPr>
                <w:rFonts w:ascii="Arial" w:hAnsi="Arial" w:cs="Arial"/>
                <w:szCs w:val="24"/>
              </w:rPr>
            </w:pPr>
            <w:r w:rsidRPr="00A92DC6">
              <w:rPr>
                <w:rFonts w:ascii="Arial" w:hAnsi="Arial" w:cs="Arial"/>
                <w:szCs w:val="24"/>
              </w:rPr>
              <w:t>General Reserves</w:t>
            </w:r>
          </w:p>
        </w:tc>
        <w:tc>
          <w:tcPr>
            <w:tcW w:w="1134" w:type="dxa"/>
          </w:tcPr>
          <w:p w14:paraId="7AF49D54" w14:textId="5A834015"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4</w:t>
            </w:r>
            <w:r>
              <w:rPr>
                <w:rFonts w:ascii="Arial" w:hAnsi="Arial" w:cs="Arial"/>
                <w:szCs w:val="24"/>
              </w:rPr>
              <w:t>,</w:t>
            </w:r>
            <w:r w:rsidRPr="004B0620">
              <w:rPr>
                <w:rFonts w:ascii="Arial" w:hAnsi="Arial" w:cs="Arial"/>
                <w:szCs w:val="24"/>
              </w:rPr>
              <w:t>987</w:t>
            </w:r>
          </w:p>
        </w:tc>
        <w:tc>
          <w:tcPr>
            <w:tcW w:w="1134" w:type="dxa"/>
          </w:tcPr>
          <w:p w14:paraId="15448D70" w14:textId="65A03C82"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6</w:t>
            </w:r>
            <w:r>
              <w:rPr>
                <w:rFonts w:ascii="Arial" w:hAnsi="Arial" w:cs="Arial"/>
                <w:szCs w:val="24"/>
              </w:rPr>
              <w:t>,</w:t>
            </w:r>
            <w:r w:rsidRPr="004B0620">
              <w:rPr>
                <w:rFonts w:ascii="Arial" w:hAnsi="Arial" w:cs="Arial"/>
                <w:szCs w:val="24"/>
              </w:rPr>
              <w:t>018</w:t>
            </w:r>
          </w:p>
        </w:tc>
        <w:tc>
          <w:tcPr>
            <w:tcW w:w="1134" w:type="dxa"/>
          </w:tcPr>
          <w:p w14:paraId="01F2C726" w14:textId="4F3E2B7B"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6</w:t>
            </w:r>
            <w:r>
              <w:rPr>
                <w:rFonts w:ascii="Arial" w:hAnsi="Arial" w:cs="Arial"/>
                <w:szCs w:val="24"/>
              </w:rPr>
              <w:t>,</w:t>
            </w:r>
            <w:r w:rsidRPr="004B0620">
              <w:rPr>
                <w:rFonts w:ascii="Arial" w:hAnsi="Arial" w:cs="Arial"/>
                <w:szCs w:val="24"/>
              </w:rPr>
              <w:t>018</w:t>
            </w:r>
          </w:p>
        </w:tc>
        <w:tc>
          <w:tcPr>
            <w:tcW w:w="1134" w:type="dxa"/>
          </w:tcPr>
          <w:p w14:paraId="59CEBEE4" w14:textId="0940071E"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5</w:t>
            </w:r>
            <w:r>
              <w:rPr>
                <w:rFonts w:ascii="Arial" w:hAnsi="Arial" w:cs="Arial"/>
                <w:szCs w:val="24"/>
              </w:rPr>
              <w:t>,</w:t>
            </w:r>
            <w:r w:rsidRPr="004B0620">
              <w:rPr>
                <w:rFonts w:ascii="Arial" w:hAnsi="Arial" w:cs="Arial"/>
                <w:szCs w:val="24"/>
              </w:rPr>
              <w:t>824</w:t>
            </w:r>
          </w:p>
        </w:tc>
        <w:tc>
          <w:tcPr>
            <w:tcW w:w="1134" w:type="dxa"/>
          </w:tcPr>
          <w:p w14:paraId="7F519586" w14:textId="785DAE16" w:rsidR="004B0620" w:rsidRPr="00A92DC6"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5</w:t>
            </w:r>
            <w:r>
              <w:rPr>
                <w:rFonts w:ascii="Arial" w:hAnsi="Arial" w:cs="Arial"/>
                <w:szCs w:val="24"/>
              </w:rPr>
              <w:t>,</w:t>
            </w:r>
            <w:r w:rsidRPr="004B0620">
              <w:rPr>
                <w:rFonts w:ascii="Arial" w:hAnsi="Arial" w:cs="Arial"/>
                <w:szCs w:val="24"/>
              </w:rPr>
              <w:t>789</w:t>
            </w:r>
          </w:p>
        </w:tc>
      </w:tr>
      <w:tr w:rsidR="004B0620" w:rsidRPr="00D75223" w14:paraId="3FD81E9B" w14:textId="4B0377B9" w:rsidTr="004B0620">
        <w:trPr>
          <w:trHeight w:val="255"/>
        </w:trPr>
        <w:tc>
          <w:tcPr>
            <w:tcW w:w="2835" w:type="dxa"/>
          </w:tcPr>
          <w:p w14:paraId="5E9CDD16" w14:textId="77777777" w:rsidR="004B0620" w:rsidRPr="00D75223" w:rsidRDefault="004B0620" w:rsidP="004B0620">
            <w:pPr>
              <w:spacing w:before="100" w:beforeAutospacing="1" w:after="100" w:afterAutospacing="1"/>
              <w:rPr>
                <w:rFonts w:ascii="Arial" w:hAnsi="Arial" w:cs="Arial"/>
                <w:szCs w:val="24"/>
              </w:rPr>
            </w:pPr>
            <w:r w:rsidRPr="00A92DC6">
              <w:rPr>
                <w:rFonts w:ascii="Arial" w:hAnsi="Arial" w:cs="Arial"/>
                <w:szCs w:val="24"/>
              </w:rPr>
              <w:t>Earmarked Revenue Reserves</w:t>
            </w:r>
          </w:p>
        </w:tc>
        <w:tc>
          <w:tcPr>
            <w:tcW w:w="1134" w:type="dxa"/>
          </w:tcPr>
          <w:p w14:paraId="52F71ABD" w14:textId="783E4037"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7</w:t>
            </w:r>
            <w:r>
              <w:rPr>
                <w:rFonts w:ascii="Arial" w:hAnsi="Arial" w:cs="Arial"/>
                <w:szCs w:val="24"/>
              </w:rPr>
              <w:t>,</w:t>
            </w:r>
            <w:r w:rsidRPr="004B0620">
              <w:rPr>
                <w:rFonts w:ascii="Arial" w:hAnsi="Arial" w:cs="Arial"/>
                <w:szCs w:val="24"/>
              </w:rPr>
              <w:t>308</w:t>
            </w:r>
          </w:p>
        </w:tc>
        <w:tc>
          <w:tcPr>
            <w:tcW w:w="1134" w:type="dxa"/>
          </w:tcPr>
          <w:p w14:paraId="6CC9968E" w14:textId="55277429"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11</w:t>
            </w:r>
            <w:r>
              <w:rPr>
                <w:rFonts w:ascii="Arial" w:hAnsi="Arial" w:cs="Arial"/>
                <w:szCs w:val="24"/>
              </w:rPr>
              <w:t>,</w:t>
            </w:r>
            <w:r w:rsidRPr="004B0620">
              <w:rPr>
                <w:rFonts w:ascii="Arial" w:hAnsi="Arial" w:cs="Arial"/>
                <w:szCs w:val="24"/>
              </w:rPr>
              <w:t>821</w:t>
            </w:r>
          </w:p>
        </w:tc>
        <w:tc>
          <w:tcPr>
            <w:tcW w:w="1134" w:type="dxa"/>
          </w:tcPr>
          <w:p w14:paraId="0CA1B3E2" w14:textId="1F16E8E0"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9</w:t>
            </w:r>
            <w:r>
              <w:rPr>
                <w:rFonts w:ascii="Arial" w:hAnsi="Arial" w:cs="Arial"/>
                <w:szCs w:val="24"/>
              </w:rPr>
              <w:t>,</w:t>
            </w:r>
            <w:r w:rsidRPr="004B0620">
              <w:rPr>
                <w:rFonts w:ascii="Arial" w:hAnsi="Arial" w:cs="Arial"/>
                <w:szCs w:val="24"/>
              </w:rPr>
              <w:t>036</w:t>
            </w:r>
          </w:p>
        </w:tc>
        <w:tc>
          <w:tcPr>
            <w:tcW w:w="1134" w:type="dxa"/>
          </w:tcPr>
          <w:p w14:paraId="327EA6F7" w14:textId="71DB685F"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6</w:t>
            </w:r>
            <w:r>
              <w:rPr>
                <w:rFonts w:ascii="Arial" w:hAnsi="Arial" w:cs="Arial"/>
                <w:szCs w:val="24"/>
              </w:rPr>
              <w:t>,</w:t>
            </w:r>
            <w:r w:rsidRPr="004B0620">
              <w:rPr>
                <w:rFonts w:ascii="Arial" w:hAnsi="Arial" w:cs="Arial"/>
                <w:szCs w:val="24"/>
              </w:rPr>
              <w:t>803</w:t>
            </w:r>
          </w:p>
        </w:tc>
        <w:tc>
          <w:tcPr>
            <w:tcW w:w="1134" w:type="dxa"/>
          </w:tcPr>
          <w:p w14:paraId="5F14C846" w14:textId="3CEC77EE" w:rsidR="004B0620" w:rsidRPr="00A92DC6"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5</w:t>
            </w:r>
            <w:r>
              <w:rPr>
                <w:rFonts w:ascii="Arial" w:hAnsi="Arial" w:cs="Arial"/>
                <w:szCs w:val="24"/>
              </w:rPr>
              <w:t>,</w:t>
            </w:r>
            <w:r w:rsidRPr="004B0620">
              <w:rPr>
                <w:rFonts w:ascii="Arial" w:hAnsi="Arial" w:cs="Arial"/>
                <w:szCs w:val="24"/>
              </w:rPr>
              <w:t>446</w:t>
            </w:r>
          </w:p>
        </w:tc>
      </w:tr>
      <w:tr w:rsidR="004B0620" w:rsidRPr="00D75223" w14:paraId="1A12C69F" w14:textId="3D5D302A" w:rsidTr="004B0620">
        <w:trPr>
          <w:trHeight w:val="255"/>
        </w:trPr>
        <w:tc>
          <w:tcPr>
            <w:tcW w:w="2835" w:type="dxa"/>
          </w:tcPr>
          <w:p w14:paraId="611B0815" w14:textId="11353508" w:rsidR="004B0620" w:rsidRPr="00286423" w:rsidRDefault="004B0620" w:rsidP="004B0620">
            <w:pPr>
              <w:pStyle w:val="ListParagraph"/>
              <w:numPr>
                <w:ilvl w:val="0"/>
                <w:numId w:val="45"/>
              </w:numPr>
              <w:spacing w:before="100" w:beforeAutospacing="1" w:after="100" w:afterAutospacing="1"/>
              <w:rPr>
                <w:rFonts w:ascii="Arial" w:hAnsi="Arial" w:cs="Arial"/>
                <w:szCs w:val="24"/>
              </w:rPr>
            </w:pPr>
            <w:r w:rsidRPr="00286423">
              <w:rPr>
                <w:rFonts w:ascii="Arial" w:hAnsi="Arial" w:cs="Arial"/>
                <w:szCs w:val="24"/>
              </w:rPr>
              <w:t>of which MRP reserve</w:t>
            </w:r>
          </w:p>
        </w:tc>
        <w:tc>
          <w:tcPr>
            <w:tcW w:w="1134" w:type="dxa"/>
          </w:tcPr>
          <w:p w14:paraId="7E33F25F"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29E6140F"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7A9C4C80"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592FCE86"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3B0D9F5D" w14:textId="77777777" w:rsidR="004B0620" w:rsidRPr="00D75223" w:rsidRDefault="004B0620" w:rsidP="004B0620">
            <w:pPr>
              <w:spacing w:before="100" w:beforeAutospacing="1" w:after="100" w:afterAutospacing="1"/>
              <w:jc w:val="right"/>
              <w:rPr>
                <w:rFonts w:ascii="Arial" w:hAnsi="Arial" w:cs="Arial"/>
                <w:szCs w:val="24"/>
              </w:rPr>
            </w:pPr>
          </w:p>
        </w:tc>
      </w:tr>
      <w:tr w:rsidR="004B0620" w:rsidRPr="00D75223" w14:paraId="0D5C00E8" w14:textId="6D5E98DD" w:rsidTr="004B0620">
        <w:trPr>
          <w:trHeight w:val="255"/>
        </w:trPr>
        <w:tc>
          <w:tcPr>
            <w:tcW w:w="2835" w:type="dxa"/>
          </w:tcPr>
          <w:p w14:paraId="5D5A705E" w14:textId="77777777" w:rsidR="004B0620" w:rsidRPr="00D75223" w:rsidRDefault="004B0620" w:rsidP="004B0620">
            <w:pPr>
              <w:spacing w:before="100" w:beforeAutospacing="1" w:after="100" w:afterAutospacing="1"/>
              <w:rPr>
                <w:rFonts w:ascii="Arial" w:hAnsi="Arial" w:cs="Arial"/>
                <w:szCs w:val="24"/>
              </w:rPr>
            </w:pPr>
            <w:r w:rsidRPr="00A92DC6">
              <w:rPr>
                <w:rFonts w:ascii="Arial" w:hAnsi="Arial" w:cs="Arial"/>
                <w:szCs w:val="24"/>
              </w:rPr>
              <w:t>Earmarked Capital Reserves</w:t>
            </w:r>
          </w:p>
        </w:tc>
        <w:tc>
          <w:tcPr>
            <w:tcW w:w="1134" w:type="dxa"/>
          </w:tcPr>
          <w:p w14:paraId="140ABFE1" w14:textId="07326EFA"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16</w:t>
            </w:r>
            <w:r>
              <w:rPr>
                <w:rFonts w:ascii="Arial" w:hAnsi="Arial" w:cs="Arial"/>
                <w:szCs w:val="24"/>
              </w:rPr>
              <w:t>,</w:t>
            </w:r>
            <w:r w:rsidRPr="004B0620">
              <w:rPr>
                <w:rFonts w:ascii="Arial" w:hAnsi="Arial" w:cs="Arial"/>
                <w:szCs w:val="24"/>
              </w:rPr>
              <w:t>950</w:t>
            </w:r>
          </w:p>
        </w:tc>
        <w:tc>
          <w:tcPr>
            <w:tcW w:w="1134" w:type="dxa"/>
          </w:tcPr>
          <w:p w14:paraId="7B6FD09C" w14:textId="03F7D15C"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14</w:t>
            </w:r>
            <w:r>
              <w:rPr>
                <w:rFonts w:ascii="Arial" w:hAnsi="Arial" w:cs="Arial"/>
                <w:szCs w:val="24"/>
              </w:rPr>
              <w:t>,</w:t>
            </w:r>
            <w:r w:rsidRPr="004B0620">
              <w:rPr>
                <w:rFonts w:ascii="Arial" w:hAnsi="Arial" w:cs="Arial"/>
                <w:szCs w:val="24"/>
              </w:rPr>
              <w:t>106</w:t>
            </w:r>
          </w:p>
        </w:tc>
        <w:tc>
          <w:tcPr>
            <w:tcW w:w="1134" w:type="dxa"/>
          </w:tcPr>
          <w:p w14:paraId="0BA2E184" w14:textId="4CF08F06"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8</w:t>
            </w:r>
            <w:r>
              <w:rPr>
                <w:rFonts w:ascii="Arial" w:hAnsi="Arial" w:cs="Arial"/>
                <w:szCs w:val="24"/>
              </w:rPr>
              <w:t>,</w:t>
            </w:r>
            <w:r w:rsidRPr="004B0620">
              <w:rPr>
                <w:rFonts w:ascii="Arial" w:hAnsi="Arial" w:cs="Arial"/>
                <w:szCs w:val="24"/>
              </w:rPr>
              <w:t>365</w:t>
            </w:r>
          </w:p>
        </w:tc>
        <w:tc>
          <w:tcPr>
            <w:tcW w:w="1134" w:type="dxa"/>
          </w:tcPr>
          <w:p w14:paraId="02B24DB6" w14:textId="743D61BC" w:rsidR="004B0620" w:rsidRPr="00D75223"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7</w:t>
            </w:r>
            <w:r>
              <w:rPr>
                <w:rFonts w:ascii="Arial" w:hAnsi="Arial" w:cs="Arial"/>
                <w:szCs w:val="24"/>
              </w:rPr>
              <w:t>,</w:t>
            </w:r>
            <w:r w:rsidRPr="004B0620">
              <w:rPr>
                <w:rFonts w:ascii="Arial" w:hAnsi="Arial" w:cs="Arial"/>
                <w:szCs w:val="24"/>
              </w:rPr>
              <w:t>453</w:t>
            </w:r>
          </w:p>
        </w:tc>
        <w:tc>
          <w:tcPr>
            <w:tcW w:w="1134" w:type="dxa"/>
          </w:tcPr>
          <w:p w14:paraId="611B58BC" w14:textId="56C1BBB4" w:rsidR="004B0620" w:rsidRPr="00A92DC6" w:rsidRDefault="004B0620" w:rsidP="004B0620">
            <w:pPr>
              <w:spacing w:before="100" w:beforeAutospacing="1" w:after="100" w:afterAutospacing="1"/>
              <w:jc w:val="right"/>
              <w:rPr>
                <w:rFonts w:ascii="Arial" w:hAnsi="Arial" w:cs="Arial"/>
                <w:szCs w:val="24"/>
              </w:rPr>
            </w:pPr>
            <w:r w:rsidRPr="004B0620">
              <w:rPr>
                <w:rFonts w:ascii="Arial" w:hAnsi="Arial" w:cs="Arial"/>
                <w:szCs w:val="24"/>
              </w:rPr>
              <w:t>7</w:t>
            </w:r>
            <w:r>
              <w:rPr>
                <w:rFonts w:ascii="Arial" w:hAnsi="Arial" w:cs="Arial"/>
                <w:szCs w:val="24"/>
              </w:rPr>
              <w:t>,</w:t>
            </w:r>
            <w:r w:rsidRPr="004B0620">
              <w:rPr>
                <w:rFonts w:ascii="Arial" w:hAnsi="Arial" w:cs="Arial"/>
                <w:szCs w:val="24"/>
              </w:rPr>
              <w:t>680</w:t>
            </w:r>
          </w:p>
        </w:tc>
      </w:tr>
      <w:tr w:rsidR="004B0620" w:rsidRPr="00D75223" w14:paraId="3E8B46C3" w14:textId="0D866405" w:rsidTr="004B0620">
        <w:trPr>
          <w:trHeight w:val="255"/>
        </w:trPr>
        <w:tc>
          <w:tcPr>
            <w:tcW w:w="2835" w:type="dxa"/>
          </w:tcPr>
          <w:p w14:paraId="1D9B8A32" w14:textId="77777777" w:rsidR="004B0620" w:rsidRPr="00D75223" w:rsidRDefault="004B0620" w:rsidP="004B0620">
            <w:pPr>
              <w:spacing w:before="100" w:beforeAutospacing="1" w:after="100" w:afterAutospacing="1"/>
              <w:rPr>
                <w:rFonts w:ascii="Arial" w:hAnsi="Arial" w:cs="Arial"/>
                <w:szCs w:val="24"/>
              </w:rPr>
            </w:pPr>
            <w:r w:rsidRPr="00A92DC6">
              <w:rPr>
                <w:rFonts w:ascii="Arial" w:hAnsi="Arial" w:cs="Arial"/>
                <w:szCs w:val="24"/>
              </w:rPr>
              <w:lastRenderedPageBreak/>
              <w:t>Other Reserves</w:t>
            </w:r>
          </w:p>
        </w:tc>
        <w:tc>
          <w:tcPr>
            <w:tcW w:w="1134" w:type="dxa"/>
          </w:tcPr>
          <w:p w14:paraId="7B2A0797"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167230DB"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35C904EC"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7BCE9085"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77B7C305" w14:textId="77777777" w:rsidR="004B0620" w:rsidRPr="00D75223" w:rsidRDefault="004B0620" w:rsidP="004B0620">
            <w:pPr>
              <w:spacing w:before="100" w:beforeAutospacing="1" w:after="100" w:afterAutospacing="1"/>
              <w:jc w:val="right"/>
              <w:rPr>
                <w:rFonts w:ascii="Arial" w:hAnsi="Arial" w:cs="Arial"/>
                <w:szCs w:val="24"/>
              </w:rPr>
            </w:pPr>
          </w:p>
        </w:tc>
      </w:tr>
      <w:tr w:rsidR="004B0620" w:rsidRPr="00D75223" w14:paraId="14C161E1" w14:textId="4B4CBC61" w:rsidTr="004B0620">
        <w:trPr>
          <w:trHeight w:val="255"/>
        </w:trPr>
        <w:tc>
          <w:tcPr>
            <w:tcW w:w="2835" w:type="dxa"/>
          </w:tcPr>
          <w:p w14:paraId="002677D7" w14:textId="067B5D53" w:rsidR="004B0620" w:rsidRPr="00286423" w:rsidRDefault="004B0620" w:rsidP="004B0620">
            <w:pPr>
              <w:pStyle w:val="ListParagraph"/>
              <w:numPr>
                <w:ilvl w:val="0"/>
                <w:numId w:val="45"/>
              </w:numPr>
              <w:spacing w:before="100" w:beforeAutospacing="1" w:after="100" w:afterAutospacing="1"/>
              <w:rPr>
                <w:rFonts w:ascii="Arial" w:hAnsi="Arial" w:cs="Arial"/>
                <w:szCs w:val="24"/>
              </w:rPr>
            </w:pPr>
            <w:r w:rsidRPr="00286423">
              <w:rPr>
                <w:rFonts w:ascii="Arial" w:hAnsi="Arial" w:cs="Arial"/>
                <w:szCs w:val="24"/>
              </w:rPr>
              <w:t>of which revenue</w:t>
            </w:r>
          </w:p>
        </w:tc>
        <w:tc>
          <w:tcPr>
            <w:tcW w:w="1134" w:type="dxa"/>
          </w:tcPr>
          <w:p w14:paraId="746D3C64"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1DB2C576"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6E4E0087"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417731E1"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59E3A5C9" w14:textId="77777777" w:rsidR="004B0620" w:rsidRPr="00D75223" w:rsidRDefault="004B0620" w:rsidP="004B0620">
            <w:pPr>
              <w:spacing w:before="100" w:beforeAutospacing="1" w:after="100" w:afterAutospacing="1"/>
              <w:jc w:val="right"/>
              <w:rPr>
                <w:rFonts w:ascii="Arial" w:hAnsi="Arial" w:cs="Arial"/>
                <w:szCs w:val="24"/>
              </w:rPr>
            </w:pPr>
          </w:p>
        </w:tc>
      </w:tr>
      <w:tr w:rsidR="004B0620" w:rsidRPr="00D75223" w14:paraId="1EB413E8" w14:textId="1CEC6DDA" w:rsidTr="004B0620">
        <w:trPr>
          <w:trHeight w:val="255"/>
        </w:trPr>
        <w:tc>
          <w:tcPr>
            <w:tcW w:w="2835" w:type="dxa"/>
          </w:tcPr>
          <w:p w14:paraId="59D49FBF" w14:textId="6AD725DA" w:rsidR="004B0620" w:rsidRPr="00286423" w:rsidRDefault="004B0620" w:rsidP="004B0620">
            <w:pPr>
              <w:pStyle w:val="ListParagraph"/>
              <w:numPr>
                <w:ilvl w:val="0"/>
                <w:numId w:val="45"/>
              </w:numPr>
              <w:spacing w:before="100" w:beforeAutospacing="1" w:after="100" w:afterAutospacing="1"/>
              <w:rPr>
                <w:rFonts w:ascii="Arial" w:hAnsi="Arial" w:cs="Arial"/>
                <w:szCs w:val="24"/>
              </w:rPr>
            </w:pPr>
            <w:r w:rsidRPr="00286423">
              <w:rPr>
                <w:rFonts w:ascii="Arial" w:hAnsi="Arial" w:cs="Arial"/>
                <w:szCs w:val="24"/>
              </w:rPr>
              <w:t>of which capital</w:t>
            </w:r>
          </w:p>
        </w:tc>
        <w:tc>
          <w:tcPr>
            <w:tcW w:w="1134" w:type="dxa"/>
          </w:tcPr>
          <w:p w14:paraId="44F17D6A"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7F6515C2"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6400B3E7"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0A028BA6" w14:textId="77777777" w:rsidR="004B0620" w:rsidRPr="00D75223" w:rsidRDefault="004B0620" w:rsidP="004B0620">
            <w:pPr>
              <w:spacing w:before="100" w:beforeAutospacing="1" w:after="100" w:afterAutospacing="1"/>
              <w:jc w:val="right"/>
              <w:rPr>
                <w:rFonts w:ascii="Arial" w:hAnsi="Arial" w:cs="Arial"/>
                <w:szCs w:val="24"/>
              </w:rPr>
            </w:pPr>
          </w:p>
        </w:tc>
        <w:tc>
          <w:tcPr>
            <w:tcW w:w="1134" w:type="dxa"/>
          </w:tcPr>
          <w:p w14:paraId="353EF845" w14:textId="77777777" w:rsidR="004B0620" w:rsidRPr="00D75223" w:rsidRDefault="004B0620" w:rsidP="004B0620">
            <w:pPr>
              <w:spacing w:before="100" w:beforeAutospacing="1" w:after="100" w:afterAutospacing="1"/>
              <w:jc w:val="right"/>
              <w:rPr>
                <w:rFonts w:ascii="Arial" w:hAnsi="Arial" w:cs="Arial"/>
                <w:szCs w:val="24"/>
              </w:rPr>
            </w:pPr>
          </w:p>
        </w:tc>
      </w:tr>
      <w:tr w:rsidR="004B0620" w:rsidRPr="004B0620" w14:paraId="426C91A9" w14:textId="5F0CF394" w:rsidTr="004B0620">
        <w:trPr>
          <w:trHeight w:val="255"/>
        </w:trPr>
        <w:tc>
          <w:tcPr>
            <w:tcW w:w="2835" w:type="dxa"/>
          </w:tcPr>
          <w:p w14:paraId="7D6C7263" w14:textId="77777777" w:rsidR="004B0620" w:rsidRPr="004B0620" w:rsidRDefault="004B0620" w:rsidP="004B0620">
            <w:pPr>
              <w:spacing w:before="100" w:beforeAutospacing="1" w:after="100" w:afterAutospacing="1"/>
              <w:rPr>
                <w:rFonts w:ascii="Arial" w:hAnsi="Arial" w:cs="Arial"/>
                <w:b/>
                <w:bCs/>
                <w:szCs w:val="24"/>
              </w:rPr>
            </w:pPr>
            <w:r w:rsidRPr="004B0620">
              <w:rPr>
                <w:rFonts w:ascii="Arial" w:hAnsi="Arial" w:cs="Arial"/>
                <w:b/>
                <w:bCs/>
                <w:szCs w:val="24"/>
              </w:rPr>
              <w:t>Total</w:t>
            </w:r>
          </w:p>
        </w:tc>
        <w:tc>
          <w:tcPr>
            <w:tcW w:w="1134" w:type="dxa"/>
          </w:tcPr>
          <w:p w14:paraId="2AAE8C8D" w14:textId="34D81D00" w:rsidR="004B0620" w:rsidRPr="004B0620" w:rsidRDefault="004B0620" w:rsidP="004B0620">
            <w:pPr>
              <w:spacing w:before="100" w:beforeAutospacing="1" w:after="100" w:afterAutospacing="1"/>
              <w:jc w:val="right"/>
              <w:rPr>
                <w:rFonts w:ascii="Arial" w:hAnsi="Arial" w:cs="Arial"/>
                <w:b/>
                <w:bCs/>
                <w:szCs w:val="24"/>
              </w:rPr>
            </w:pPr>
            <w:r w:rsidRPr="004B0620">
              <w:rPr>
                <w:rFonts w:ascii="Arial" w:hAnsi="Arial" w:cs="Arial"/>
                <w:b/>
                <w:bCs/>
                <w:szCs w:val="24"/>
              </w:rPr>
              <w:t>29,245</w:t>
            </w:r>
          </w:p>
        </w:tc>
        <w:tc>
          <w:tcPr>
            <w:tcW w:w="1134" w:type="dxa"/>
          </w:tcPr>
          <w:p w14:paraId="0552BA85" w14:textId="61DD5AF8" w:rsidR="004B0620" w:rsidRPr="004B0620" w:rsidRDefault="004B0620" w:rsidP="004B0620">
            <w:pPr>
              <w:spacing w:before="100" w:beforeAutospacing="1" w:after="100" w:afterAutospacing="1"/>
              <w:jc w:val="right"/>
              <w:rPr>
                <w:rFonts w:ascii="Arial" w:hAnsi="Arial" w:cs="Arial"/>
                <w:b/>
                <w:bCs/>
                <w:szCs w:val="24"/>
              </w:rPr>
            </w:pPr>
            <w:r w:rsidRPr="004B0620">
              <w:rPr>
                <w:rFonts w:ascii="Arial" w:hAnsi="Arial" w:cs="Arial"/>
                <w:b/>
                <w:bCs/>
                <w:szCs w:val="24"/>
              </w:rPr>
              <w:t>31,945</w:t>
            </w:r>
          </w:p>
        </w:tc>
        <w:tc>
          <w:tcPr>
            <w:tcW w:w="1134" w:type="dxa"/>
          </w:tcPr>
          <w:p w14:paraId="51CA23C2" w14:textId="43ABB51E" w:rsidR="004B0620" w:rsidRPr="004B0620" w:rsidRDefault="004B0620" w:rsidP="004B0620">
            <w:pPr>
              <w:spacing w:before="100" w:beforeAutospacing="1" w:after="100" w:afterAutospacing="1"/>
              <w:jc w:val="right"/>
              <w:rPr>
                <w:rFonts w:ascii="Arial" w:hAnsi="Arial" w:cs="Arial"/>
                <w:b/>
                <w:bCs/>
                <w:szCs w:val="24"/>
              </w:rPr>
            </w:pPr>
            <w:r w:rsidRPr="004B0620">
              <w:rPr>
                <w:rFonts w:ascii="Arial" w:hAnsi="Arial" w:cs="Arial"/>
                <w:b/>
                <w:bCs/>
                <w:szCs w:val="24"/>
              </w:rPr>
              <w:t>23,419</w:t>
            </w:r>
          </w:p>
        </w:tc>
        <w:tc>
          <w:tcPr>
            <w:tcW w:w="1134" w:type="dxa"/>
          </w:tcPr>
          <w:p w14:paraId="52CAA018" w14:textId="2D5014DE" w:rsidR="004B0620" w:rsidRPr="004B0620" w:rsidRDefault="004B0620" w:rsidP="004B0620">
            <w:pPr>
              <w:spacing w:before="100" w:beforeAutospacing="1" w:after="100" w:afterAutospacing="1"/>
              <w:jc w:val="right"/>
              <w:rPr>
                <w:rFonts w:ascii="Arial" w:hAnsi="Arial" w:cs="Arial"/>
                <w:b/>
                <w:bCs/>
                <w:szCs w:val="24"/>
              </w:rPr>
            </w:pPr>
            <w:r w:rsidRPr="004B0620">
              <w:rPr>
                <w:rFonts w:ascii="Arial" w:hAnsi="Arial" w:cs="Arial"/>
                <w:b/>
                <w:bCs/>
                <w:szCs w:val="24"/>
              </w:rPr>
              <w:t>20,080</w:t>
            </w:r>
          </w:p>
        </w:tc>
        <w:tc>
          <w:tcPr>
            <w:tcW w:w="1134" w:type="dxa"/>
          </w:tcPr>
          <w:p w14:paraId="0EE97113" w14:textId="614AC4DA" w:rsidR="004B0620" w:rsidRPr="004B0620" w:rsidRDefault="004B0620" w:rsidP="004B0620">
            <w:pPr>
              <w:spacing w:before="100" w:beforeAutospacing="1" w:after="100" w:afterAutospacing="1"/>
              <w:jc w:val="right"/>
              <w:rPr>
                <w:rFonts w:ascii="Arial" w:hAnsi="Arial" w:cs="Arial"/>
                <w:b/>
                <w:bCs/>
                <w:szCs w:val="24"/>
              </w:rPr>
            </w:pPr>
            <w:r w:rsidRPr="004B0620">
              <w:rPr>
                <w:rFonts w:ascii="Arial" w:hAnsi="Arial" w:cs="Arial"/>
                <w:b/>
                <w:bCs/>
                <w:szCs w:val="24"/>
              </w:rPr>
              <w:t>18,915</w:t>
            </w:r>
          </w:p>
        </w:tc>
      </w:tr>
    </w:tbl>
    <w:p w14:paraId="4B397000" w14:textId="77777777" w:rsidR="00116D0D" w:rsidRDefault="00116D0D">
      <w:pPr>
        <w:rPr>
          <w:rFonts w:ascii="Arial" w:hAnsi="Arial" w:cs="Arial"/>
          <w:b/>
          <w:bCs/>
          <w:szCs w:val="24"/>
        </w:rPr>
        <w:sectPr w:rsidR="00116D0D">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pPr>
    </w:p>
    <w:p w14:paraId="2D824803" w14:textId="449221CA" w:rsidR="00E844CC" w:rsidRDefault="00F355DD" w:rsidP="44AC8DC3">
      <w:pPr>
        <w:rPr>
          <w:rFonts w:ascii="Arial" w:hAnsi="Arial" w:cs="Arial"/>
          <w:b/>
          <w:bCs/>
          <w:sz w:val="28"/>
          <w:szCs w:val="28"/>
        </w:rPr>
      </w:pPr>
      <w:r w:rsidRPr="00AA3DE8">
        <w:rPr>
          <w:rFonts w:ascii="Arial" w:hAnsi="Arial" w:cs="Arial"/>
          <w:b/>
          <w:bCs/>
          <w:sz w:val="28"/>
          <w:szCs w:val="28"/>
        </w:rPr>
        <w:lastRenderedPageBreak/>
        <w:t xml:space="preserve">Efficiency </w:t>
      </w:r>
    </w:p>
    <w:p w14:paraId="0F09A23D" w14:textId="77777777" w:rsidR="00FA4061" w:rsidRPr="00AA3DE8" w:rsidRDefault="00FA4061" w:rsidP="44AC8DC3">
      <w:pPr>
        <w:rPr>
          <w:rFonts w:ascii="Arial" w:hAnsi="Arial" w:cs="Arial"/>
          <w:b/>
          <w:bCs/>
          <w:sz w:val="28"/>
          <w:szCs w:val="28"/>
        </w:rPr>
      </w:pPr>
    </w:p>
    <w:tbl>
      <w:tblPr>
        <w:tblW w:w="13831" w:type="dxa"/>
        <w:tblCellMar>
          <w:top w:w="15" w:type="dxa"/>
          <w:bottom w:w="15" w:type="dxa"/>
        </w:tblCellMar>
        <w:tblLook w:val="04A0" w:firstRow="1" w:lastRow="0" w:firstColumn="1" w:lastColumn="0" w:noHBand="0" w:noVBand="1"/>
      </w:tblPr>
      <w:tblGrid>
        <w:gridCol w:w="3061"/>
        <w:gridCol w:w="2154"/>
        <w:gridCol w:w="2154"/>
        <w:gridCol w:w="2154"/>
        <w:gridCol w:w="2154"/>
        <w:gridCol w:w="2154"/>
      </w:tblGrid>
      <w:tr w:rsidR="00811430" w:rsidRPr="00987D0D" w14:paraId="5BB37F9B" w14:textId="51B40C12" w:rsidTr="005B7640">
        <w:trPr>
          <w:trHeight w:val="465"/>
        </w:trPr>
        <w:tc>
          <w:tcPr>
            <w:tcW w:w="30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51BC09" w14:textId="77777777" w:rsidR="00811430" w:rsidRPr="00987D0D" w:rsidRDefault="00811430" w:rsidP="00811430">
            <w:pPr>
              <w:pStyle w:val="Heading2"/>
              <w:rPr>
                <w:b/>
                <w:bCs/>
                <w:sz w:val="16"/>
                <w:szCs w:val="16"/>
                <w:lang w:eastAsia="en-GB"/>
              </w:rPr>
            </w:pPr>
            <w:bookmarkStart w:id="1" w:name="_Toc196988011"/>
            <w:bookmarkStart w:id="2" w:name="_Hlk196986011"/>
            <w:r w:rsidRPr="00987D0D">
              <w:rPr>
                <w:b/>
                <w:bCs/>
                <w:sz w:val="16"/>
                <w:szCs w:val="16"/>
                <w:lang w:eastAsia="en-GB"/>
              </w:rPr>
              <w:t>Efficiency (£’000)</w:t>
            </w:r>
            <w:bookmarkEnd w:id="1"/>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A77080" w14:textId="5735F615" w:rsidR="00811430" w:rsidRPr="00987D0D" w:rsidRDefault="00811430" w:rsidP="00811430">
            <w:pPr>
              <w:rPr>
                <w:rFonts w:ascii="Arial" w:eastAsiaTheme="minorEastAsia" w:hAnsi="Arial" w:cs="Arial"/>
                <w:b/>
                <w:bCs/>
                <w:sz w:val="16"/>
                <w:szCs w:val="16"/>
              </w:rPr>
            </w:pPr>
            <w:r w:rsidRPr="00987D0D">
              <w:rPr>
                <w:rFonts w:ascii="Arial" w:eastAsiaTheme="minorEastAsia" w:hAnsi="Arial" w:cs="Arial"/>
                <w:b/>
                <w:bCs/>
                <w:sz w:val="16"/>
                <w:szCs w:val="16"/>
              </w:rPr>
              <w:t>Actual 2024-25</w:t>
            </w:r>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3A011" w14:textId="4C2E779E" w:rsidR="00811430" w:rsidRPr="00987D0D" w:rsidRDefault="00811430" w:rsidP="00811430">
            <w:pPr>
              <w:rPr>
                <w:rFonts w:ascii="Arial" w:eastAsiaTheme="minorEastAsia" w:hAnsi="Arial" w:cs="Arial"/>
                <w:b/>
                <w:bCs/>
                <w:sz w:val="16"/>
                <w:szCs w:val="16"/>
              </w:rPr>
            </w:pPr>
            <w:r w:rsidRPr="00987D0D">
              <w:rPr>
                <w:rFonts w:ascii="Arial" w:eastAsiaTheme="minorEastAsia" w:hAnsi="Arial" w:cs="Arial"/>
                <w:b/>
                <w:bCs/>
                <w:sz w:val="16"/>
                <w:szCs w:val="16"/>
              </w:rPr>
              <w:t>Forecast 2025-26</w:t>
            </w:r>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05D2D" w14:textId="468CEFED" w:rsidR="00811430" w:rsidRPr="00987D0D" w:rsidRDefault="00811430" w:rsidP="00811430">
            <w:pPr>
              <w:rPr>
                <w:rFonts w:ascii="Arial" w:eastAsiaTheme="minorEastAsia" w:hAnsi="Arial" w:cs="Arial"/>
                <w:b/>
                <w:bCs/>
                <w:sz w:val="16"/>
                <w:szCs w:val="16"/>
              </w:rPr>
            </w:pPr>
            <w:r w:rsidRPr="00987D0D">
              <w:rPr>
                <w:rFonts w:ascii="Arial" w:eastAsiaTheme="minorEastAsia" w:hAnsi="Arial" w:cs="Arial"/>
                <w:b/>
                <w:bCs/>
                <w:sz w:val="16"/>
                <w:szCs w:val="16"/>
              </w:rPr>
              <w:t>Forecast 2026-27</w:t>
            </w:r>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DF3F0" w14:textId="648CDE97" w:rsidR="00811430" w:rsidRPr="00987D0D" w:rsidRDefault="00811430" w:rsidP="00811430">
            <w:pPr>
              <w:rPr>
                <w:rFonts w:ascii="Arial" w:eastAsiaTheme="minorEastAsia" w:hAnsi="Arial" w:cs="Arial"/>
                <w:b/>
                <w:bCs/>
                <w:sz w:val="16"/>
                <w:szCs w:val="16"/>
              </w:rPr>
            </w:pPr>
            <w:r w:rsidRPr="00987D0D">
              <w:rPr>
                <w:rFonts w:ascii="Arial" w:eastAsiaTheme="minorEastAsia" w:hAnsi="Arial" w:cs="Arial"/>
                <w:b/>
                <w:bCs/>
                <w:sz w:val="16"/>
                <w:szCs w:val="16"/>
              </w:rPr>
              <w:t>Forecast 202</w:t>
            </w:r>
            <w:r w:rsidR="005B7640" w:rsidRPr="00987D0D">
              <w:rPr>
                <w:rFonts w:ascii="Arial" w:eastAsiaTheme="minorEastAsia" w:hAnsi="Arial" w:cs="Arial"/>
                <w:b/>
                <w:bCs/>
                <w:sz w:val="16"/>
                <w:szCs w:val="16"/>
              </w:rPr>
              <w:t>7</w:t>
            </w:r>
            <w:r w:rsidRPr="00987D0D">
              <w:rPr>
                <w:rFonts w:ascii="Arial" w:eastAsiaTheme="minorEastAsia" w:hAnsi="Arial" w:cs="Arial"/>
                <w:b/>
                <w:bCs/>
                <w:sz w:val="16"/>
                <w:szCs w:val="16"/>
              </w:rPr>
              <w:t>-2</w:t>
            </w:r>
            <w:r w:rsidR="005B7640" w:rsidRPr="00987D0D">
              <w:rPr>
                <w:rFonts w:ascii="Arial" w:eastAsiaTheme="minorEastAsia" w:hAnsi="Arial" w:cs="Arial"/>
                <w:b/>
                <w:bCs/>
                <w:sz w:val="16"/>
                <w:szCs w:val="16"/>
              </w:rPr>
              <w:t>8</w:t>
            </w:r>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FEDED" w14:textId="6F1BB4C0" w:rsidR="00811430" w:rsidRPr="00987D0D" w:rsidRDefault="00811430" w:rsidP="00811430">
            <w:pPr>
              <w:rPr>
                <w:rFonts w:ascii="Arial" w:eastAsiaTheme="minorEastAsia" w:hAnsi="Arial" w:cs="Arial"/>
                <w:b/>
                <w:bCs/>
                <w:sz w:val="16"/>
                <w:szCs w:val="16"/>
              </w:rPr>
            </w:pPr>
            <w:r w:rsidRPr="00987D0D">
              <w:rPr>
                <w:rFonts w:ascii="Arial" w:eastAsiaTheme="minorEastAsia" w:hAnsi="Arial" w:cs="Arial"/>
                <w:b/>
                <w:bCs/>
                <w:sz w:val="16"/>
                <w:szCs w:val="16"/>
              </w:rPr>
              <w:t>Forecast 202</w:t>
            </w:r>
            <w:r w:rsidR="005B7640" w:rsidRPr="00987D0D">
              <w:rPr>
                <w:rFonts w:ascii="Arial" w:eastAsiaTheme="minorEastAsia" w:hAnsi="Arial" w:cs="Arial"/>
                <w:b/>
                <w:bCs/>
                <w:sz w:val="16"/>
                <w:szCs w:val="16"/>
              </w:rPr>
              <w:t>8</w:t>
            </w:r>
            <w:r w:rsidRPr="00987D0D">
              <w:rPr>
                <w:rFonts w:ascii="Arial" w:eastAsiaTheme="minorEastAsia" w:hAnsi="Arial" w:cs="Arial"/>
                <w:b/>
                <w:bCs/>
                <w:sz w:val="16"/>
                <w:szCs w:val="16"/>
              </w:rPr>
              <w:t>-2</w:t>
            </w:r>
            <w:r w:rsidR="005B7640" w:rsidRPr="00987D0D">
              <w:rPr>
                <w:rFonts w:ascii="Arial" w:eastAsiaTheme="minorEastAsia" w:hAnsi="Arial" w:cs="Arial"/>
                <w:b/>
                <w:bCs/>
                <w:sz w:val="16"/>
                <w:szCs w:val="16"/>
              </w:rPr>
              <w:t>9</w:t>
            </w:r>
          </w:p>
        </w:tc>
      </w:tr>
      <w:bookmarkEnd w:id="2"/>
      <w:tr w:rsidR="000A1F89" w:rsidRPr="00987D0D" w14:paraId="153B21D4" w14:textId="5BFAD380" w:rsidTr="000A1F89">
        <w:trPr>
          <w:trHeight w:val="315"/>
        </w:trPr>
        <w:tc>
          <w:tcPr>
            <w:tcW w:w="3061" w:type="dxa"/>
            <w:tcBorders>
              <w:top w:val="single" w:sz="4" w:space="0" w:color="auto"/>
              <w:left w:val="single" w:sz="4" w:space="0" w:color="auto"/>
              <w:bottom w:val="single" w:sz="4" w:space="0" w:color="auto"/>
              <w:right w:val="single" w:sz="4" w:space="0" w:color="auto"/>
            </w:tcBorders>
            <w:noWrap/>
            <w:vAlign w:val="center"/>
            <w:hideMark/>
          </w:tcPr>
          <w:p w14:paraId="10334BAE" w14:textId="51FA815A" w:rsidR="000A1F89" w:rsidRPr="00987D0D" w:rsidRDefault="000A1F89" w:rsidP="000A1F89">
            <w:pPr>
              <w:rPr>
                <w:rFonts w:ascii="Arial" w:eastAsiaTheme="minorEastAsia" w:hAnsi="Arial" w:cs="Arial"/>
                <w:sz w:val="16"/>
                <w:szCs w:val="16"/>
              </w:rPr>
            </w:pPr>
            <w:r w:rsidRPr="00987D0D">
              <w:rPr>
                <w:rFonts w:ascii="Arial" w:eastAsiaTheme="minorEastAsia" w:hAnsi="Arial" w:cs="Arial"/>
                <w:sz w:val="16"/>
                <w:szCs w:val="16"/>
              </w:rPr>
              <w:t>Opening Revenue Expenditure Budget (Net)</w:t>
            </w:r>
          </w:p>
        </w:tc>
        <w:tc>
          <w:tcPr>
            <w:tcW w:w="2154" w:type="dxa"/>
            <w:tcBorders>
              <w:top w:val="single" w:sz="4" w:space="0" w:color="auto"/>
              <w:left w:val="single" w:sz="4" w:space="0" w:color="auto"/>
              <w:bottom w:val="single" w:sz="4" w:space="0" w:color="auto"/>
              <w:right w:val="single" w:sz="4" w:space="0" w:color="auto"/>
            </w:tcBorders>
            <w:noWrap/>
            <w:vAlign w:val="center"/>
          </w:tcPr>
          <w:p w14:paraId="1AEB1B0B" w14:textId="0EA022EB" w:rsidR="000A1F89" w:rsidRPr="00937226" w:rsidRDefault="000A1F89" w:rsidP="000A1F89">
            <w:pPr>
              <w:jc w:val="right"/>
              <w:rPr>
                <w:rFonts w:ascii="Arial" w:eastAsiaTheme="minorEastAsia" w:hAnsi="Arial" w:cs="Arial"/>
                <w:sz w:val="16"/>
                <w:szCs w:val="16"/>
              </w:rPr>
            </w:pPr>
            <w:r w:rsidRPr="00937226">
              <w:rPr>
                <w:rFonts w:ascii="Arial" w:eastAsiaTheme="minorEastAsia" w:hAnsi="Arial" w:cs="Arial"/>
                <w:sz w:val="16"/>
                <w:szCs w:val="16"/>
              </w:rPr>
              <w:t xml:space="preserve"> 81,105 </w:t>
            </w:r>
          </w:p>
        </w:tc>
        <w:tc>
          <w:tcPr>
            <w:tcW w:w="2154" w:type="dxa"/>
            <w:tcBorders>
              <w:top w:val="single" w:sz="4" w:space="0" w:color="auto"/>
              <w:left w:val="single" w:sz="4" w:space="0" w:color="auto"/>
              <w:bottom w:val="single" w:sz="4" w:space="0" w:color="auto"/>
              <w:right w:val="single" w:sz="4" w:space="0" w:color="auto"/>
            </w:tcBorders>
            <w:vAlign w:val="center"/>
          </w:tcPr>
          <w:p w14:paraId="48793DC0" w14:textId="628CC6F5" w:rsidR="000A1F89" w:rsidRPr="00937226" w:rsidRDefault="000A1F89" w:rsidP="000A1F89">
            <w:pPr>
              <w:jc w:val="right"/>
              <w:rPr>
                <w:rFonts w:ascii="Arial" w:eastAsiaTheme="minorEastAsia" w:hAnsi="Arial" w:cs="Arial"/>
                <w:sz w:val="16"/>
                <w:szCs w:val="16"/>
              </w:rPr>
            </w:pPr>
            <w:r w:rsidRPr="00937226">
              <w:rPr>
                <w:rFonts w:ascii="Arial" w:eastAsiaTheme="minorEastAsia" w:hAnsi="Arial" w:cs="Arial"/>
                <w:sz w:val="16"/>
                <w:szCs w:val="16"/>
              </w:rPr>
              <w:t>84</w:t>
            </w:r>
            <w:r>
              <w:rPr>
                <w:rFonts w:ascii="Arial" w:eastAsiaTheme="minorEastAsia" w:hAnsi="Arial" w:cs="Arial"/>
                <w:sz w:val="16"/>
                <w:szCs w:val="16"/>
              </w:rPr>
              <w:t>,</w:t>
            </w:r>
            <w:r w:rsidRPr="00937226">
              <w:rPr>
                <w:rFonts w:ascii="Arial" w:eastAsiaTheme="minorEastAsia" w:hAnsi="Arial" w:cs="Arial"/>
                <w:sz w:val="16"/>
                <w:szCs w:val="16"/>
              </w:rPr>
              <w:t>099</w:t>
            </w:r>
          </w:p>
        </w:tc>
        <w:tc>
          <w:tcPr>
            <w:tcW w:w="2154" w:type="dxa"/>
            <w:tcBorders>
              <w:top w:val="single" w:sz="4" w:space="0" w:color="auto"/>
              <w:left w:val="single" w:sz="4" w:space="0" w:color="auto"/>
              <w:bottom w:val="single" w:sz="4" w:space="0" w:color="auto"/>
              <w:right w:val="single" w:sz="4" w:space="0" w:color="auto"/>
            </w:tcBorders>
            <w:vAlign w:val="center"/>
          </w:tcPr>
          <w:p w14:paraId="6E42D6E6" w14:textId="0803D07C" w:rsidR="000A1F89" w:rsidRPr="00937226" w:rsidRDefault="000A1F89" w:rsidP="000A1F89">
            <w:pPr>
              <w:jc w:val="right"/>
              <w:rPr>
                <w:rFonts w:ascii="Arial" w:eastAsiaTheme="minorEastAsia" w:hAnsi="Arial" w:cs="Arial"/>
                <w:sz w:val="16"/>
                <w:szCs w:val="16"/>
              </w:rPr>
            </w:pPr>
            <w:r w:rsidRPr="00937226">
              <w:rPr>
                <w:rFonts w:ascii="Arial" w:eastAsiaTheme="minorEastAsia" w:hAnsi="Arial" w:cs="Arial"/>
                <w:sz w:val="16"/>
                <w:szCs w:val="16"/>
              </w:rPr>
              <w:t>86</w:t>
            </w:r>
            <w:r>
              <w:rPr>
                <w:rFonts w:ascii="Arial" w:eastAsiaTheme="minorEastAsia" w:hAnsi="Arial" w:cs="Arial"/>
                <w:sz w:val="16"/>
                <w:szCs w:val="16"/>
              </w:rPr>
              <w:t>,</w:t>
            </w:r>
            <w:r w:rsidRPr="00937226">
              <w:rPr>
                <w:rFonts w:ascii="Arial" w:eastAsiaTheme="minorEastAsia" w:hAnsi="Arial" w:cs="Arial"/>
                <w:sz w:val="16"/>
                <w:szCs w:val="16"/>
              </w:rPr>
              <w:t>893</w:t>
            </w:r>
          </w:p>
        </w:tc>
        <w:tc>
          <w:tcPr>
            <w:tcW w:w="2154" w:type="dxa"/>
            <w:tcBorders>
              <w:top w:val="single" w:sz="4" w:space="0" w:color="auto"/>
              <w:left w:val="single" w:sz="4" w:space="0" w:color="auto"/>
              <w:bottom w:val="single" w:sz="4" w:space="0" w:color="auto"/>
              <w:right w:val="single" w:sz="4" w:space="0" w:color="auto"/>
            </w:tcBorders>
            <w:vAlign w:val="center"/>
          </w:tcPr>
          <w:p w14:paraId="744684C4" w14:textId="1561E616" w:rsidR="000A1F89" w:rsidRPr="00937226" w:rsidRDefault="000A1F89" w:rsidP="000A1F89">
            <w:pPr>
              <w:jc w:val="right"/>
              <w:rPr>
                <w:rFonts w:ascii="Arial" w:eastAsiaTheme="minorEastAsia" w:hAnsi="Arial" w:cs="Arial"/>
                <w:sz w:val="16"/>
                <w:szCs w:val="16"/>
              </w:rPr>
            </w:pPr>
            <w:r w:rsidRPr="000A1F89">
              <w:rPr>
                <w:rFonts w:ascii="Arial" w:eastAsiaTheme="minorEastAsia" w:hAnsi="Arial" w:cs="Arial"/>
                <w:sz w:val="16"/>
                <w:szCs w:val="16"/>
              </w:rPr>
              <w:t>88</w:t>
            </w:r>
            <w:r>
              <w:rPr>
                <w:rFonts w:ascii="Arial" w:eastAsiaTheme="minorEastAsia" w:hAnsi="Arial" w:cs="Arial"/>
                <w:sz w:val="16"/>
                <w:szCs w:val="16"/>
              </w:rPr>
              <w:t>,</w:t>
            </w:r>
            <w:r w:rsidRPr="000A1F89">
              <w:rPr>
                <w:rFonts w:ascii="Arial" w:eastAsiaTheme="minorEastAsia" w:hAnsi="Arial" w:cs="Arial"/>
                <w:sz w:val="16"/>
                <w:szCs w:val="16"/>
              </w:rPr>
              <w:t>839</w:t>
            </w:r>
          </w:p>
        </w:tc>
        <w:tc>
          <w:tcPr>
            <w:tcW w:w="2154" w:type="dxa"/>
            <w:tcBorders>
              <w:top w:val="single" w:sz="4" w:space="0" w:color="auto"/>
              <w:left w:val="single" w:sz="4" w:space="0" w:color="auto"/>
              <w:bottom w:val="single" w:sz="4" w:space="0" w:color="auto"/>
              <w:right w:val="single" w:sz="4" w:space="0" w:color="auto"/>
            </w:tcBorders>
            <w:vAlign w:val="center"/>
          </w:tcPr>
          <w:p w14:paraId="4090C67E" w14:textId="6557FEFE" w:rsidR="000A1F89" w:rsidRPr="00937226" w:rsidRDefault="000A1F89" w:rsidP="000A1F89">
            <w:pPr>
              <w:jc w:val="right"/>
              <w:rPr>
                <w:rFonts w:ascii="Arial" w:eastAsiaTheme="minorEastAsia" w:hAnsi="Arial" w:cs="Arial"/>
                <w:sz w:val="16"/>
                <w:szCs w:val="16"/>
              </w:rPr>
            </w:pPr>
            <w:r w:rsidRPr="000A1F89">
              <w:rPr>
                <w:rFonts w:ascii="Arial" w:eastAsiaTheme="minorEastAsia" w:hAnsi="Arial" w:cs="Arial"/>
                <w:sz w:val="16"/>
                <w:szCs w:val="16"/>
              </w:rPr>
              <w:t>90</w:t>
            </w:r>
            <w:r>
              <w:rPr>
                <w:rFonts w:ascii="Arial" w:eastAsiaTheme="minorEastAsia" w:hAnsi="Arial" w:cs="Arial"/>
                <w:sz w:val="16"/>
                <w:szCs w:val="16"/>
              </w:rPr>
              <w:t>,</w:t>
            </w:r>
            <w:r w:rsidRPr="000A1F89">
              <w:rPr>
                <w:rFonts w:ascii="Arial" w:eastAsiaTheme="minorEastAsia" w:hAnsi="Arial" w:cs="Arial"/>
                <w:sz w:val="16"/>
                <w:szCs w:val="16"/>
              </w:rPr>
              <w:t>826</w:t>
            </w:r>
          </w:p>
        </w:tc>
      </w:tr>
      <w:tr w:rsidR="000A1F89" w:rsidRPr="00987D0D" w14:paraId="18E283DD" w14:textId="35CE6EF5" w:rsidTr="000A1F89">
        <w:trPr>
          <w:trHeight w:val="315"/>
        </w:trPr>
        <w:tc>
          <w:tcPr>
            <w:tcW w:w="3061" w:type="dxa"/>
            <w:tcBorders>
              <w:top w:val="single" w:sz="4" w:space="0" w:color="auto"/>
              <w:left w:val="single" w:sz="4" w:space="0" w:color="auto"/>
              <w:bottom w:val="single" w:sz="4" w:space="0" w:color="auto"/>
              <w:right w:val="single" w:sz="4" w:space="0" w:color="auto"/>
            </w:tcBorders>
            <w:noWrap/>
            <w:vAlign w:val="center"/>
            <w:hideMark/>
          </w:tcPr>
          <w:p w14:paraId="188D87A0" w14:textId="1241291F" w:rsidR="000A1F89" w:rsidRPr="00987D0D" w:rsidRDefault="000A1F89" w:rsidP="000A1F89">
            <w:pPr>
              <w:rPr>
                <w:rFonts w:ascii="Arial" w:eastAsiaTheme="minorEastAsia" w:hAnsi="Arial" w:cs="Arial"/>
                <w:sz w:val="16"/>
                <w:szCs w:val="16"/>
              </w:rPr>
            </w:pPr>
            <w:r w:rsidRPr="00987D0D">
              <w:rPr>
                <w:rFonts w:ascii="Arial" w:eastAsiaTheme="minorEastAsia" w:hAnsi="Arial" w:cs="Arial"/>
                <w:sz w:val="16"/>
                <w:szCs w:val="16"/>
              </w:rPr>
              <w:t>Less Total Direct Employee Costs</w:t>
            </w:r>
          </w:p>
        </w:tc>
        <w:tc>
          <w:tcPr>
            <w:tcW w:w="2154" w:type="dxa"/>
            <w:tcBorders>
              <w:top w:val="single" w:sz="4" w:space="0" w:color="auto"/>
              <w:left w:val="single" w:sz="4" w:space="0" w:color="auto"/>
              <w:bottom w:val="single" w:sz="4" w:space="0" w:color="auto"/>
              <w:right w:val="single" w:sz="4" w:space="0" w:color="auto"/>
            </w:tcBorders>
            <w:noWrap/>
            <w:vAlign w:val="center"/>
          </w:tcPr>
          <w:p w14:paraId="0898D527" w14:textId="4407BDA1" w:rsidR="000A1F89" w:rsidRPr="00937226" w:rsidRDefault="000A1F89" w:rsidP="000A1F89">
            <w:pPr>
              <w:jc w:val="right"/>
              <w:rPr>
                <w:rFonts w:ascii="Arial" w:eastAsiaTheme="minorEastAsia" w:hAnsi="Arial" w:cs="Arial"/>
                <w:sz w:val="16"/>
                <w:szCs w:val="16"/>
              </w:rPr>
            </w:pPr>
            <w:r w:rsidRPr="00937226">
              <w:rPr>
                <w:rFonts w:ascii="Arial" w:eastAsiaTheme="minorEastAsia" w:hAnsi="Arial" w:cs="Arial"/>
                <w:sz w:val="16"/>
                <w:szCs w:val="16"/>
              </w:rPr>
              <w:t xml:space="preserve">-57,993 </w:t>
            </w:r>
          </w:p>
        </w:tc>
        <w:tc>
          <w:tcPr>
            <w:tcW w:w="2154" w:type="dxa"/>
            <w:tcBorders>
              <w:top w:val="single" w:sz="4" w:space="0" w:color="auto"/>
              <w:left w:val="single" w:sz="4" w:space="0" w:color="auto"/>
              <w:bottom w:val="single" w:sz="4" w:space="0" w:color="auto"/>
              <w:right w:val="single" w:sz="4" w:space="0" w:color="auto"/>
            </w:tcBorders>
            <w:vAlign w:val="center"/>
          </w:tcPr>
          <w:p w14:paraId="6A35EC57" w14:textId="4DB97E52" w:rsidR="000A1F89" w:rsidRPr="00937226" w:rsidRDefault="000A1F89" w:rsidP="000A1F89">
            <w:pPr>
              <w:jc w:val="right"/>
              <w:rPr>
                <w:rFonts w:ascii="Arial" w:eastAsiaTheme="minorEastAsia" w:hAnsi="Arial" w:cs="Arial"/>
                <w:sz w:val="16"/>
                <w:szCs w:val="16"/>
              </w:rPr>
            </w:pPr>
            <w:r w:rsidRPr="00937226">
              <w:rPr>
                <w:rFonts w:ascii="Arial" w:eastAsiaTheme="minorEastAsia" w:hAnsi="Arial" w:cs="Arial"/>
                <w:sz w:val="16"/>
                <w:szCs w:val="16"/>
              </w:rPr>
              <w:t>-60</w:t>
            </w:r>
            <w:r>
              <w:rPr>
                <w:rFonts w:ascii="Arial" w:eastAsiaTheme="minorEastAsia" w:hAnsi="Arial" w:cs="Arial"/>
                <w:sz w:val="16"/>
                <w:szCs w:val="16"/>
              </w:rPr>
              <w:t>,</w:t>
            </w:r>
            <w:r w:rsidRPr="00937226">
              <w:rPr>
                <w:rFonts w:ascii="Arial" w:eastAsiaTheme="minorEastAsia" w:hAnsi="Arial" w:cs="Arial"/>
                <w:sz w:val="16"/>
                <w:szCs w:val="16"/>
              </w:rPr>
              <w:t>313</w:t>
            </w:r>
          </w:p>
        </w:tc>
        <w:tc>
          <w:tcPr>
            <w:tcW w:w="2154" w:type="dxa"/>
            <w:tcBorders>
              <w:top w:val="single" w:sz="4" w:space="0" w:color="auto"/>
              <w:left w:val="single" w:sz="4" w:space="0" w:color="auto"/>
              <w:bottom w:val="single" w:sz="4" w:space="0" w:color="auto"/>
              <w:right w:val="single" w:sz="4" w:space="0" w:color="auto"/>
            </w:tcBorders>
            <w:vAlign w:val="center"/>
          </w:tcPr>
          <w:p w14:paraId="31B8C822" w14:textId="42EC8DAC" w:rsidR="000A1F89" w:rsidRPr="00937226" w:rsidRDefault="000A1F89" w:rsidP="000A1F89">
            <w:pPr>
              <w:jc w:val="right"/>
              <w:rPr>
                <w:rFonts w:ascii="Arial" w:eastAsiaTheme="minorEastAsia" w:hAnsi="Arial" w:cs="Arial"/>
                <w:sz w:val="16"/>
                <w:szCs w:val="16"/>
              </w:rPr>
            </w:pPr>
            <w:r w:rsidRPr="00937226">
              <w:rPr>
                <w:rFonts w:ascii="Arial" w:eastAsiaTheme="minorEastAsia" w:hAnsi="Arial" w:cs="Arial"/>
                <w:sz w:val="16"/>
                <w:szCs w:val="16"/>
              </w:rPr>
              <w:t>-61</w:t>
            </w:r>
            <w:r>
              <w:rPr>
                <w:rFonts w:ascii="Arial" w:eastAsiaTheme="minorEastAsia" w:hAnsi="Arial" w:cs="Arial"/>
                <w:sz w:val="16"/>
                <w:szCs w:val="16"/>
              </w:rPr>
              <w:t>,</w:t>
            </w:r>
            <w:r w:rsidRPr="00937226">
              <w:rPr>
                <w:rFonts w:ascii="Arial" w:eastAsiaTheme="minorEastAsia" w:hAnsi="Arial" w:cs="Arial"/>
                <w:sz w:val="16"/>
                <w:szCs w:val="16"/>
              </w:rPr>
              <w:t>519</w:t>
            </w:r>
          </w:p>
        </w:tc>
        <w:tc>
          <w:tcPr>
            <w:tcW w:w="2154" w:type="dxa"/>
            <w:tcBorders>
              <w:top w:val="single" w:sz="4" w:space="0" w:color="auto"/>
              <w:left w:val="single" w:sz="4" w:space="0" w:color="auto"/>
              <w:bottom w:val="single" w:sz="4" w:space="0" w:color="auto"/>
              <w:right w:val="single" w:sz="4" w:space="0" w:color="auto"/>
            </w:tcBorders>
            <w:vAlign w:val="center"/>
          </w:tcPr>
          <w:p w14:paraId="23D84DC9" w14:textId="46FB2D32" w:rsidR="000A1F89" w:rsidRPr="00937226" w:rsidRDefault="000A1F89" w:rsidP="000A1F89">
            <w:pPr>
              <w:jc w:val="right"/>
              <w:rPr>
                <w:rFonts w:ascii="Arial" w:eastAsiaTheme="minorEastAsia" w:hAnsi="Arial" w:cs="Arial"/>
                <w:sz w:val="16"/>
                <w:szCs w:val="16"/>
              </w:rPr>
            </w:pPr>
            <w:r w:rsidRPr="000A1F89">
              <w:rPr>
                <w:rFonts w:ascii="Arial" w:eastAsiaTheme="minorEastAsia" w:hAnsi="Arial" w:cs="Arial"/>
                <w:sz w:val="16"/>
                <w:szCs w:val="16"/>
              </w:rPr>
              <w:t>-62</w:t>
            </w:r>
            <w:r>
              <w:rPr>
                <w:rFonts w:ascii="Arial" w:eastAsiaTheme="minorEastAsia" w:hAnsi="Arial" w:cs="Arial"/>
                <w:sz w:val="16"/>
                <w:szCs w:val="16"/>
              </w:rPr>
              <w:t>,</w:t>
            </w:r>
            <w:r w:rsidRPr="000A1F89">
              <w:rPr>
                <w:rFonts w:ascii="Arial" w:eastAsiaTheme="minorEastAsia" w:hAnsi="Arial" w:cs="Arial"/>
                <w:sz w:val="16"/>
                <w:szCs w:val="16"/>
              </w:rPr>
              <w:t>74</w:t>
            </w:r>
            <w:r w:rsidR="004E6621">
              <w:rPr>
                <w:rFonts w:ascii="Arial" w:eastAsiaTheme="minorEastAsia" w:hAnsi="Arial" w:cs="Arial"/>
                <w:sz w:val="16"/>
                <w:szCs w:val="16"/>
              </w:rPr>
              <w:t>0</w:t>
            </w:r>
          </w:p>
        </w:tc>
        <w:tc>
          <w:tcPr>
            <w:tcW w:w="2154" w:type="dxa"/>
            <w:tcBorders>
              <w:top w:val="single" w:sz="4" w:space="0" w:color="auto"/>
              <w:left w:val="single" w:sz="4" w:space="0" w:color="auto"/>
              <w:bottom w:val="single" w:sz="4" w:space="0" w:color="auto"/>
              <w:right w:val="single" w:sz="4" w:space="0" w:color="auto"/>
            </w:tcBorders>
            <w:vAlign w:val="center"/>
          </w:tcPr>
          <w:p w14:paraId="4B836AD2" w14:textId="06CC43F7" w:rsidR="000A1F89" w:rsidRPr="00937226" w:rsidRDefault="000A1F89" w:rsidP="000A1F89">
            <w:pPr>
              <w:jc w:val="right"/>
              <w:rPr>
                <w:rFonts w:ascii="Arial" w:eastAsiaTheme="minorEastAsia" w:hAnsi="Arial" w:cs="Arial"/>
                <w:sz w:val="16"/>
                <w:szCs w:val="16"/>
              </w:rPr>
            </w:pPr>
            <w:r w:rsidRPr="000A1F89">
              <w:rPr>
                <w:rFonts w:ascii="Arial" w:eastAsiaTheme="minorEastAsia" w:hAnsi="Arial" w:cs="Arial"/>
                <w:sz w:val="16"/>
                <w:szCs w:val="16"/>
              </w:rPr>
              <w:t>-64</w:t>
            </w:r>
            <w:r>
              <w:rPr>
                <w:rFonts w:ascii="Arial" w:eastAsiaTheme="minorEastAsia" w:hAnsi="Arial" w:cs="Arial"/>
                <w:sz w:val="16"/>
                <w:szCs w:val="16"/>
              </w:rPr>
              <w:t>,</w:t>
            </w:r>
            <w:r w:rsidRPr="000A1F89">
              <w:rPr>
                <w:rFonts w:ascii="Arial" w:eastAsiaTheme="minorEastAsia" w:hAnsi="Arial" w:cs="Arial"/>
                <w:sz w:val="16"/>
                <w:szCs w:val="16"/>
              </w:rPr>
              <w:t>004</w:t>
            </w:r>
          </w:p>
        </w:tc>
      </w:tr>
      <w:tr w:rsidR="000A1F89" w:rsidRPr="000A1F89" w14:paraId="47A4CE40" w14:textId="03A271FD" w:rsidTr="000A1F89">
        <w:trPr>
          <w:trHeight w:val="315"/>
        </w:trPr>
        <w:tc>
          <w:tcPr>
            <w:tcW w:w="3061" w:type="dxa"/>
            <w:tcBorders>
              <w:top w:val="single" w:sz="4" w:space="0" w:color="auto"/>
              <w:left w:val="single" w:sz="4" w:space="0" w:color="auto"/>
              <w:bottom w:val="single" w:sz="4" w:space="0" w:color="auto"/>
              <w:right w:val="single" w:sz="4" w:space="0" w:color="auto"/>
            </w:tcBorders>
            <w:noWrap/>
            <w:vAlign w:val="center"/>
            <w:hideMark/>
          </w:tcPr>
          <w:p w14:paraId="44E98203" w14:textId="77777777" w:rsidR="000A1F89" w:rsidRPr="000A1F89" w:rsidRDefault="000A1F89" w:rsidP="000A1F89">
            <w:pPr>
              <w:rPr>
                <w:rFonts w:ascii="Arial" w:eastAsiaTheme="minorEastAsia" w:hAnsi="Arial" w:cs="Arial"/>
                <w:b/>
                <w:bCs/>
                <w:sz w:val="16"/>
                <w:szCs w:val="16"/>
              </w:rPr>
            </w:pPr>
            <w:r w:rsidRPr="000A1F89">
              <w:rPr>
                <w:rFonts w:ascii="Arial" w:eastAsiaTheme="minorEastAsia" w:hAnsi="Arial" w:cs="Arial"/>
                <w:b/>
                <w:bCs/>
                <w:sz w:val="16"/>
                <w:szCs w:val="16"/>
              </w:rPr>
              <w:t>Non Pay Budget</w:t>
            </w:r>
          </w:p>
        </w:tc>
        <w:tc>
          <w:tcPr>
            <w:tcW w:w="2154" w:type="dxa"/>
            <w:tcBorders>
              <w:top w:val="single" w:sz="4" w:space="0" w:color="auto"/>
              <w:left w:val="single" w:sz="4" w:space="0" w:color="auto"/>
              <w:bottom w:val="single" w:sz="4" w:space="0" w:color="auto"/>
              <w:right w:val="single" w:sz="4" w:space="0" w:color="auto"/>
            </w:tcBorders>
            <w:noWrap/>
            <w:vAlign w:val="center"/>
          </w:tcPr>
          <w:p w14:paraId="4D2D86EE" w14:textId="6E8753BA" w:rsidR="000A1F89" w:rsidRPr="000A1F89" w:rsidRDefault="000A1F89" w:rsidP="000A1F89">
            <w:pPr>
              <w:jc w:val="right"/>
              <w:rPr>
                <w:rFonts w:ascii="Arial" w:eastAsiaTheme="minorEastAsia" w:hAnsi="Arial" w:cs="Arial"/>
                <w:b/>
                <w:bCs/>
                <w:sz w:val="16"/>
                <w:szCs w:val="16"/>
              </w:rPr>
            </w:pPr>
            <w:r w:rsidRPr="000A1F89">
              <w:rPr>
                <w:rFonts w:ascii="Arial" w:eastAsiaTheme="minorEastAsia" w:hAnsi="Arial" w:cs="Arial"/>
                <w:b/>
                <w:bCs/>
                <w:sz w:val="16"/>
                <w:szCs w:val="16"/>
              </w:rPr>
              <w:t xml:space="preserve"> 23,112 </w:t>
            </w:r>
          </w:p>
        </w:tc>
        <w:tc>
          <w:tcPr>
            <w:tcW w:w="2154" w:type="dxa"/>
            <w:tcBorders>
              <w:top w:val="single" w:sz="4" w:space="0" w:color="auto"/>
              <w:left w:val="single" w:sz="4" w:space="0" w:color="auto"/>
              <w:bottom w:val="single" w:sz="4" w:space="0" w:color="auto"/>
              <w:right w:val="single" w:sz="4" w:space="0" w:color="auto"/>
            </w:tcBorders>
            <w:vAlign w:val="center"/>
          </w:tcPr>
          <w:p w14:paraId="669E2A21" w14:textId="602FE282" w:rsidR="000A1F89" w:rsidRPr="000A1F89" w:rsidRDefault="000A1F89" w:rsidP="000A1F89">
            <w:pPr>
              <w:jc w:val="right"/>
              <w:rPr>
                <w:rFonts w:ascii="Arial" w:eastAsiaTheme="minorEastAsia" w:hAnsi="Arial" w:cs="Arial"/>
                <w:b/>
                <w:bCs/>
                <w:sz w:val="16"/>
                <w:szCs w:val="16"/>
              </w:rPr>
            </w:pPr>
            <w:r w:rsidRPr="000A1F89">
              <w:rPr>
                <w:rFonts w:ascii="Arial" w:eastAsiaTheme="minorEastAsia" w:hAnsi="Arial" w:cs="Arial"/>
                <w:b/>
                <w:bCs/>
                <w:sz w:val="16"/>
                <w:szCs w:val="16"/>
              </w:rPr>
              <w:t>23</w:t>
            </w:r>
            <w:r>
              <w:rPr>
                <w:rFonts w:ascii="Arial" w:eastAsiaTheme="minorEastAsia" w:hAnsi="Arial" w:cs="Arial"/>
                <w:b/>
                <w:bCs/>
                <w:sz w:val="16"/>
                <w:szCs w:val="16"/>
              </w:rPr>
              <w:t>,</w:t>
            </w:r>
            <w:r w:rsidRPr="000A1F89">
              <w:rPr>
                <w:rFonts w:ascii="Arial" w:eastAsiaTheme="minorEastAsia" w:hAnsi="Arial" w:cs="Arial"/>
                <w:b/>
                <w:bCs/>
                <w:sz w:val="16"/>
                <w:szCs w:val="16"/>
              </w:rPr>
              <w:t>786</w:t>
            </w:r>
          </w:p>
        </w:tc>
        <w:tc>
          <w:tcPr>
            <w:tcW w:w="2154" w:type="dxa"/>
            <w:tcBorders>
              <w:top w:val="single" w:sz="4" w:space="0" w:color="auto"/>
              <w:left w:val="single" w:sz="4" w:space="0" w:color="auto"/>
              <w:bottom w:val="single" w:sz="4" w:space="0" w:color="auto"/>
              <w:right w:val="single" w:sz="4" w:space="0" w:color="auto"/>
            </w:tcBorders>
            <w:vAlign w:val="center"/>
          </w:tcPr>
          <w:p w14:paraId="5CC333BD" w14:textId="28118373" w:rsidR="000A1F89" w:rsidRPr="000A1F89" w:rsidRDefault="000A1F89" w:rsidP="000A1F89">
            <w:pPr>
              <w:jc w:val="right"/>
              <w:rPr>
                <w:rFonts w:ascii="Arial" w:eastAsiaTheme="minorEastAsia" w:hAnsi="Arial" w:cs="Arial"/>
                <w:b/>
                <w:bCs/>
                <w:sz w:val="16"/>
                <w:szCs w:val="16"/>
              </w:rPr>
            </w:pPr>
            <w:r w:rsidRPr="000A1F89">
              <w:rPr>
                <w:rFonts w:ascii="Arial" w:eastAsiaTheme="minorEastAsia" w:hAnsi="Arial" w:cs="Arial"/>
                <w:b/>
                <w:bCs/>
                <w:sz w:val="16"/>
                <w:szCs w:val="16"/>
              </w:rPr>
              <w:t>25</w:t>
            </w:r>
            <w:r>
              <w:rPr>
                <w:rFonts w:ascii="Arial" w:eastAsiaTheme="minorEastAsia" w:hAnsi="Arial" w:cs="Arial"/>
                <w:b/>
                <w:bCs/>
                <w:sz w:val="16"/>
                <w:szCs w:val="16"/>
              </w:rPr>
              <w:t>,</w:t>
            </w:r>
            <w:r w:rsidRPr="000A1F89">
              <w:rPr>
                <w:rFonts w:ascii="Arial" w:eastAsiaTheme="minorEastAsia" w:hAnsi="Arial" w:cs="Arial"/>
                <w:b/>
                <w:bCs/>
                <w:sz w:val="16"/>
                <w:szCs w:val="16"/>
              </w:rPr>
              <w:t>374</w:t>
            </w:r>
          </w:p>
        </w:tc>
        <w:tc>
          <w:tcPr>
            <w:tcW w:w="2154" w:type="dxa"/>
            <w:tcBorders>
              <w:top w:val="single" w:sz="4" w:space="0" w:color="auto"/>
              <w:left w:val="single" w:sz="4" w:space="0" w:color="auto"/>
              <w:bottom w:val="single" w:sz="4" w:space="0" w:color="auto"/>
              <w:right w:val="single" w:sz="4" w:space="0" w:color="auto"/>
            </w:tcBorders>
            <w:vAlign w:val="center"/>
          </w:tcPr>
          <w:p w14:paraId="3D307479" w14:textId="7E455A4B" w:rsidR="000A1F89" w:rsidRPr="000A1F89" w:rsidRDefault="000A1F89" w:rsidP="000A1F89">
            <w:pPr>
              <w:jc w:val="right"/>
              <w:rPr>
                <w:rFonts w:ascii="Arial" w:eastAsiaTheme="minorEastAsia" w:hAnsi="Arial" w:cs="Arial"/>
                <w:b/>
                <w:bCs/>
                <w:sz w:val="16"/>
                <w:szCs w:val="16"/>
              </w:rPr>
            </w:pPr>
            <w:r w:rsidRPr="000A1F89">
              <w:rPr>
                <w:rFonts w:ascii="Arial" w:eastAsiaTheme="minorEastAsia" w:hAnsi="Arial" w:cs="Arial"/>
                <w:b/>
                <w:bCs/>
                <w:sz w:val="16"/>
                <w:szCs w:val="16"/>
              </w:rPr>
              <w:t>26</w:t>
            </w:r>
            <w:r>
              <w:rPr>
                <w:rFonts w:ascii="Arial" w:eastAsiaTheme="minorEastAsia" w:hAnsi="Arial" w:cs="Arial"/>
                <w:b/>
                <w:bCs/>
                <w:sz w:val="16"/>
                <w:szCs w:val="16"/>
              </w:rPr>
              <w:t>,</w:t>
            </w:r>
            <w:r w:rsidRPr="000A1F89">
              <w:rPr>
                <w:rFonts w:ascii="Arial" w:eastAsiaTheme="minorEastAsia" w:hAnsi="Arial" w:cs="Arial"/>
                <w:b/>
                <w:bCs/>
                <w:sz w:val="16"/>
                <w:szCs w:val="16"/>
              </w:rPr>
              <w:t>099</w:t>
            </w:r>
          </w:p>
        </w:tc>
        <w:tc>
          <w:tcPr>
            <w:tcW w:w="2154" w:type="dxa"/>
            <w:tcBorders>
              <w:top w:val="single" w:sz="4" w:space="0" w:color="auto"/>
              <w:left w:val="single" w:sz="4" w:space="0" w:color="auto"/>
              <w:bottom w:val="single" w:sz="4" w:space="0" w:color="auto"/>
              <w:right w:val="single" w:sz="4" w:space="0" w:color="auto"/>
            </w:tcBorders>
            <w:vAlign w:val="center"/>
          </w:tcPr>
          <w:p w14:paraId="09FBA931" w14:textId="45A5DAEB" w:rsidR="000A1F89" w:rsidRPr="000A1F89" w:rsidRDefault="000A1F89" w:rsidP="000A1F89">
            <w:pPr>
              <w:jc w:val="right"/>
              <w:rPr>
                <w:rFonts w:ascii="Arial" w:eastAsiaTheme="minorEastAsia" w:hAnsi="Arial" w:cs="Arial"/>
                <w:b/>
                <w:bCs/>
                <w:sz w:val="16"/>
                <w:szCs w:val="16"/>
              </w:rPr>
            </w:pPr>
            <w:r w:rsidRPr="000A1F89">
              <w:rPr>
                <w:rFonts w:ascii="Arial" w:eastAsiaTheme="minorEastAsia" w:hAnsi="Arial" w:cs="Arial"/>
                <w:b/>
                <w:bCs/>
                <w:sz w:val="16"/>
                <w:szCs w:val="16"/>
              </w:rPr>
              <w:t>26</w:t>
            </w:r>
            <w:r>
              <w:rPr>
                <w:rFonts w:ascii="Arial" w:eastAsiaTheme="minorEastAsia" w:hAnsi="Arial" w:cs="Arial"/>
                <w:b/>
                <w:bCs/>
                <w:sz w:val="16"/>
                <w:szCs w:val="16"/>
              </w:rPr>
              <w:t>,</w:t>
            </w:r>
            <w:r w:rsidRPr="000A1F89">
              <w:rPr>
                <w:rFonts w:ascii="Arial" w:eastAsiaTheme="minorEastAsia" w:hAnsi="Arial" w:cs="Arial"/>
                <w:b/>
                <w:bCs/>
                <w:sz w:val="16"/>
                <w:szCs w:val="16"/>
              </w:rPr>
              <w:t>822</w:t>
            </w:r>
          </w:p>
        </w:tc>
      </w:tr>
    </w:tbl>
    <w:p w14:paraId="623086E3" w14:textId="0EEF661A" w:rsidR="00116D0D" w:rsidRPr="009E4F91" w:rsidRDefault="00116D0D" w:rsidP="00116D0D">
      <w:pPr>
        <w:pStyle w:val="Heading2"/>
      </w:pPr>
    </w:p>
    <w:tbl>
      <w:tblPr>
        <w:tblW w:w="13831" w:type="dxa"/>
        <w:tblCellMar>
          <w:top w:w="15" w:type="dxa"/>
          <w:bottom w:w="15" w:type="dxa"/>
        </w:tblCellMar>
        <w:tblLook w:val="04A0" w:firstRow="1" w:lastRow="0" w:firstColumn="1" w:lastColumn="0" w:noHBand="0" w:noVBand="1"/>
      </w:tblPr>
      <w:tblGrid>
        <w:gridCol w:w="3061"/>
        <w:gridCol w:w="1077"/>
        <w:gridCol w:w="1077"/>
        <w:gridCol w:w="1077"/>
        <w:gridCol w:w="1077"/>
        <w:gridCol w:w="1077"/>
        <w:gridCol w:w="1077"/>
        <w:gridCol w:w="1077"/>
        <w:gridCol w:w="1077"/>
        <w:gridCol w:w="1077"/>
        <w:gridCol w:w="1077"/>
      </w:tblGrid>
      <w:tr w:rsidR="008B7190" w:rsidRPr="00987D0D" w14:paraId="0E161BA7" w14:textId="421A998B" w:rsidTr="003B538F">
        <w:trPr>
          <w:trHeight w:val="315"/>
          <w:tblHeader/>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vAlign w:val="center"/>
            <w:hideMark/>
          </w:tcPr>
          <w:p w14:paraId="7AB38C73" w14:textId="4EAFE016" w:rsidR="002937A3" w:rsidRPr="00987D0D" w:rsidRDefault="002937A3" w:rsidP="008D46E3">
            <w:pPr>
              <w:rPr>
                <w:rFonts w:ascii="Arial" w:hAnsi="Arial" w:cs="Arial"/>
                <w:color w:val="1F3763" w:themeColor="accent1" w:themeShade="7F"/>
                <w:sz w:val="16"/>
                <w:szCs w:val="16"/>
              </w:rPr>
            </w:pPr>
            <w:bookmarkStart w:id="3" w:name="_Toc196988013"/>
            <w:r w:rsidRPr="00987D0D">
              <w:rPr>
                <w:rFonts w:ascii="Arial" w:hAnsi="Arial" w:cs="Arial"/>
                <w:b/>
                <w:bCs/>
                <w:sz w:val="16"/>
                <w:szCs w:val="16"/>
              </w:rPr>
              <w:t>£’000</w:t>
            </w:r>
            <w:bookmarkEnd w:id="3"/>
          </w:p>
        </w:tc>
        <w:tc>
          <w:tcPr>
            <w:tcW w:w="1077" w:type="dxa"/>
            <w:tcBorders>
              <w:top w:val="single" w:sz="8" w:space="0" w:color="000000" w:themeColor="text1"/>
              <w:left w:val="nil"/>
              <w:bottom w:val="single" w:sz="8" w:space="0" w:color="000000" w:themeColor="text1"/>
              <w:right w:val="nil"/>
            </w:tcBorders>
            <w:shd w:val="clear" w:color="auto" w:fill="F2F2F2" w:themeFill="background1" w:themeFillShade="F2"/>
            <w:noWrap/>
            <w:hideMark/>
          </w:tcPr>
          <w:p w14:paraId="55201DC0" w14:textId="14866B38" w:rsidR="002937A3" w:rsidRPr="00987D0D" w:rsidRDefault="00E80769" w:rsidP="002937A3">
            <w:pPr>
              <w:rPr>
                <w:rFonts w:ascii="Arial" w:hAnsi="Arial" w:cs="Arial"/>
                <w:b/>
                <w:bCs/>
                <w:sz w:val="16"/>
                <w:szCs w:val="16"/>
              </w:rPr>
            </w:pPr>
            <w:r w:rsidRPr="00987D0D">
              <w:rPr>
                <w:rFonts w:ascii="Arial" w:hAnsi="Arial" w:cs="Arial"/>
                <w:b/>
                <w:bCs/>
                <w:sz w:val="16"/>
                <w:szCs w:val="16"/>
              </w:rPr>
              <w:t xml:space="preserve">24/25 </w:t>
            </w:r>
            <w:r w:rsidR="002937A3" w:rsidRPr="00987D0D">
              <w:rPr>
                <w:rFonts w:ascii="Arial" w:hAnsi="Arial" w:cs="Arial"/>
                <w:b/>
                <w:bCs/>
                <w:sz w:val="16"/>
                <w:szCs w:val="16"/>
              </w:rPr>
              <w:t>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hideMark/>
          </w:tcPr>
          <w:p w14:paraId="4C221FE6" w14:textId="6EADF16B" w:rsidR="002937A3" w:rsidRPr="00987D0D" w:rsidRDefault="008B7190" w:rsidP="002937A3">
            <w:pPr>
              <w:rPr>
                <w:rFonts w:ascii="Arial" w:hAnsi="Arial" w:cs="Arial"/>
                <w:b/>
                <w:bCs/>
                <w:color w:val="000000"/>
                <w:sz w:val="16"/>
                <w:szCs w:val="16"/>
              </w:rPr>
            </w:pPr>
            <w:r w:rsidRPr="00987D0D">
              <w:rPr>
                <w:rFonts w:ascii="Arial" w:hAnsi="Arial" w:cs="Arial"/>
                <w:b/>
                <w:bCs/>
                <w:sz w:val="16"/>
                <w:szCs w:val="16"/>
              </w:rPr>
              <w:t xml:space="preserve">24/25 </w:t>
            </w:r>
            <w:r w:rsidR="002937A3" w:rsidRPr="00987D0D">
              <w:rPr>
                <w:rFonts w:ascii="Arial" w:hAnsi="Arial" w:cs="Arial"/>
                <w:b/>
                <w:bCs/>
                <w:color w:val="000000" w:themeColor="text1"/>
                <w:sz w:val="16"/>
                <w:szCs w:val="16"/>
              </w:rPr>
              <w:t>Non- recurrent</w:t>
            </w:r>
          </w:p>
        </w:tc>
        <w:tc>
          <w:tcPr>
            <w:tcW w:w="1077" w:type="dxa"/>
            <w:tcBorders>
              <w:top w:val="single" w:sz="8" w:space="0" w:color="000000" w:themeColor="text1"/>
              <w:left w:val="nil"/>
              <w:bottom w:val="single" w:sz="8" w:space="0" w:color="000000" w:themeColor="text1"/>
              <w:right w:val="nil"/>
            </w:tcBorders>
            <w:shd w:val="clear" w:color="auto" w:fill="F2F2F2" w:themeFill="background1" w:themeFillShade="F2"/>
            <w:noWrap/>
            <w:hideMark/>
          </w:tcPr>
          <w:p w14:paraId="542E8987" w14:textId="3BC5B497" w:rsidR="002937A3" w:rsidRPr="00987D0D" w:rsidRDefault="008B7190" w:rsidP="002937A3">
            <w:pPr>
              <w:rPr>
                <w:rFonts w:ascii="Arial" w:hAnsi="Arial" w:cs="Arial"/>
                <w:b/>
                <w:bCs/>
                <w:sz w:val="16"/>
                <w:szCs w:val="16"/>
              </w:rPr>
            </w:pPr>
            <w:r w:rsidRPr="00987D0D">
              <w:rPr>
                <w:rFonts w:ascii="Arial" w:hAnsi="Arial" w:cs="Arial"/>
                <w:b/>
                <w:bCs/>
                <w:sz w:val="16"/>
                <w:szCs w:val="16"/>
              </w:rPr>
              <w:t xml:space="preserve">25/26 </w:t>
            </w:r>
            <w:r w:rsidR="002937A3" w:rsidRPr="00987D0D">
              <w:rPr>
                <w:rFonts w:ascii="Arial" w:hAnsi="Arial" w:cs="Arial"/>
                <w:b/>
                <w:bCs/>
                <w:sz w:val="16"/>
                <w:szCs w:val="16"/>
              </w:rPr>
              <w:t>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hideMark/>
          </w:tcPr>
          <w:p w14:paraId="185EEB1E" w14:textId="2009DAA5" w:rsidR="002937A3" w:rsidRPr="00987D0D" w:rsidRDefault="008B7190" w:rsidP="002937A3">
            <w:pPr>
              <w:rPr>
                <w:rFonts w:ascii="Arial" w:hAnsi="Arial" w:cs="Arial"/>
                <w:b/>
                <w:bCs/>
                <w:color w:val="000000"/>
                <w:sz w:val="16"/>
                <w:szCs w:val="16"/>
              </w:rPr>
            </w:pPr>
            <w:r w:rsidRPr="00987D0D">
              <w:rPr>
                <w:rFonts w:ascii="Arial" w:hAnsi="Arial" w:cs="Arial"/>
                <w:b/>
                <w:bCs/>
                <w:color w:val="000000" w:themeColor="text1"/>
                <w:sz w:val="16"/>
                <w:szCs w:val="16"/>
              </w:rPr>
              <w:t xml:space="preserve">25/26 </w:t>
            </w:r>
            <w:r w:rsidR="002937A3" w:rsidRPr="00987D0D">
              <w:rPr>
                <w:rFonts w:ascii="Arial" w:hAnsi="Arial" w:cs="Arial"/>
                <w:b/>
                <w:bCs/>
                <w:color w:val="000000" w:themeColor="text1"/>
                <w:sz w:val="16"/>
                <w:szCs w:val="16"/>
              </w:rPr>
              <w:t>Non- recurrent</w:t>
            </w:r>
          </w:p>
        </w:tc>
        <w:tc>
          <w:tcPr>
            <w:tcW w:w="1077" w:type="dxa"/>
            <w:tcBorders>
              <w:top w:val="single" w:sz="8" w:space="0" w:color="000000" w:themeColor="text1"/>
              <w:left w:val="nil"/>
              <w:bottom w:val="single" w:sz="8" w:space="0" w:color="000000" w:themeColor="text1"/>
              <w:right w:val="nil"/>
            </w:tcBorders>
            <w:shd w:val="clear" w:color="auto" w:fill="F2F2F2" w:themeFill="background1" w:themeFillShade="F2"/>
            <w:noWrap/>
            <w:hideMark/>
          </w:tcPr>
          <w:p w14:paraId="0C6EA708" w14:textId="4FE42760" w:rsidR="002937A3" w:rsidRPr="00987D0D" w:rsidRDefault="008B7190" w:rsidP="002937A3">
            <w:pPr>
              <w:rPr>
                <w:rFonts w:ascii="Arial" w:hAnsi="Arial" w:cs="Arial"/>
                <w:b/>
                <w:bCs/>
                <w:sz w:val="16"/>
                <w:szCs w:val="16"/>
              </w:rPr>
            </w:pPr>
            <w:r w:rsidRPr="00987D0D">
              <w:rPr>
                <w:rFonts w:ascii="Arial" w:hAnsi="Arial" w:cs="Arial"/>
                <w:b/>
                <w:bCs/>
                <w:sz w:val="16"/>
                <w:szCs w:val="16"/>
              </w:rPr>
              <w:t xml:space="preserve">26/27 </w:t>
            </w:r>
            <w:r w:rsidR="002937A3" w:rsidRPr="00987D0D">
              <w:rPr>
                <w:rFonts w:ascii="Arial" w:hAnsi="Arial" w:cs="Arial"/>
                <w:b/>
                <w:bCs/>
                <w:sz w:val="16"/>
                <w:szCs w:val="16"/>
              </w:rPr>
              <w:t>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hideMark/>
          </w:tcPr>
          <w:p w14:paraId="0C0A9C2D" w14:textId="5E0D8DD4" w:rsidR="002937A3" w:rsidRPr="00987D0D" w:rsidRDefault="008B7190" w:rsidP="002937A3">
            <w:pPr>
              <w:rPr>
                <w:rFonts w:ascii="Arial" w:hAnsi="Arial" w:cs="Arial"/>
                <w:b/>
                <w:bCs/>
                <w:color w:val="000000"/>
                <w:sz w:val="16"/>
                <w:szCs w:val="16"/>
              </w:rPr>
            </w:pPr>
            <w:r w:rsidRPr="00987D0D">
              <w:rPr>
                <w:rFonts w:ascii="Arial" w:hAnsi="Arial" w:cs="Arial"/>
                <w:b/>
                <w:bCs/>
                <w:color w:val="000000" w:themeColor="text1"/>
                <w:sz w:val="16"/>
                <w:szCs w:val="16"/>
              </w:rPr>
              <w:t xml:space="preserve">26/27 </w:t>
            </w:r>
            <w:r w:rsidR="002937A3" w:rsidRPr="00987D0D">
              <w:rPr>
                <w:rFonts w:ascii="Arial" w:hAnsi="Arial" w:cs="Arial"/>
                <w:b/>
                <w:bCs/>
                <w:color w:val="000000" w:themeColor="text1"/>
                <w:sz w:val="16"/>
                <w:szCs w:val="16"/>
              </w:rPr>
              <w:t>Non-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5596351" w14:textId="743FBBA3" w:rsidR="002937A3" w:rsidRPr="00987D0D" w:rsidRDefault="005438F3" w:rsidP="002937A3">
            <w:pPr>
              <w:rPr>
                <w:rFonts w:ascii="Arial" w:hAnsi="Arial" w:cs="Arial"/>
                <w:b/>
                <w:bCs/>
                <w:color w:val="000000" w:themeColor="text1"/>
                <w:sz w:val="16"/>
                <w:szCs w:val="16"/>
              </w:rPr>
            </w:pPr>
            <w:r w:rsidRPr="00987D0D">
              <w:rPr>
                <w:rFonts w:ascii="Arial" w:hAnsi="Arial" w:cs="Arial"/>
                <w:b/>
                <w:bCs/>
                <w:sz w:val="16"/>
                <w:szCs w:val="16"/>
              </w:rPr>
              <w:t xml:space="preserve">27/28 </w:t>
            </w:r>
            <w:r w:rsidR="002937A3" w:rsidRPr="00987D0D">
              <w:rPr>
                <w:rFonts w:ascii="Arial" w:hAnsi="Arial" w:cs="Arial"/>
                <w:b/>
                <w:bCs/>
                <w:sz w:val="16"/>
                <w:szCs w:val="16"/>
              </w:rPr>
              <w:t>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B5EDF37" w14:textId="6A6D80A3" w:rsidR="002937A3" w:rsidRPr="00987D0D" w:rsidRDefault="005438F3" w:rsidP="002937A3">
            <w:pPr>
              <w:rPr>
                <w:rFonts w:ascii="Arial" w:hAnsi="Arial" w:cs="Arial"/>
                <w:b/>
                <w:bCs/>
                <w:color w:val="000000" w:themeColor="text1"/>
                <w:sz w:val="16"/>
                <w:szCs w:val="16"/>
              </w:rPr>
            </w:pPr>
            <w:r w:rsidRPr="00987D0D">
              <w:rPr>
                <w:rFonts w:ascii="Arial" w:hAnsi="Arial" w:cs="Arial"/>
                <w:b/>
                <w:bCs/>
                <w:color w:val="000000" w:themeColor="text1"/>
                <w:sz w:val="16"/>
                <w:szCs w:val="16"/>
              </w:rPr>
              <w:t xml:space="preserve">27/28 </w:t>
            </w:r>
            <w:r w:rsidR="002937A3" w:rsidRPr="00987D0D">
              <w:rPr>
                <w:rFonts w:ascii="Arial" w:hAnsi="Arial" w:cs="Arial"/>
                <w:b/>
                <w:bCs/>
                <w:color w:val="000000" w:themeColor="text1"/>
                <w:sz w:val="16"/>
                <w:szCs w:val="16"/>
              </w:rPr>
              <w:t>Non-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D1719C8" w14:textId="4D9824A5" w:rsidR="002937A3" w:rsidRPr="00987D0D" w:rsidRDefault="005438F3" w:rsidP="002937A3">
            <w:pPr>
              <w:rPr>
                <w:rFonts w:ascii="Arial" w:hAnsi="Arial" w:cs="Arial"/>
                <w:b/>
                <w:bCs/>
                <w:color w:val="000000" w:themeColor="text1"/>
                <w:sz w:val="16"/>
                <w:szCs w:val="16"/>
              </w:rPr>
            </w:pPr>
            <w:r w:rsidRPr="00987D0D">
              <w:rPr>
                <w:rFonts w:ascii="Arial" w:hAnsi="Arial" w:cs="Arial"/>
                <w:b/>
                <w:bCs/>
                <w:sz w:val="16"/>
                <w:szCs w:val="16"/>
              </w:rPr>
              <w:t xml:space="preserve">28/29 </w:t>
            </w:r>
            <w:r w:rsidR="002937A3" w:rsidRPr="00987D0D">
              <w:rPr>
                <w:rFonts w:ascii="Arial" w:hAnsi="Arial" w:cs="Arial"/>
                <w:b/>
                <w:bCs/>
                <w:sz w:val="16"/>
                <w:szCs w:val="16"/>
              </w:rPr>
              <w:t>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1814CDB" w14:textId="017E71C5" w:rsidR="002937A3" w:rsidRPr="00987D0D" w:rsidRDefault="005438F3" w:rsidP="002937A3">
            <w:pPr>
              <w:rPr>
                <w:rFonts w:ascii="Arial" w:hAnsi="Arial" w:cs="Arial"/>
                <w:b/>
                <w:bCs/>
                <w:color w:val="000000" w:themeColor="text1"/>
                <w:sz w:val="16"/>
                <w:szCs w:val="16"/>
              </w:rPr>
            </w:pPr>
            <w:r w:rsidRPr="00987D0D">
              <w:rPr>
                <w:rFonts w:ascii="Arial" w:hAnsi="Arial" w:cs="Arial"/>
                <w:b/>
                <w:bCs/>
                <w:color w:val="000000" w:themeColor="text1"/>
                <w:sz w:val="16"/>
                <w:szCs w:val="16"/>
              </w:rPr>
              <w:t xml:space="preserve">28/29 </w:t>
            </w:r>
            <w:r w:rsidR="002937A3" w:rsidRPr="00987D0D">
              <w:rPr>
                <w:rFonts w:ascii="Arial" w:hAnsi="Arial" w:cs="Arial"/>
                <w:b/>
                <w:bCs/>
                <w:color w:val="000000" w:themeColor="text1"/>
                <w:sz w:val="16"/>
                <w:szCs w:val="16"/>
              </w:rPr>
              <w:t>Non- recurrent</w:t>
            </w:r>
          </w:p>
        </w:tc>
      </w:tr>
      <w:tr w:rsidR="00FB5046" w:rsidRPr="00987D0D" w14:paraId="5709D13A" w14:textId="137D8278" w:rsidTr="000C4EAB">
        <w:trPr>
          <w:trHeight w:val="630"/>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12F9D14" w14:textId="6DF11CBF" w:rsidR="00FB5046" w:rsidRPr="00987D0D" w:rsidRDefault="00FB5046" w:rsidP="00FB5046">
            <w:pPr>
              <w:rPr>
                <w:rFonts w:ascii="Arial" w:hAnsi="Arial" w:cs="Arial"/>
                <w:color w:val="000000"/>
                <w:sz w:val="16"/>
                <w:szCs w:val="16"/>
              </w:rPr>
            </w:pPr>
            <w:r w:rsidRPr="00987D0D">
              <w:rPr>
                <w:rFonts w:ascii="Arial" w:hAnsi="Arial" w:cs="Arial"/>
                <w:b/>
                <w:bCs/>
                <w:sz w:val="16"/>
                <w:szCs w:val="16"/>
              </w:rPr>
              <w:t xml:space="preserve">Direct Employee (£’000): </w:t>
            </w:r>
            <w:r w:rsidRPr="00987D0D">
              <w:rPr>
                <w:rFonts w:ascii="Arial" w:hAnsi="Arial" w:cs="Arial"/>
                <w:sz w:val="16"/>
                <w:szCs w:val="16"/>
              </w:rPr>
              <w:t>Reduction in Prevention/ Protection/Response Staff</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D9D9D9" w:themeFill="background1" w:themeFillShade="D9"/>
            <w:noWrap/>
          </w:tcPr>
          <w:p w14:paraId="1AA9BFB7" w14:textId="571E4FE3" w:rsidR="00FB5046" w:rsidRPr="00E97142" w:rsidRDefault="00FB5046" w:rsidP="00FB5046">
            <w:pPr>
              <w:jc w:val="right"/>
              <w:rPr>
                <w:rFonts w:ascii="Arial" w:hAnsi="Arial" w:cs="Arial"/>
                <w:color w:val="000000"/>
                <w:sz w:val="16"/>
                <w:szCs w:val="16"/>
              </w:rPr>
            </w:pPr>
            <w:r w:rsidRPr="00FB5046">
              <w:rPr>
                <w:rFonts w:ascii="Arial" w:hAnsi="Arial" w:cs="Arial"/>
                <w:color w:val="000000"/>
                <w:sz w:val="16"/>
                <w:szCs w:val="16"/>
              </w:rPr>
              <w:t xml:space="preserve"> 576 </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shd w:val="clear" w:color="auto" w:fill="D9D9D9" w:themeFill="background1" w:themeFillShade="D9"/>
            <w:noWrap/>
          </w:tcPr>
          <w:p w14:paraId="7D2C92D7" w14:textId="40EB8D09" w:rsidR="00FB5046" w:rsidRPr="00FB5046" w:rsidRDefault="00FB5046" w:rsidP="00FB5046">
            <w:pPr>
              <w:jc w:val="right"/>
              <w:rPr>
                <w:rFonts w:ascii="Arial" w:hAnsi="Arial" w:cs="Arial"/>
                <w:color w:val="000000"/>
                <w:sz w:val="16"/>
                <w:szCs w:val="16"/>
              </w:rPr>
            </w:pPr>
            <w:r w:rsidRPr="00FB5046">
              <w:rPr>
                <w:rFonts w:ascii="Arial" w:hAnsi="Arial" w:cs="Arial"/>
                <w:color w:val="000000"/>
                <w:sz w:val="16"/>
                <w:szCs w:val="16"/>
              </w:rPr>
              <w:t xml:space="preserve"> -   </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D9D9D9" w:themeFill="background1" w:themeFillShade="D9"/>
            <w:noWrap/>
          </w:tcPr>
          <w:p w14:paraId="320A32C3" w14:textId="1FCB631A" w:rsidR="00FB5046" w:rsidRPr="00E97142" w:rsidRDefault="00FB5046" w:rsidP="00FB5046">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shd w:val="clear" w:color="auto" w:fill="D9D9D9" w:themeFill="background1" w:themeFillShade="D9"/>
            <w:noWrap/>
          </w:tcPr>
          <w:p w14:paraId="4C4A2D3E" w14:textId="155CAFA7" w:rsidR="00FB5046" w:rsidRPr="00E97142" w:rsidRDefault="00FB5046" w:rsidP="00FB5046">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D9D9D9" w:themeFill="background1" w:themeFillShade="D9"/>
            <w:noWrap/>
          </w:tcPr>
          <w:p w14:paraId="54B68B86" w14:textId="278E5662" w:rsidR="00FB5046" w:rsidRPr="00FB5046" w:rsidRDefault="00FB5046" w:rsidP="00FB5046">
            <w:pPr>
              <w:jc w:val="right"/>
              <w:rPr>
                <w:rFonts w:ascii="Arial" w:hAnsi="Arial" w:cs="Arial"/>
                <w:color w:val="000000"/>
                <w:sz w:val="16"/>
                <w:szCs w:val="16"/>
              </w:rPr>
            </w:pPr>
            <w:r w:rsidRPr="00FB5046">
              <w:rPr>
                <w:rFonts w:ascii="Arial" w:hAnsi="Arial" w:cs="Arial"/>
                <w:color w:val="000000"/>
                <w:sz w:val="16"/>
                <w:szCs w:val="16"/>
              </w:rPr>
              <w:t>2070</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shd w:val="clear" w:color="auto" w:fill="D9D9D9" w:themeFill="background1" w:themeFillShade="D9"/>
            <w:noWrap/>
            <w:vAlign w:val="center"/>
          </w:tcPr>
          <w:p w14:paraId="7A137203" w14:textId="27BA8680" w:rsidR="00FB5046" w:rsidRPr="00E97142" w:rsidRDefault="00FB5046" w:rsidP="00FB5046">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D9D9D9" w:themeFill="background1" w:themeFillShade="D9"/>
            <w:vAlign w:val="center"/>
          </w:tcPr>
          <w:p w14:paraId="587FE9EC" w14:textId="77777777" w:rsidR="00FB5046" w:rsidRPr="00E97142" w:rsidRDefault="00FB5046" w:rsidP="00FB5046">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D9D9D9" w:themeFill="background1" w:themeFillShade="D9"/>
            <w:vAlign w:val="center"/>
          </w:tcPr>
          <w:p w14:paraId="54586DF5" w14:textId="165BBD75" w:rsidR="00FB5046" w:rsidRPr="00E97142" w:rsidRDefault="00FB5046" w:rsidP="00FB5046">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D9D9D9" w:themeFill="background1" w:themeFillShade="D9"/>
            <w:vAlign w:val="center"/>
          </w:tcPr>
          <w:p w14:paraId="5F46A17C" w14:textId="4821D0EA" w:rsidR="00FB5046" w:rsidRPr="00E97142" w:rsidRDefault="00FB5046" w:rsidP="00FB5046">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shd w:val="clear" w:color="auto" w:fill="D9D9D9" w:themeFill="background1" w:themeFillShade="D9"/>
            <w:vAlign w:val="center"/>
          </w:tcPr>
          <w:p w14:paraId="5102E805" w14:textId="70C561D2" w:rsidR="00FB5046" w:rsidRPr="00E97142" w:rsidRDefault="00FB5046" w:rsidP="00FB5046">
            <w:pPr>
              <w:jc w:val="right"/>
              <w:rPr>
                <w:rFonts w:ascii="Arial" w:hAnsi="Arial" w:cs="Arial"/>
                <w:sz w:val="16"/>
                <w:szCs w:val="16"/>
              </w:rPr>
            </w:pPr>
          </w:p>
        </w:tc>
      </w:tr>
      <w:tr w:rsidR="00FB5046" w:rsidRPr="00987D0D" w14:paraId="45BC0CFD" w14:textId="74FB762F" w:rsidTr="000C4EAB">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EAC8CE4" w14:textId="7D1C9D57" w:rsidR="00FB5046" w:rsidRPr="00987D0D" w:rsidRDefault="00FB5046" w:rsidP="00FB5046">
            <w:pPr>
              <w:rPr>
                <w:rFonts w:ascii="Arial" w:hAnsi="Arial" w:cs="Arial"/>
                <w:color w:val="000000"/>
                <w:sz w:val="16"/>
                <w:szCs w:val="16"/>
              </w:rPr>
            </w:pPr>
            <w:r w:rsidRPr="00987D0D">
              <w:rPr>
                <w:rFonts w:ascii="Arial" w:hAnsi="Arial" w:cs="Arial"/>
                <w:b/>
                <w:bCs/>
                <w:sz w:val="16"/>
                <w:szCs w:val="16"/>
              </w:rPr>
              <w:t xml:space="preserve">Direct Employee (£’000): </w:t>
            </w:r>
            <w:r w:rsidRPr="00987D0D">
              <w:rPr>
                <w:rFonts w:ascii="Arial" w:hAnsi="Arial" w:cs="Arial"/>
                <w:sz w:val="16"/>
                <w:szCs w:val="16"/>
              </w:rPr>
              <w:t>Reduction in Support Staff</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D9D9D9" w:themeFill="background1" w:themeFillShade="D9"/>
            <w:noWrap/>
          </w:tcPr>
          <w:p w14:paraId="2CA5D31B" w14:textId="1A94A55A" w:rsidR="00FB5046" w:rsidRPr="00E97142" w:rsidRDefault="00FB5046" w:rsidP="00FB5046">
            <w:pPr>
              <w:jc w:val="right"/>
              <w:rPr>
                <w:rFonts w:ascii="Arial" w:hAnsi="Arial" w:cs="Arial"/>
                <w:color w:val="000000"/>
                <w:sz w:val="16"/>
                <w:szCs w:val="16"/>
              </w:rPr>
            </w:pPr>
            <w:r w:rsidRPr="00FB5046">
              <w:rPr>
                <w:rFonts w:ascii="Arial" w:hAnsi="Arial" w:cs="Arial"/>
                <w:color w:val="000000"/>
                <w:sz w:val="16"/>
                <w:szCs w:val="16"/>
              </w:rPr>
              <w:t xml:space="preserve"> 10 </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shd w:val="clear" w:color="auto" w:fill="D9D9D9" w:themeFill="background1" w:themeFillShade="D9"/>
            <w:noWrap/>
          </w:tcPr>
          <w:p w14:paraId="70A08933" w14:textId="53982691" w:rsidR="00FB5046" w:rsidRPr="00FB5046" w:rsidRDefault="00FB5046" w:rsidP="00FB5046">
            <w:pPr>
              <w:jc w:val="right"/>
              <w:rPr>
                <w:rFonts w:ascii="Arial" w:hAnsi="Arial" w:cs="Arial"/>
                <w:color w:val="000000"/>
                <w:sz w:val="16"/>
                <w:szCs w:val="16"/>
              </w:rPr>
            </w:pPr>
            <w:r w:rsidRPr="00FB5046">
              <w:rPr>
                <w:rFonts w:ascii="Arial" w:hAnsi="Arial" w:cs="Arial"/>
                <w:color w:val="000000"/>
                <w:sz w:val="16"/>
                <w:szCs w:val="16"/>
              </w:rPr>
              <w:t xml:space="preserve"> -   </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D9D9D9" w:themeFill="background1" w:themeFillShade="D9"/>
            <w:noWrap/>
          </w:tcPr>
          <w:p w14:paraId="59BC53ED" w14:textId="0F0C5D59" w:rsidR="00FB5046" w:rsidRPr="00E97142" w:rsidRDefault="00FB5046" w:rsidP="00FB5046">
            <w:pPr>
              <w:jc w:val="right"/>
              <w:rPr>
                <w:rFonts w:ascii="Arial" w:hAnsi="Arial" w:cs="Arial"/>
                <w:color w:val="000000"/>
                <w:sz w:val="16"/>
                <w:szCs w:val="16"/>
              </w:rPr>
            </w:pPr>
            <w:r w:rsidRPr="00FB5046">
              <w:rPr>
                <w:rFonts w:ascii="Arial" w:hAnsi="Arial" w:cs="Arial"/>
                <w:color w:val="000000"/>
                <w:sz w:val="16"/>
                <w:szCs w:val="16"/>
              </w:rPr>
              <w:t>31</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shd w:val="clear" w:color="auto" w:fill="D9D9D9" w:themeFill="background1" w:themeFillShade="D9"/>
            <w:noWrap/>
          </w:tcPr>
          <w:p w14:paraId="28EC823E" w14:textId="4A6A1FD8" w:rsidR="00FB5046" w:rsidRPr="00E97142" w:rsidRDefault="00FB5046" w:rsidP="00FB5046">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D9D9D9" w:themeFill="background1" w:themeFillShade="D9"/>
            <w:noWrap/>
          </w:tcPr>
          <w:p w14:paraId="144D4185" w14:textId="268EAC06" w:rsidR="00FB5046" w:rsidRPr="00FB5046" w:rsidRDefault="00FB5046" w:rsidP="00FB5046">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shd w:val="clear" w:color="auto" w:fill="D9D9D9" w:themeFill="background1" w:themeFillShade="D9"/>
            <w:noWrap/>
            <w:vAlign w:val="center"/>
          </w:tcPr>
          <w:p w14:paraId="72D7393F" w14:textId="614170BB" w:rsidR="00FB5046" w:rsidRPr="00E97142" w:rsidRDefault="00FB5046" w:rsidP="00FB5046">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D9D9D9" w:themeFill="background1" w:themeFillShade="D9"/>
            <w:vAlign w:val="center"/>
          </w:tcPr>
          <w:p w14:paraId="3036C2F9" w14:textId="77777777" w:rsidR="00FB5046" w:rsidRPr="00E97142" w:rsidRDefault="00FB5046" w:rsidP="00FB5046">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D9D9D9" w:themeFill="background1" w:themeFillShade="D9"/>
            <w:vAlign w:val="center"/>
          </w:tcPr>
          <w:p w14:paraId="418D3564" w14:textId="541E79E2" w:rsidR="00FB5046" w:rsidRPr="00E97142" w:rsidRDefault="00FB5046" w:rsidP="00FB5046">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D9D9D9" w:themeFill="background1" w:themeFillShade="D9"/>
            <w:vAlign w:val="center"/>
          </w:tcPr>
          <w:p w14:paraId="31138D0B" w14:textId="517646F6" w:rsidR="00FB5046" w:rsidRPr="00E97142" w:rsidRDefault="00FB5046" w:rsidP="00FB5046">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shd w:val="clear" w:color="auto" w:fill="D9D9D9" w:themeFill="background1" w:themeFillShade="D9"/>
            <w:vAlign w:val="center"/>
          </w:tcPr>
          <w:p w14:paraId="6DF1ED18" w14:textId="7E9B90EB" w:rsidR="00FB5046" w:rsidRPr="00E97142" w:rsidRDefault="00FB5046" w:rsidP="00FB5046">
            <w:pPr>
              <w:jc w:val="right"/>
              <w:rPr>
                <w:rFonts w:ascii="Arial" w:hAnsi="Arial" w:cs="Arial"/>
                <w:sz w:val="16"/>
                <w:szCs w:val="16"/>
              </w:rPr>
            </w:pPr>
          </w:p>
        </w:tc>
      </w:tr>
      <w:tr w:rsidR="008B7190" w:rsidRPr="00987D0D" w14:paraId="2EF06A9E" w14:textId="186EF00F"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B1D5A" w14:textId="272F8F47" w:rsidR="00D07369" w:rsidRPr="00987D0D" w:rsidRDefault="00CC15EE" w:rsidP="00D07369">
            <w:pPr>
              <w:rPr>
                <w:rFonts w:ascii="Arial" w:hAnsi="Arial" w:cs="Arial"/>
                <w:color w:val="000000"/>
                <w:sz w:val="16"/>
                <w:szCs w:val="16"/>
              </w:rPr>
            </w:pPr>
            <w:r w:rsidRPr="00987D0D">
              <w:rPr>
                <w:rFonts w:ascii="Arial" w:hAnsi="Arial" w:cs="Arial"/>
                <w:b/>
                <w:bCs/>
                <w:sz w:val="16"/>
                <w:szCs w:val="16"/>
              </w:rPr>
              <w:t>All Indirect</w:t>
            </w:r>
            <w:r w:rsidRPr="00987D0D">
              <w:rPr>
                <w:rFonts w:ascii="Arial" w:hAnsi="Arial" w:cs="Arial"/>
                <w:sz w:val="16"/>
                <w:szCs w:val="16"/>
              </w:rPr>
              <w:t xml:space="preserve"> Employee Costs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EB1DE90" w14:textId="1009B242"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58B3FE1F" w14:textId="0DCD1776"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C28D3DD" w14:textId="7BFD181F" w:rsidR="00D07369" w:rsidRPr="00E97142" w:rsidRDefault="00FF3FF2" w:rsidP="00255362">
            <w:pPr>
              <w:jc w:val="right"/>
              <w:rPr>
                <w:rFonts w:ascii="Arial" w:hAnsi="Arial" w:cs="Arial"/>
                <w:color w:val="000000"/>
                <w:sz w:val="16"/>
                <w:szCs w:val="16"/>
              </w:rPr>
            </w:pPr>
            <w:r>
              <w:rPr>
                <w:rFonts w:ascii="Arial" w:hAnsi="Arial" w:cs="Arial"/>
                <w:color w:val="000000"/>
                <w:sz w:val="16"/>
                <w:szCs w:val="16"/>
              </w:rPr>
              <w:t>500</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15548EA5" w14:textId="2515BAA9"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67F0FCBF" w14:textId="7FFCECCF"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231D1D0E" w14:textId="5E18FF09"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47E3CD16"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3F5DB9AC" w14:textId="1EA1FFEC"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48F8CA5" w14:textId="5213096F"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72FC24A5" w14:textId="20659847" w:rsidR="00D07369" w:rsidRPr="00E97142" w:rsidRDefault="00D07369" w:rsidP="00255362">
            <w:pPr>
              <w:jc w:val="right"/>
              <w:rPr>
                <w:rFonts w:ascii="Arial" w:hAnsi="Arial" w:cs="Arial"/>
                <w:sz w:val="16"/>
                <w:szCs w:val="16"/>
              </w:rPr>
            </w:pPr>
          </w:p>
        </w:tc>
      </w:tr>
      <w:tr w:rsidR="005438F3" w:rsidRPr="00987D0D" w14:paraId="72F4E6F8"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ABBAE" w14:textId="5D020397" w:rsidR="00D07369" w:rsidRPr="00987D0D" w:rsidRDefault="00D07369" w:rsidP="00D07369">
            <w:pPr>
              <w:rPr>
                <w:rFonts w:ascii="Arial" w:hAnsi="Arial" w:cs="Arial"/>
                <w:color w:val="000000"/>
                <w:sz w:val="16"/>
                <w:szCs w:val="16"/>
              </w:rPr>
            </w:pPr>
            <w:r w:rsidRPr="00987D0D">
              <w:rPr>
                <w:rFonts w:ascii="Arial" w:hAnsi="Arial" w:cs="Arial"/>
                <w:b/>
                <w:bCs/>
                <w:sz w:val="16"/>
                <w:szCs w:val="16"/>
              </w:rPr>
              <w:t>Premises</w:t>
            </w:r>
            <w:r w:rsidR="00595C2D" w:rsidRPr="00987D0D">
              <w:rPr>
                <w:rFonts w:ascii="Arial" w:hAnsi="Arial" w:cs="Arial"/>
                <w:sz w:val="16"/>
                <w:szCs w:val="16"/>
              </w:rPr>
              <w:t xml:space="preserve">: </w:t>
            </w:r>
            <w:r w:rsidR="00A2612E" w:rsidRPr="00987D0D">
              <w:rPr>
                <w:rFonts w:ascii="Arial" w:hAnsi="Arial" w:cs="Arial"/>
                <w:sz w:val="16"/>
                <w:szCs w:val="16"/>
              </w:rPr>
              <w:t>Utilities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9BEBBD6" w14:textId="6BA93594" w:rsidR="00BE3A09" w:rsidRPr="00E97142" w:rsidRDefault="00BE3A09" w:rsidP="00BE3A09">
            <w:pPr>
              <w:jc w:val="right"/>
              <w:rPr>
                <w:rFonts w:ascii="Arial" w:hAnsi="Arial" w:cs="Arial"/>
                <w:color w:val="000000"/>
                <w:sz w:val="16"/>
                <w:szCs w:val="16"/>
              </w:rPr>
            </w:pPr>
            <w:r>
              <w:rPr>
                <w:rFonts w:ascii="Arial" w:hAnsi="Arial" w:cs="Arial"/>
                <w:color w:val="000000"/>
                <w:sz w:val="16"/>
                <w:szCs w:val="16"/>
              </w:rPr>
              <w:t>133</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7538A800"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19920F19"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1359F8BE"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DA84F83"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3CFF4129"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773A361"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1A4F7FC8"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6E5D054"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69761AF4" w14:textId="77777777" w:rsidR="00D07369" w:rsidRPr="00E97142" w:rsidRDefault="00D07369" w:rsidP="00255362">
            <w:pPr>
              <w:jc w:val="right"/>
              <w:rPr>
                <w:rFonts w:ascii="Arial" w:hAnsi="Arial" w:cs="Arial"/>
                <w:sz w:val="16"/>
                <w:szCs w:val="16"/>
              </w:rPr>
            </w:pPr>
          </w:p>
        </w:tc>
      </w:tr>
      <w:tr w:rsidR="005438F3" w:rsidRPr="00987D0D" w14:paraId="4E4E9BE6"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02434" w14:textId="27646F60" w:rsidR="00D07369" w:rsidRPr="00987D0D" w:rsidRDefault="00A2612E" w:rsidP="00D07369">
            <w:pPr>
              <w:rPr>
                <w:rFonts w:ascii="Arial" w:hAnsi="Arial" w:cs="Arial"/>
                <w:color w:val="000000"/>
                <w:sz w:val="16"/>
                <w:szCs w:val="16"/>
              </w:rPr>
            </w:pPr>
            <w:r w:rsidRPr="00987D0D">
              <w:rPr>
                <w:rFonts w:ascii="Arial" w:hAnsi="Arial" w:cs="Arial"/>
                <w:b/>
                <w:bCs/>
                <w:sz w:val="16"/>
                <w:szCs w:val="16"/>
              </w:rPr>
              <w:t>Premises</w:t>
            </w:r>
            <w:r w:rsidRPr="00987D0D">
              <w:rPr>
                <w:rFonts w:ascii="Arial" w:hAnsi="Arial" w:cs="Arial"/>
                <w:sz w:val="16"/>
                <w:szCs w:val="16"/>
              </w:rPr>
              <w:t xml:space="preserve">: </w:t>
            </w:r>
            <w:r w:rsidR="00D07369" w:rsidRPr="00987D0D">
              <w:rPr>
                <w:rFonts w:ascii="Arial" w:hAnsi="Arial" w:cs="Arial"/>
                <w:sz w:val="16"/>
                <w:szCs w:val="16"/>
              </w:rPr>
              <w:t>Rent/Rates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DD98D58"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7E105A7B"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46C2801"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54478A00"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7860175"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4AF2CF14"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5FFF097B"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561B9E01"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C8982E5"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426F9908" w14:textId="77777777" w:rsidR="00D07369" w:rsidRPr="00E97142" w:rsidRDefault="00D07369" w:rsidP="00255362">
            <w:pPr>
              <w:jc w:val="right"/>
              <w:rPr>
                <w:rFonts w:ascii="Arial" w:hAnsi="Arial" w:cs="Arial"/>
                <w:sz w:val="16"/>
                <w:szCs w:val="16"/>
              </w:rPr>
            </w:pPr>
          </w:p>
        </w:tc>
      </w:tr>
      <w:tr w:rsidR="005438F3" w:rsidRPr="00987D0D" w14:paraId="3D2B7C41"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391094" w14:textId="531175F0" w:rsidR="00D07369" w:rsidRPr="00987D0D" w:rsidRDefault="00A2612E" w:rsidP="00D07369">
            <w:pPr>
              <w:rPr>
                <w:rFonts w:ascii="Arial" w:hAnsi="Arial" w:cs="Arial"/>
                <w:color w:val="000000"/>
                <w:sz w:val="16"/>
                <w:szCs w:val="16"/>
              </w:rPr>
            </w:pPr>
            <w:r w:rsidRPr="00987D0D">
              <w:rPr>
                <w:rFonts w:ascii="Arial" w:hAnsi="Arial" w:cs="Arial"/>
                <w:b/>
                <w:bCs/>
                <w:sz w:val="16"/>
                <w:szCs w:val="16"/>
              </w:rPr>
              <w:t>Premises</w:t>
            </w:r>
            <w:r w:rsidRPr="00987D0D">
              <w:rPr>
                <w:rFonts w:ascii="Arial" w:hAnsi="Arial" w:cs="Arial"/>
                <w:sz w:val="16"/>
                <w:szCs w:val="16"/>
              </w:rPr>
              <w:t xml:space="preserve">: </w:t>
            </w:r>
            <w:r w:rsidR="00D07369" w:rsidRPr="00987D0D">
              <w:rPr>
                <w:rFonts w:ascii="Arial" w:hAnsi="Arial" w:cs="Arial"/>
                <w:sz w:val="16"/>
                <w:szCs w:val="16"/>
              </w:rPr>
              <w:t>Other Premises Costs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83DE1E0" w14:textId="7C5D5D91" w:rsidR="00D07369" w:rsidRPr="00E97142" w:rsidRDefault="00B11D31" w:rsidP="00255362">
            <w:pPr>
              <w:jc w:val="right"/>
              <w:rPr>
                <w:rFonts w:ascii="Arial" w:hAnsi="Arial" w:cs="Arial"/>
                <w:color w:val="000000"/>
                <w:sz w:val="16"/>
                <w:szCs w:val="16"/>
              </w:rPr>
            </w:pPr>
            <w:r>
              <w:rPr>
                <w:rFonts w:ascii="Arial" w:hAnsi="Arial" w:cs="Arial"/>
                <w:color w:val="000000"/>
                <w:sz w:val="16"/>
                <w:szCs w:val="16"/>
              </w:rPr>
              <w:t>55</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490EF543"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DE3EF98"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0C6B7569"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1183F2C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0E0631B0"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1EACDB8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86F3C95"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0E741F36"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17DE107E" w14:textId="77777777" w:rsidR="00D07369" w:rsidRPr="00E97142" w:rsidRDefault="00D07369" w:rsidP="00255362">
            <w:pPr>
              <w:jc w:val="right"/>
              <w:rPr>
                <w:rFonts w:ascii="Arial" w:hAnsi="Arial" w:cs="Arial"/>
                <w:sz w:val="16"/>
                <w:szCs w:val="16"/>
              </w:rPr>
            </w:pPr>
          </w:p>
        </w:tc>
      </w:tr>
      <w:tr w:rsidR="005438F3" w:rsidRPr="00987D0D" w14:paraId="7E3954E8"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325F1" w14:textId="5FE65DA4" w:rsidR="00D07369" w:rsidRPr="00987D0D" w:rsidRDefault="00A2612E" w:rsidP="00D07369">
            <w:pPr>
              <w:rPr>
                <w:rFonts w:ascii="Arial" w:hAnsi="Arial" w:cs="Arial"/>
                <w:color w:val="000000"/>
                <w:sz w:val="16"/>
                <w:szCs w:val="16"/>
              </w:rPr>
            </w:pPr>
            <w:r w:rsidRPr="00987D0D">
              <w:rPr>
                <w:rFonts w:ascii="Arial" w:hAnsi="Arial" w:cs="Arial"/>
                <w:b/>
                <w:bCs/>
                <w:sz w:val="16"/>
                <w:szCs w:val="16"/>
              </w:rPr>
              <w:t>Premises</w:t>
            </w:r>
            <w:r w:rsidRPr="00987D0D">
              <w:rPr>
                <w:rFonts w:ascii="Arial" w:hAnsi="Arial" w:cs="Arial"/>
                <w:sz w:val="16"/>
                <w:szCs w:val="16"/>
              </w:rPr>
              <w:t xml:space="preserve">: </w:t>
            </w:r>
            <w:r w:rsidR="00D07369" w:rsidRPr="00987D0D">
              <w:rPr>
                <w:rFonts w:ascii="Arial" w:hAnsi="Arial" w:cs="Arial"/>
                <w:sz w:val="16"/>
                <w:szCs w:val="16"/>
              </w:rPr>
              <w:t>Shared Premises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11738098"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17190C3B"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36F6F213"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3AB1970C"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49FC8086"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76DB745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5C0BEBE6"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5065C7C5"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BADBC03"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0312AB11" w14:textId="77777777" w:rsidR="00D07369" w:rsidRPr="00E97142" w:rsidRDefault="00D07369" w:rsidP="00255362">
            <w:pPr>
              <w:jc w:val="right"/>
              <w:rPr>
                <w:rFonts w:ascii="Arial" w:hAnsi="Arial" w:cs="Arial"/>
                <w:sz w:val="16"/>
                <w:szCs w:val="16"/>
              </w:rPr>
            </w:pPr>
          </w:p>
        </w:tc>
      </w:tr>
      <w:tr w:rsidR="005438F3" w:rsidRPr="00987D0D" w14:paraId="674B91BF"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CC50E" w14:textId="392F10B5" w:rsidR="00D07369" w:rsidRPr="00987D0D" w:rsidRDefault="00A2612E" w:rsidP="00D07369">
            <w:pPr>
              <w:rPr>
                <w:rFonts w:ascii="Arial" w:hAnsi="Arial" w:cs="Arial"/>
                <w:color w:val="000000"/>
                <w:sz w:val="16"/>
                <w:szCs w:val="16"/>
              </w:rPr>
            </w:pPr>
            <w:r w:rsidRPr="00987D0D">
              <w:rPr>
                <w:rFonts w:ascii="Arial" w:hAnsi="Arial" w:cs="Arial"/>
                <w:b/>
                <w:bCs/>
                <w:sz w:val="16"/>
                <w:szCs w:val="16"/>
              </w:rPr>
              <w:t xml:space="preserve">Transport: </w:t>
            </w:r>
            <w:r w:rsidR="00D07369" w:rsidRPr="00987D0D">
              <w:rPr>
                <w:rFonts w:ascii="Arial" w:hAnsi="Arial" w:cs="Arial"/>
                <w:sz w:val="16"/>
                <w:szCs w:val="16"/>
              </w:rPr>
              <w:t>Fleet</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690929C" w14:textId="48D0267C" w:rsidR="00D07369" w:rsidRPr="00E97142" w:rsidRDefault="00A9494F" w:rsidP="00255362">
            <w:pPr>
              <w:jc w:val="right"/>
              <w:rPr>
                <w:rFonts w:ascii="Arial" w:hAnsi="Arial" w:cs="Arial"/>
                <w:color w:val="000000"/>
                <w:sz w:val="16"/>
                <w:szCs w:val="16"/>
              </w:rPr>
            </w:pPr>
            <w:r>
              <w:rPr>
                <w:rFonts w:ascii="Arial" w:hAnsi="Arial" w:cs="Arial"/>
                <w:color w:val="000000"/>
                <w:sz w:val="16"/>
                <w:szCs w:val="16"/>
              </w:rPr>
              <w:t>41</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2355536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1B6E2DAE"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6CDB1EB6"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2D36164B"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0F01FD90"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5A692745"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0F14777B"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1F38755D"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53FB35CB" w14:textId="77777777" w:rsidR="00D07369" w:rsidRPr="00E97142" w:rsidRDefault="00D07369" w:rsidP="00255362">
            <w:pPr>
              <w:jc w:val="right"/>
              <w:rPr>
                <w:rFonts w:ascii="Arial" w:hAnsi="Arial" w:cs="Arial"/>
                <w:sz w:val="16"/>
                <w:szCs w:val="16"/>
              </w:rPr>
            </w:pPr>
          </w:p>
        </w:tc>
      </w:tr>
      <w:tr w:rsidR="005438F3" w:rsidRPr="00987D0D" w14:paraId="7FF69D87"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2FA31" w14:textId="17628257" w:rsidR="00D07369" w:rsidRPr="00987D0D" w:rsidRDefault="00A2612E" w:rsidP="00D07369">
            <w:pPr>
              <w:rPr>
                <w:rFonts w:ascii="Arial" w:hAnsi="Arial" w:cs="Arial"/>
                <w:color w:val="000000"/>
                <w:sz w:val="16"/>
                <w:szCs w:val="16"/>
              </w:rPr>
            </w:pPr>
            <w:r w:rsidRPr="00987D0D">
              <w:rPr>
                <w:rFonts w:ascii="Arial" w:hAnsi="Arial" w:cs="Arial"/>
                <w:b/>
                <w:bCs/>
                <w:sz w:val="16"/>
                <w:szCs w:val="16"/>
              </w:rPr>
              <w:t xml:space="preserve">Transport: </w:t>
            </w:r>
            <w:r w:rsidR="00D07369" w:rsidRPr="00987D0D">
              <w:rPr>
                <w:rFonts w:ascii="Arial" w:hAnsi="Arial" w:cs="Arial"/>
                <w:sz w:val="16"/>
                <w:szCs w:val="16"/>
              </w:rPr>
              <w:t>Fuel</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482501EB"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4EC75F39"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19CF927"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0E0F3925"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90FEA19"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7294C0FB"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4FBC5FC8"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08B36C94"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65912F9"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0239D6EB" w14:textId="77777777" w:rsidR="00D07369" w:rsidRPr="00E97142" w:rsidRDefault="00D07369" w:rsidP="00255362">
            <w:pPr>
              <w:jc w:val="right"/>
              <w:rPr>
                <w:rFonts w:ascii="Arial" w:hAnsi="Arial" w:cs="Arial"/>
                <w:sz w:val="16"/>
                <w:szCs w:val="16"/>
              </w:rPr>
            </w:pPr>
          </w:p>
        </w:tc>
      </w:tr>
      <w:tr w:rsidR="005438F3" w:rsidRPr="00987D0D" w14:paraId="0B2C1BEE"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149A5" w14:textId="7BDB83F7" w:rsidR="00D07369" w:rsidRPr="00987D0D" w:rsidRDefault="00A2612E" w:rsidP="00D07369">
            <w:pPr>
              <w:rPr>
                <w:rFonts w:ascii="Arial" w:hAnsi="Arial" w:cs="Arial"/>
                <w:color w:val="000000"/>
                <w:sz w:val="16"/>
                <w:szCs w:val="16"/>
              </w:rPr>
            </w:pPr>
            <w:r w:rsidRPr="00987D0D">
              <w:rPr>
                <w:rFonts w:ascii="Arial" w:hAnsi="Arial" w:cs="Arial"/>
                <w:b/>
                <w:bCs/>
                <w:sz w:val="16"/>
                <w:szCs w:val="16"/>
              </w:rPr>
              <w:t xml:space="preserve">Transport: </w:t>
            </w:r>
            <w:r w:rsidR="00D07369" w:rsidRPr="00987D0D">
              <w:rPr>
                <w:rFonts w:ascii="Arial" w:hAnsi="Arial" w:cs="Arial"/>
                <w:sz w:val="16"/>
                <w:szCs w:val="16"/>
              </w:rPr>
              <w:t>Other Transport Costs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39D3011B"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6EDE2B31"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C2BF474"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1D4DF782"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31D093F"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1BF8999E"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B2A132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082E517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3F8B4FF"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27448842" w14:textId="77777777" w:rsidR="00D07369" w:rsidRPr="00E97142" w:rsidRDefault="00D07369" w:rsidP="00255362">
            <w:pPr>
              <w:jc w:val="right"/>
              <w:rPr>
                <w:rFonts w:ascii="Arial" w:hAnsi="Arial" w:cs="Arial"/>
                <w:sz w:val="16"/>
                <w:szCs w:val="16"/>
              </w:rPr>
            </w:pPr>
          </w:p>
        </w:tc>
      </w:tr>
      <w:tr w:rsidR="005438F3" w:rsidRPr="00987D0D" w14:paraId="145E7FEA"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64C41" w14:textId="1670C2BE" w:rsidR="00D07369" w:rsidRPr="00987D0D" w:rsidRDefault="00627514" w:rsidP="00D07369">
            <w:pPr>
              <w:rPr>
                <w:rFonts w:ascii="Arial" w:hAnsi="Arial" w:cs="Arial"/>
                <w:color w:val="000000"/>
                <w:sz w:val="16"/>
                <w:szCs w:val="16"/>
              </w:rPr>
            </w:pPr>
            <w:r w:rsidRPr="00987D0D">
              <w:rPr>
                <w:rFonts w:ascii="Arial" w:hAnsi="Arial" w:cs="Arial"/>
                <w:b/>
                <w:bCs/>
                <w:sz w:val="16"/>
                <w:szCs w:val="16"/>
              </w:rPr>
              <w:t xml:space="preserve">Supplies and Services: </w:t>
            </w:r>
            <w:r w:rsidR="00D07369" w:rsidRPr="00987D0D">
              <w:rPr>
                <w:rFonts w:ascii="Arial" w:hAnsi="Arial" w:cs="Arial"/>
                <w:sz w:val="16"/>
                <w:szCs w:val="16"/>
              </w:rPr>
              <w:t>National Procurement Savings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BB80CF0"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5ED53D49" w14:textId="41AAD0DA" w:rsidR="00D07369" w:rsidRPr="00E97142" w:rsidRDefault="001D02D1" w:rsidP="00255362">
            <w:pPr>
              <w:jc w:val="right"/>
              <w:rPr>
                <w:rFonts w:ascii="Arial" w:hAnsi="Arial" w:cs="Arial"/>
                <w:sz w:val="16"/>
                <w:szCs w:val="16"/>
              </w:rPr>
            </w:pPr>
            <w:r>
              <w:rPr>
                <w:rFonts w:ascii="Arial" w:hAnsi="Arial" w:cs="Arial"/>
                <w:sz w:val="16"/>
                <w:szCs w:val="16"/>
              </w:rPr>
              <w:t>26</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359CFB27"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625BD4A4"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7F990B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3C32717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6387F2E"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073FF72"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D1B9C72"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174D87C6" w14:textId="77777777" w:rsidR="00D07369" w:rsidRPr="00E97142" w:rsidRDefault="00D07369" w:rsidP="00255362">
            <w:pPr>
              <w:jc w:val="right"/>
              <w:rPr>
                <w:rFonts w:ascii="Arial" w:hAnsi="Arial" w:cs="Arial"/>
                <w:sz w:val="16"/>
                <w:szCs w:val="16"/>
              </w:rPr>
            </w:pPr>
          </w:p>
        </w:tc>
      </w:tr>
      <w:tr w:rsidR="005438F3" w:rsidRPr="00987D0D" w14:paraId="3C41F79B"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CE802" w14:textId="7EEBA898" w:rsidR="00D07369" w:rsidRPr="00987D0D" w:rsidRDefault="00627514" w:rsidP="00D07369">
            <w:pPr>
              <w:rPr>
                <w:rFonts w:ascii="Arial" w:hAnsi="Arial" w:cs="Arial"/>
                <w:color w:val="000000"/>
                <w:sz w:val="16"/>
                <w:szCs w:val="16"/>
              </w:rPr>
            </w:pPr>
            <w:r w:rsidRPr="00987D0D">
              <w:rPr>
                <w:rFonts w:ascii="Arial" w:hAnsi="Arial" w:cs="Arial"/>
                <w:b/>
                <w:bCs/>
                <w:sz w:val="16"/>
                <w:szCs w:val="16"/>
              </w:rPr>
              <w:t xml:space="preserve">Supplies and Services: </w:t>
            </w:r>
            <w:r w:rsidR="00D07369" w:rsidRPr="00987D0D">
              <w:rPr>
                <w:rFonts w:ascii="Arial" w:hAnsi="Arial" w:cs="Arial"/>
                <w:sz w:val="16"/>
                <w:szCs w:val="16"/>
              </w:rPr>
              <w:t>Local Procurement Savings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19FD722A"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2B117C24" w14:textId="6A849E4B" w:rsidR="00D07369" w:rsidRPr="00E97142" w:rsidRDefault="0030151C" w:rsidP="00255362">
            <w:pPr>
              <w:jc w:val="right"/>
              <w:rPr>
                <w:rFonts w:ascii="Arial" w:hAnsi="Arial" w:cs="Arial"/>
                <w:sz w:val="16"/>
                <w:szCs w:val="16"/>
              </w:rPr>
            </w:pPr>
            <w:r>
              <w:rPr>
                <w:rFonts w:ascii="Arial" w:hAnsi="Arial" w:cs="Arial"/>
                <w:sz w:val="16"/>
                <w:szCs w:val="16"/>
              </w:rPr>
              <w:t>26</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8D44479"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6253B62A"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40804BCA"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14E858C1"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30A1ABD2"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45496A9C"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C8BBBEA"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07B4C04D" w14:textId="77777777" w:rsidR="00D07369" w:rsidRPr="00E97142" w:rsidRDefault="00D07369" w:rsidP="00255362">
            <w:pPr>
              <w:jc w:val="right"/>
              <w:rPr>
                <w:rFonts w:ascii="Arial" w:hAnsi="Arial" w:cs="Arial"/>
                <w:sz w:val="16"/>
                <w:szCs w:val="16"/>
              </w:rPr>
            </w:pPr>
          </w:p>
        </w:tc>
      </w:tr>
      <w:tr w:rsidR="005438F3" w:rsidRPr="00987D0D" w14:paraId="2DD24C0D"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443A8" w14:textId="31AFCA8D" w:rsidR="00D07369" w:rsidRPr="00987D0D" w:rsidRDefault="00627514" w:rsidP="00D07369">
            <w:pPr>
              <w:rPr>
                <w:rFonts w:ascii="Arial" w:hAnsi="Arial" w:cs="Arial"/>
                <w:color w:val="000000"/>
                <w:sz w:val="16"/>
                <w:szCs w:val="16"/>
              </w:rPr>
            </w:pPr>
            <w:r w:rsidRPr="00987D0D">
              <w:rPr>
                <w:rFonts w:ascii="Arial" w:hAnsi="Arial" w:cs="Arial"/>
                <w:b/>
                <w:bCs/>
                <w:sz w:val="16"/>
                <w:szCs w:val="16"/>
              </w:rPr>
              <w:lastRenderedPageBreak/>
              <w:t xml:space="preserve">Supplies and Services: </w:t>
            </w:r>
            <w:r w:rsidR="00D07369" w:rsidRPr="00987D0D">
              <w:rPr>
                <w:rFonts w:ascii="Arial" w:hAnsi="Arial" w:cs="Arial"/>
                <w:sz w:val="16"/>
                <w:szCs w:val="16"/>
              </w:rPr>
              <w:t>Other Technology Improvements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DF46B83" w14:textId="62F9319E" w:rsidR="00D07369" w:rsidRPr="00E97142" w:rsidRDefault="0086474C" w:rsidP="00255362">
            <w:pPr>
              <w:jc w:val="right"/>
              <w:rPr>
                <w:rFonts w:ascii="Arial" w:hAnsi="Arial" w:cs="Arial"/>
                <w:color w:val="000000"/>
                <w:sz w:val="16"/>
                <w:szCs w:val="16"/>
              </w:rPr>
            </w:pPr>
            <w:r>
              <w:rPr>
                <w:rFonts w:ascii="Arial" w:hAnsi="Arial" w:cs="Arial"/>
                <w:color w:val="000000"/>
                <w:sz w:val="16"/>
                <w:szCs w:val="16"/>
              </w:rPr>
              <w:t>9</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74CD2E38" w14:textId="2B6D7999"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E730BEE"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1E9DB7C1"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239F1832"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296FE8AB"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453DABEE"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9F9B20F"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B30D92B"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0C0819CC" w14:textId="77777777" w:rsidR="00D07369" w:rsidRPr="00E97142" w:rsidRDefault="00D07369" w:rsidP="00255362">
            <w:pPr>
              <w:jc w:val="right"/>
              <w:rPr>
                <w:rFonts w:ascii="Arial" w:hAnsi="Arial" w:cs="Arial"/>
                <w:sz w:val="16"/>
                <w:szCs w:val="16"/>
              </w:rPr>
            </w:pPr>
          </w:p>
        </w:tc>
      </w:tr>
      <w:tr w:rsidR="005438F3" w:rsidRPr="00987D0D" w14:paraId="6EFF40ED"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BAC92" w14:textId="3FFA5C76" w:rsidR="00D07369" w:rsidRPr="00987D0D" w:rsidRDefault="00627514" w:rsidP="00D07369">
            <w:pPr>
              <w:rPr>
                <w:rFonts w:ascii="Arial" w:hAnsi="Arial" w:cs="Arial"/>
                <w:color w:val="000000"/>
                <w:sz w:val="16"/>
                <w:szCs w:val="16"/>
              </w:rPr>
            </w:pPr>
            <w:r w:rsidRPr="00987D0D">
              <w:rPr>
                <w:rFonts w:ascii="Arial" w:hAnsi="Arial" w:cs="Arial"/>
                <w:b/>
                <w:bCs/>
                <w:sz w:val="16"/>
                <w:szCs w:val="16"/>
              </w:rPr>
              <w:t xml:space="preserve">Supplies and Services: </w:t>
            </w:r>
            <w:r w:rsidR="00D07369" w:rsidRPr="00987D0D">
              <w:rPr>
                <w:rFonts w:ascii="Arial" w:hAnsi="Arial" w:cs="Arial"/>
                <w:sz w:val="16"/>
                <w:szCs w:val="16"/>
              </w:rPr>
              <w:t>Decreased Usage</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03841AA" w14:textId="77777777" w:rsidR="00D07369" w:rsidRPr="00E97142" w:rsidRDefault="00D07369"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393C14DD"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0F930BC" w14:textId="4576FE23" w:rsidR="00D07369" w:rsidRPr="00E97142" w:rsidRDefault="0015242A" w:rsidP="00255362">
            <w:pPr>
              <w:jc w:val="right"/>
              <w:rPr>
                <w:rFonts w:ascii="Arial" w:hAnsi="Arial" w:cs="Arial"/>
                <w:color w:val="000000"/>
                <w:sz w:val="16"/>
                <w:szCs w:val="16"/>
              </w:rPr>
            </w:pPr>
            <w:r>
              <w:rPr>
                <w:rFonts w:ascii="Arial" w:hAnsi="Arial" w:cs="Arial"/>
                <w:color w:val="000000"/>
                <w:sz w:val="16"/>
                <w:szCs w:val="16"/>
              </w:rPr>
              <w:t>38</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02CF7CF5" w14:textId="07240285" w:rsidR="00D07369" w:rsidRPr="00E97142" w:rsidRDefault="0015242A" w:rsidP="00255362">
            <w:pPr>
              <w:jc w:val="right"/>
              <w:rPr>
                <w:rFonts w:ascii="Arial" w:hAnsi="Arial" w:cs="Arial"/>
                <w:color w:val="000000"/>
                <w:sz w:val="16"/>
                <w:szCs w:val="16"/>
              </w:rPr>
            </w:pPr>
            <w:r>
              <w:rPr>
                <w:rFonts w:ascii="Arial" w:hAnsi="Arial" w:cs="Arial"/>
                <w:color w:val="000000"/>
                <w:sz w:val="16"/>
                <w:szCs w:val="16"/>
              </w:rPr>
              <w:t>27</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6CF9829E"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3B14C968"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77F7BD1"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0BDBD04"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A093637" w14:textId="77777777" w:rsidR="00D07369" w:rsidRPr="00E97142" w:rsidRDefault="00D07369"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7E71CE2B" w14:textId="77777777" w:rsidR="00D07369" w:rsidRPr="00E97142" w:rsidRDefault="00D07369" w:rsidP="00255362">
            <w:pPr>
              <w:jc w:val="right"/>
              <w:rPr>
                <w:rFonts w:ascii="Arial" w:hAnsi="Arial" w:cs="Arial"/>
                <w:sz w:val="16"/>
                <w:szCs w:val="16"/>
              </w:rPr>
            </w:pPr>
          </w:p>
        </w:tc>
      </w:tr>
      <w:tr w:rsidR="005438F3" w:rsidRPr="00987D0D" w14:paraId="1F03F85B"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3FF9E8" w14:textId="04FEC97F" w:rsidR="007D4207" w:rsidRPr="00987D0D" w:rsidRDefault="00627514" w:rsidP="007D4207">
            <w:pPr>
              <w:rPr>
                <w:rFonts w:ascii="Arial" w:hAnsi="Arial" w:cs="Arial"/>
                <w:sz w:val="16"/>
                <w:szCs w:val="16"/>
              </w:rPr>
            </w:pPr>
            <w:r w:rsidRPr="00987D0D">
              <w:rPr>
                <w:rFonts w:ascii="Arial" w:hAnsi="Arial" w:cs="Arial"/>
                <w:b/>
                <w:bCs/>
                <w:sz w:val="16"/>
                <w:szCs w:val="16"/>
              </w:rPr>
              <w:t xml:space="preserve">Capital Financing: </w:t>
            </w:r>
            <w:r w:rsidR="007D4207" w:rsidRPr="00987D0D">
              <w:rPr>
                <w:rFonts w:ascii="Arial" w:hAnsi="Arial" w:cs="Arial"/>
                <w:sz w:val="16"/>
                <w:szCs w:val="16"/>
              </w:rPr>
              <w:t>Revenue Expenditure Charged to Capital</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B63289F" w14:textId="77777777" w:rsidR="007D4207" w:rsidRPr="00E97142" w:rsidRDefault="007D4207"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261A58D2" w14:textId="252825A8" w:rsidR="007D4207" w:rsidRPr="00E97142" w:rsidRDefault="0030151C" w:rsidP="00255362">
            <w:pPr>
              <w:jc w:val="right"/>
              <w:rPr>
                <w:rFonts w:ascii="Arial" w:hAnsi="Arial" w:cs="Arial"/>
                <w:sz w:val="16"/>
                <w:szCs w:val="16"/>
              </w:rPr>
            </w:pPr>
            <w:r>
              <w:rPr>
                <w:rFonts w:ascii="Arial" w:hAnsi="Arial" w:cs="Arial"/>
                <w:sz w:val="16"/>
                <w:szCs w:val="16"/>
              </w:rPr>
              <w:t>220</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BCE29E8" w14:textId="77777777" w:rsidR="007D4207" w:rsidRPr="00E97142" w:rsidRDefault="007D4207"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0F2A9D46" w14:textId="440213A1" w:rsidR="007D4207" w:rsidRPr="00E97142" w:rsidRDefault="00266247" w:rsidP="00255362">
            <w:pPr>
              <w:jc w:val="right"/>
              <w:rPr>
                <w:rFonts w:ascii="Arial" w:hAnsi="Arial" w:cs="Arial"/>
                <w:color w:val="000000"/>
                <w:sz w:val="16"/>
                <w:szCs w:val="16"/>
              </w:rPr>
            </w:pPr>
            <w:r>
              <w:rPr>
                <w:rFonts w:ascii="Arial" w:hAnsi="Arial" w:cs="Arial"/>
                <w:color w:val="000000"/>
                <w:sz w:val="16"/>
                <w:szCs w:val="16"/>
              </w:rPr>
              <w:t>1051</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0E040CC" w14:textId="17647CD5" w:rsidR="007D4207" w:rsidRPr="00E97142" w:rsidRDefault="00D94D23" w:rsidP="00255362">
            <w:pPr>
              <w:jc w:val="right"/>
              <w:rPr>
                <w:rFonts w:ascii="Arial" w:hAnsi="Arial" w:cs="Arial"/>
                <w:sz w:val="16"/>
                <w:szCs w:val="16"/>
              </w:rPr>
            </w:pPr>
            <w:r>
              <w:rPr>
                <w:rFonts w:ascii="Arial" w:hAnsi="Arial" w:cs="Arial"/>
                <w:sz w:val="16"/>
                <w:szCs w:val="16"/>
              </w:rPr>
              <w:t>586</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6622BF0E" w14:textId="662C8712" w:rsidR="007D4207" w:rsidRPr="00E97142" w:rsidRDefault="00D94D23" w:rsidP="00255362">
            <w:pPr>
              <w:jc w:val="right"/>
              <w:rPr>
                <w:rFonts w:ascii="Arial" w:hAnsi="Arial" w:cs="Arial"/>
                <w:sz w:val="16"/>
                <w:szCs w:val="16"/>
              </w:rPr>
            </w:pPr>
            <w:r>
              <w:rPr>
                <w:rFonts w:ascii="Arial" w:hAnsi="Arial" w:cs="Arial"/>
                <w:sz w:val="16"/>
                <w:szCs w:val="16"/>
              </w:rPr>
              <w:t>817</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5E085A1F" w14:textId="117A86C8" w:rsidR="007D4207" w:rsidRPr="00E97142" w:rsidRDefault="00D94D23" w:rsidP="00255362">
            <w:pPr>
              <w:jc w:val="right"/>
              <w:rPr>
                <w:rFonts w:ascii="Arial" w:hAnsi="Arial" w:cs="Arial"/>
                <w:sz w:val="16"/>
                <w:szCs w:val="16"/>
              </w:rPr>
            </w:pPr>
            <w:r>
              <w:rPr>
                <w:rFonts w:ascii="Arial" w:hAnsi="Arial" w:cs="Arial"/>
                <w:sz w:val="16"/>
                <w:szCs w:val="16"/>
              </w:rPr>
              <w:t>38</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01762F88" w14:textId="62005A0F" w:rsidR="007D4207" w:rsidRPr="00E97142" w:rsidRDefault="00D94D23" w:rsidP="00255362">
            <w:pPr>
              <w:jc w:val="right"/>
              <w:rPr>
                <w:rFonts w:ascii="Arial" w:hAnsi="Arial" w:cs="Arial"/>
                <w:sz w:val="16"/>
                <w:szCs w:val="16"/>
              </w:rPr>
            </w:pPr>
            <w:r>
              <w:rPr>
                <w:rFonts w:ascii="Arial" w:hAnsi="Arial" w:cs="Arial"/>
                <w:sz w:val="16"/>
                <w:szCs w:val="16"/>
              </w:rPr>
              <w:t>200</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E0A26D6" w14:textId="428BE9DC" w:rsidR="007D4207" w:rsidRPr="00E97142" w:rsidRDefault="00D94D23" w:rsidP="00255362">
            <w:pPr>
              <w:jc w:val="right"/>
              <w:rPr>
                <w:rFonts w:ascii="Arial" w:hAnsi="Arial" w:cs="Arial"/>
                <w:sz w:val="16"/>
                <w:szCs w:val="16"/>
              </w:rPr>
            </w:pPr>
            <w:r>
              <w:rPr>
                <w:rFonts w:ascii="Arial" w:hAnsi="Arial" w:cs="Arial"/>
                <w:sz w:val="16"/>
                <w:szCs w:val="16"/>
              </w:rPr>
              <w:t>6</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56809C96" w14:textId="2157D6C7" w:rsidR="007D4207" w:rsidRPr="00E97142" w:rsidRDefault="00D94D23" w:rsidP="00255362">
            <w:pPr>
              <w:jc w:val="right"/>
              <w:rPr>
                <w:rFonts w:ascii="Arial" w:hAnsi="Arial" w:cs="Arial"/>
                <w:sz w:val="16"/>
                <w:szCs w:val="16"/>
              </w:rPr>
            </w:pPr>
            <w:r>
              <w:rPr>
                <w:rFonts w:ascii="Arial" w:hAnsi="Arial" w:cs="Arial"/>
                <w:sz w:val="16"/>
                <w:szCs w:val="16"/>
              </w:rPr>
              <w:t>200</w:t>
            </w:r>
          </w:p>
        </w:tc>
      </w:tr>
      <w:tr w:rsidR="005438F3" w:rsidRPr="00987D0D" w14:paraId="7FEFBE4B"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1BE6D" w14:textId="3D84BED1" w:rsidR="007D4207" w:rsidRPr="00987D0D" w:rsidRDefault="00627514" w:rsidP="007D4207">
            <w:pPr>
              <w:rPr>
                <w:rFonts w:ascii="Arial" w:hAnsi="Arial" w:cs="Arial"/>
                <w:sz w:val="16"/>
                <w:szCs w:val="16"/>
              </w:rPr>
            </w:pPr>
            <w:r w:rsidRPr="00987D0D">
              <w:rPr>
                <w:rFonts w:ascii="Arial" w:hAnsi="Arial" w:cs="Arial"/>
                <w:b/>
                <w:bCs/>
                <w:sz w:val="16"/>
                <w:szCs w:val="16"/>
              </w:rPr>
              <w:t xml:space="preserve">Capital Financing: </w:t>
            </w:r>
            <w:r w:rsidR="007D4207" w:rsidRPr="00987D0D">
              <w:rPr>
                <w:rFonts w:ascii="Arial" w:hAnsi="Arial" w:cs="Arial"/>
                <w:sz w:val="16"/>
                <w:szCs w:val="16"/>
              </w:rPr>
              <w:t>Net Borrowing Costs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6F33870" w14:textId="77777777" w:rsidR="007D4207" w:rsidRPr="00E97142" w:rsidRDefault="007D4207"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3BC8D630" w14:textId="77777777" w:rsidR="007D4207" w:rsidRPr="00E97142" w:rsidRDefault="007D4207"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22CDBD71" w14:textId="77777777" w:rsidR="007D4207" w:rsidRPr="00E97142" w:rsidRDefault="007D4207"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49E94EE6" w14:textId="77777777" w:rsidR="007D4207" w:rsidRPr="00E97142" w:rsidRDefault="007D4207" w:rsidP="00255362">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1684A5E6" w14:textId="77777777" w:rsidR="007D4207" w:rsidRPr="00E97142" w:rsidRDefault="007D4207"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79DD21F2" w14:textId="77777777" w:rsidR="007D4207" w:rsidRPr="00E97142" w:rsidRDefault="007D4207"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336C465D" w14:textId="77777777" w:rsidR="007D4207" w:rsidRPr="00E97142" w:rsidRDefault="007D4207"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5BD42497" w14:textId="77777777" w:rsidR="007D4207" w:rsidRPr="00E97142" w:rsidRDefault="007D4207"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48CA7A5" w14:textId="77777777" w:rsidR="007D4207" w:rsidRPr="00E97142" w:rsidRDefault="007D4207" w:rsidP="00255362">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53084945" w14:textId="77777777" w:rsidR="007D4207" w:rsidRPr="00E97142" w:rsidRDefault="007D4207" w:rsidP="00255362">
            <w:pPr>
              <w:jc w:val="right"/>
              <w:rPr>
                <w:rFonts w:ascii="Arial" w:hAnsi="Arial" w:cs="Arial"/>
                <w:sz w:val="16"/>
                <w:szCs w:val="16"/>
              </w:rPr>
            </w:pPr>
          </w:p>
        </w:tc>
      </w:tr>
      <w:tr w:rsidR="005438F3" w:rsidRPr="00987D0D" w14:paraId="4D1DED80"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56B99" w14:textId="2C11AE0A" w:rsidR="005B7640" w:rsidRPr="00987D0D" w:rsidRDefault="005B7640" w:rsidP="007D4207">
            <w:pPr>
              <w:rPr>
                <w:rFonts w:ascii="Arial" w:hAnsi="Arial" w:cs="Arial"/>
                <w:b/>
                <w:bCs/>
                <w:sz w:val="16"/>
                <w:szCs w:val="16"/>
              </w:rPr>
            </w:pPr>
            <w:r w:rsidRPr="00987D0D">
              <w:rPr>
                <w:rFonts w:ascii="Arial" w:hAnsi="Arial" w:cs="Arial"/>
                <w:b/>
                <w:bCs/>
                <w:sz w:val="16"/>
                <w:szCs w:val="16"/>
              </w:rPr>
              <w:t>Total</w:t>
            </w:r>
            <w:r w:rsidR="00AF53AE" w:rsidRPr="00987D0D">
              <w:rPr>
                <w:rFonts w:ascii="Arial" w:hAnsi="Arial" w:cs="Arial"/>
                <w:b/>
                <w:bCs/>
                <w:sz w:val="16"/>
                <w:szCs w:val="16"/>
              </w:rPr>
              <w:t xml:space="preserve"> Savings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3BCDAAEB" w14:textId="559C35B1" w:rsidR="005B7640" w:rsidRPr="00E97142" w:rsidRDefault="00F06C0B" w:rsidP="00255362">
            <w:pPr>
              <w:jc w:val="right"/>
              <w:rPr>
                <w:rFonts w:ascii="Arial" w:hAnsi="Arial" w:cs="Arial"/>
                <w:b/>
                <w:bCs/>
                <w:color w:val="000000"/>
                <w:sz w:val="16"/>
                <w:szCs w:val="16"/>
              </w:rPr>
            </w:pPr>
            <w:r>
              <w:rPr>
                <w:rFonts w:ascii="Arial" w:hAnsi="Arial" w:cs="Arial"/>
                <w:b/>
                <w:bCs/>
                <w:color w:val="000000"/>
                <w:sz w:val="16"/>
                <w:szCs w:val="16"/>
              </w:rPr>
              <w:t>824</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5C22C725" w14:textId="43A099AE" w:rsidR="005B7640" w:rsidRPr="00E97142" w:rsidRDefault="00A32888" w:rsidP="00255362">
            <w:pPr>
              <w:jc w:val="right"/>
              <w:rPr>
                <w:rFonts w:ascii="Arial" w:hAnsi="Arial" w:cs="Arial"/>
                <w:b/>
                <w:bCs/>
                <w:sz w:val="16"/>
                <w:szCs w:val="16"/>
              </w:rPr>
            </w:pPr>
            <w:r>
              <w:rPr>
                <w:rFonts w:ascii="Arial" w:hAnsi="Arial" w:cs="Arial"/>
                <w:b/>
                <w:bCs/>
                <w:sz w:val="16"/>
                <w:szCs w:val="16"/>
              </w:rPr>
              <w:t>272</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3D3EC51C" w14:textId="7523F4BA" w:rsidR="005B7640" w:rsidRPr="00E97142" w:rsidRDefault="009F42EA" w:rsidP="00255362">
            <w:pPr>
              <w:jc w:val="right"/>
              <w:rPr>
                <w:rFonts w:ascii="Arial" w:hAnsi="Arial" w:cs="Arial"/>
                <w:b/>
                <w:bCs/>
                <w:color w:val="000000"/>
                <w:sz w:val="16"/>
                <w:szCs w:val="16"/>
              </w:rPr>
            </w:pPr>
            <w:r>
              <w:rPr>
                <w:rFonts w:ascii="Arial" w:hAnsi="Arial" w:cs="Arial"/>
                <w:b/>
                <w:bCs/>
                <w:color w:val="000000"/>
                <w:sz w:val="16"/>
                <w:szCs w:val="16"/>
              </w:rPr>
              <w:t>569</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2C1CA7E1" w14:textId="03840B77" w:rsidR="005B7640" w:rsidRPr="00E97142" w:rsidRDefault="00F507A1" w:rsidP="00255362">
            <w:pPr>
              <w:jc w:val="right"/>
              <w:rPr>
                <w:rFonts w:ascii="Arial" w:hAnsi="Arial" w:cs="Arial"/>
                <w:b/>
                <w:bCs/>
                <w:color w:val="000000"/>
                <w:sz w:val="16"/>
                <w:szCs w:val="16"/>
              </w:rPr>
            </w:pPr>
            <w:r>
              <w:rPr>
                <w:rFonts w:ascii="Arial" w:hAnsi="Arial" w:cs="Arial"/>
                <w:b/>
                <w:bCs/>
                <w:color w:val="000000"/>
                <w:sz w:val="16"/>
                <w:szCs w:val="16"/>
              </w:rPr>
              <w:t>1</w:t>
            </w:r>
            <w:r w:rsidR="00BC78B9">
              <w:rPr>
                <w:rFonts w:ascii="Arial" w:hAnsi="Arial" w:cs="Arial"/>
                <w:b/>
                <w:bCs/>
                <w:color w:val="000000"/>
                <w:sz w:val="16"/>
                <w:szCs w:val="16"/>
              </w:rPr>
              <w:t>,</w:t>
            </w:r>
            <w:r>
              <w:rPr>
                <w:rFonts w:ascii="Arial" w:hAnsi="Arial" w:cs="Arial"/>
                <w:b/>
                <w:bCs/>
                <w:color w:val="000000"/>
                <w:sz w:val="16"/>
                <w:szCs w:val="16"/>
              </w:rPr>
              <w:t>078</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62611B02" w14:textId="6F01D608" w:rsidR="005B7640" w:rsidRPr="00E97142" w:rsidRDefault="000203EE" w:rsidP="00255362">
            <w:pPr>
              <w:jc w:val="right"/>
              <w:rPr>
                <w:rFonts w:ascii="Arial" w:hAnsi="Arial" w:cs="Arial"/>
                <w:b/>
                <w:bCs/>
                <w:sz w:val="16"/>
                <w:szCs w:val="16"/>
              </w:rPr>
            </w:pPr>
            <w:r>
              <w:rPr>
                <w:rFonts w:ascii="Arial" w:hAnsi="Arial" w:cs="Arial"/>
                <w:b/>
                <w:bCs/>
                <w:sz w:val="16"/>
                <w:szCs w:val="16"/>
              </w:rPr>
              <w:t>2</w:t>
            </w:r>
            <w:r w:rsidR="00BC78B9">
              <w:rPr>
                <w:rFonts w:ascii="Arial" w:hAnsi="Arial" w:cs="Arial"/>
                <w:b/>
                <w:bCs/>
                <w:sz w:val="16"/>
                <w:szCs w:val="16"/>
              </w:rPr>
              <w:t>,</w:t>
            </w:r>
            <w:r>
              <w:rPr>
                <w:rFonts w:ascii="Arial" w:hAnsi="Arial" w:cs="Arial"/>
                <w:b/>
                <w:bCs/>
                <w:sz w:val="16"/>
                <w:szCs w:val="16"/>
              </w:rPr>
              <w:t>656</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42560560" w14:textId="7325D788" w:rsidR="005B7640" w:rsidRPr="00E97142" w:rsidRDefault="00650E6E" w:rsidP="00255362">
            <w:pPr>
              <w:jc w:val="right"/>
              <w:rPr>
                <w:rFonts w:ascii="Arial" w:hAnsi="Arial" w:cs="Arial"/>
                <w:b/>
                <w:bCs/>
                <w:sz w:val="16"/>
                <w:szCs w:val="16"/>
              </w:rPr>
            </w:pPr>
            <w:r>
              <w:rPr>
                <w:rFonts w:ascii="Arial" w:hAnsi="Arial" w:cs="Arial"/>
                <w:b/>
                <w:bCs/>
                <w:sz w:val="16"/>
                <w:szCs w:val="16"/>
              </w:rPr>
              <w:t>817</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919120F" w14:textId="1846A305" w:rsidR="005B7640" w:rsidRPr="00E97142" w:rsidRDefault="00BC78B9" w:rsidP="00255362">
            <w:pPr>
              <w:jc w:val="right"/>
              <w:rPr>
                <w:rFonts w:ascii="Arial" w:hAnsi="Arial" w:cs="Arial"/>
                <w:b/>
                <w:bCs/>
                <w:sz w:val="16"/>
                <w:szCs w:val="16"/>
              </w:rPr>
            </w:pPr>
            <w:r>
              <w:rPr>
                <w:rFonts w:ascii="Arial" w:hAnsi="Arial" w:cs="Arial"/>
                <w:b/>
                <w:bCs/>
                <w:sz w:val="16"/>
                <w:szCs w:val="16"/>
              </w:rPr>
              <w:t>38</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51D6AFA7" w14:textId="0E86DE62" w:rsidR="005B7640" w:rsidRPr="00E97142" w:rsidRDefault="00BC78B9" w:rsidP="00255362">
            <w:pPr>
              <w:jc w:val="right"/>
              <w:rPr>
                <w:rFonts w:ascii="Arial" w:hAnsi="Arial" w:cs="Arial"/>
                <w:b/>
                <w:bCs/>
                <w:sz w:val="16"/>
                <w:szCs w:val="16"/>
              </w:rPr>
            </w:pPr>
            <w:r>
              <w:rPr>
                <w:rFonts w:ascii="Arial" w:hAnsi="Arial" w:cs="Arial"/>
                <w:b/>
                <w:bCs/>
                <w:sz w:val="16"/>
                <w:szCs w:val="16"/>
              </w:rPr>
              <w:t>200</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341D6A38" w14:textId="670E0448" w:rsidR="005B7640" w:rsidRPr="00E97142" w:rsidRDefault="00BC78B9" w:rsidP="00255362">
            <w:pPr>
              <w:jc w:val="right"/>
              <w:rPr>
                <w:rFonts w:ascii="Arial" w:hAnsi="Arial" w:cs="Arial"/>
                <w:b/>
                <w:bCs/>
                <w:sz w:val="16"/>
                <w:szCs w:val="16"/>
              </w:rPr>
            </w:pPr>
            <w:r>
              <w:rPr>
                <w:rFonts w:ascii="Arial" w:hAnsi="Arial" w:cs="Arial"/>
                <w:b/>
                <w:bCs/>
                <w:sz w:val="16"/>
                <w:szCs w:val="16"/>
              </w:rPr>
              <w:t>6</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6780A3EF" w14:textId="68F2FC03" w:rsidR="005B7640" w:rsidRPr="00E97142" w:rsidRDefault="00BC78B9" w:rsidP="00255362">
            <w:pPr>
              <w:jc w:val="right"/>
              <w:rPr>
                <w:rFonts w:ascii="Arial" w:hAnsi="Arial" w:cs="Arial"/>
                <w:b/>
                <w:bCs/>
                <w:sz w:val="16"/>
                <w:szCs w:val="16"/>
              </w:rPr>
            </w:pPr>
            <w:r>
              <w:rPr>
                <w:rFonts w:ascii="Arial" w:hAnsi="Arial" w:cs="Arial"/>
                <w:b/>
                <w:bCs/>
                <w:sz w:val="16"/>
                <w:szCs w:val="16"/>
              </w:rPr>
              <w:t>200</w:t>
            </w:r>
          </w:p>
        </w:tc>
      </w:tr>
      <w:tr w:rsidR="00BC78B9" w:rsidRPr="00987D0D" w14:paraId="035E2BDA" w14:textId="77777777" w:rsidTr="0025536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857334" w14:textId="62FF3A9B" w:rsidR="00BC78B9" w:rsidRPr="00987D0D" w:rsidRDefault="00BC78B9" w:rsidP="00BC78B9">
            <w:pPr>
              <w:rPr>
                <w:rFonts w:ascii="Arial" w:hAnsi="Arial" w:cs="Arial"/>
                <w:b/>
                <w:bCs/>
                <w:sz w:val="16"/>
                <w:szCs w:val="16"/>
              </w:rPr>
            </w:pPr>
            <w:r w:rsidRPr="00987D0D">
              <w:rPr>
                <w:rFonts w:ascii="Arial" w:hAnsi="Arial" w:cs="Arial"/>
                <w:b/>
                <w:bCs/>
                <w:sz w:val="16"/>
                <w:szCs w:val="16"/>
              </w:rPr>
              <w:t>Total Savings (excluding direct employee savings)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45A16C2E" w14:textId="10DA538B" w:rsidR="00BC78B9" w:rsidRPr="00E97142" w:rsidRDefault="00BC78B9" w:rsidP="00BC78B9">
            <w:pPr>
              <w:jc w:val="right"/>
              <w:rPr>
                <w:rFonts w:ascii="Arial" w:hAnsi="Arial" w:cs="Arial"/>
                <w:b/>
                <w:bCs/>
                <w:color w:val="000000"/>
                <w:sz w:val="16"/>
                <w:szCs w:val="16"/>
              </w:rPr>
            </w:pPr>
            <w:r>
              <w:rPr>
                <w:rFonts w:ascii="Arial" w:hAnsi="Arial" w:cs="Arial"/>
                <w:b/>
                <w:bCs/>
                <w:color w:val="000000"/>
                <w:sz w:val="16"/>
                <w:szCs w:val="16"/>
              </w:rPr>
              <w:t>238</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5CBFF5D4" w14:textId="378B6629" w:rsidR="00BC78B9" w:rsidRPr="00E97142" w:rsidRDefault="00BC78B9" w:rsidP="00BC78B9">
            <w:pPr>
              <w:jc w:val="right"/>
              <w:rPr>
                <w:rFonts w:ascii="Arial" w:hAnsi="Arial" w:cs="Arial"/>
                <w:b/>
                <w:bCs/>
                <w:sz w:val="16"/>
                <w:szCs w:val="16"/>
              </w:rPr>
            </w:pPr>
            <w:r>
              <w:rPr>
                <w:rFonts w:ascii="Arial" w:hAnsi="Arial" w:cs="Arial"/>
                <w:b/>
                <w:bCs/>
                <w:sz w:val="16"/>
                <w:szCs w:val="16"/>
              </w:rPr>
              <w:t>272</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4B46AD0B" w14:textId="2091B49F" w:rsidR="00BC78B9" w:rsidRPr="00E97142" w:rsidRDefault="00BC78B9" w:rsidP="00BC78B9">
            <w:pPr>
              <w:jc w:val="right"/>
              <w:rPr>
                <w:rFonts w:ascii="Arial" w:hAnsi="Arial" w:cs="Arial"/>
                <w:b/>
                <w:bCs/>
                <w:color w:val="000000"/>
                <w:sz w:val="16"/>
                <w:szCs w:val="16"/>
              </w:rPr>
            </w:pPr>
            <w:r>
              <w:rPr>
                <w:rFonts w:ascii="Arial" w:hAnsi="Arial" w:cs="Arial"/>
                <w:b/>
                <w:bCs/>
                <w:color w:val="000000"/>
                <w:sz w:val="16"/>
                <w:szCs w:val="16"/>
              </w:rPr>
              <w:t>538</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71694F77" w14:textId="7BB878DE" w:rsidR="00BC78B9" w:rsidRPr="00E97142" w:rsidRDefault="00BC78B9" w:rsidP="00BC78B9">
            <w:pPr>
              <w:jc w:val="right"/>
              <w:rPr>
                <w:rFonts w:ascii="Arial" w:hAnsi="Arial" w:cs="Arial"/>
                <w:b/>
                <w:bCs/>
                <w:color w:val="000000"/>
                <w:sz w:val="16"/>
                <w:szCs w:val="16"/>
              </w:rPr>
            </w:pPr>
            <w:r>
              <w:rPr>
                <w:rFonts w:ascii="Arial" w:hAnsi="Arial" w:cs="Arial"/>
                <w:b/>
                <w:bCs/>
                <w:color w:val="000000"/>
                <w:sz w:val="16"/>
                <w:szCs w:val="16"/>
              </w:rPr>
              <w:t>1,078</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01A8B94" w14:textId="4558603D" w:rsidR="00BC78B9" w:rsidRPr="00E97142" w:rsidRDefault="00BC78B9" w:rsidP="00BC78B9">
            <w:pPr>
              <w:jc w:val="right"/>
              <w:rPr>
                <w:rFonts w:ascii="Arial" w:hAnsi="Arial" w:cs="Arial"/>
                <w:b/>
                <w:bCs/>
                <w:sz w:val="16"/>
                <w:szCs w:val="16"/>
              </w:rPr>
            </w:pPr>
            <w:r>
              <w:rPr>
                <w:rFonts w:ascii="Arial" w:hAnsi="Arial" w:cs="Arial"/>
                <w:b/>
                <w:bCs/>
                <w:sz w:val="16"/>
                <w:szCs w:val="16"/>
              </w:rPr>
              <w:t>586</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456996A4" w14:textId="5D2BF938" w:rsidR="00BC78B9" w:rsidRPr="00E97142" w:rsidRDefault="00BC78B9" w:rsidP="00BC78B9">
            <w:pPr>
              <w:jc w:val="right"/>
              <w:rPr>
                <w:rFonts w:ascii="Arial" w:hAnsi="Arial" w:cs="Arial"/>
                <w:b/>
                <w:bCs/>
                <w:sz w:val="16"/>
                <w:szCs w:val="16"/>
              </w:rPr>
            </w:pPr>
            <w:r>
              <w:rPr>
                <w:rFonts w:ascii="Arial" w:hAnsi="Arial" w:cs="Arial"/>
                <w:b/>
                <w:bCs/>
                <w:sz w:val="16"/>
                <w:szCs w:val="16"/>
              </w:rPr>
              <w:t>817</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EC4DE60" w14:textId="5F44D846" w:rsidR="00BC78B9" w:rsidRPr="00E97142" w:rsidRDefault="00BC78B9" w:rsidP="00BC78B9">
            <w:pPr>
              <w:jc w:val="right"/>
              <w:rPr>
                <w:rFonts w:ascii="Arial" w:hAnsi="Arial" w:cs="Arial"/>
                <w:b/>
                <w:bCs/>
                <w:sz w:val="16"/>
                <w:szCs w:val="16"/>
              </w:rPr>
            </w:pPr>
            <w:r>
              <w:rPr>
                <w:rFonts w:ascii="Arial" w:hAnsi="Arial" w:cs="Arial"/>
                <w:b/>
                <w:bCs/>
                <w:sz w:val="16"/>
                <w:szCs w:val="16"/>
              </w:rPr>
              <w:t>38</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194100B" w14:textId="6F29EF8F" w:rsidR="00BC78B9" w:rsidRPr="00E97142" w:rsidRDefault="00BC78B9" w:rsidP="00BC78B9">
            <w:pPr>
              <w:jc w:val="right"/>
              <w:rPr>
                <w:rFonts w:ascii="Arial" w:hAnsi="Arial" w:cs="Arial"/>
                <w:b/>
                <w:bCs/>
                <w:sz w:val="16"/>
                <w:szCs w:val="16"/>
              </w:rPr>
            </w:pPr>
            <w:r>
              <w:rPr>
                <w:rFonts w:ascii="Arial" w:hAnsi="Arial" w:cs="Arial"/>
                <w:b/>
                <w:bCs/>
                <w:sz w:val="16"/>
                <w:szCs w:val="16"/>
              </w:rPr>
              <w:t>200</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083869EA" w14:textId="36D84400" w:rsidR="00BC78B9" w:rsidRPr="00E97142" w:rsidRDefault="00BC78B9" w:rsidP="00BC78B9">
            <w:pPr>
              <w:jc w:val="right"/>
              <w:rPr>
                <w:rFonts w:ascii="Arial" w:hAnsi="Arial" w:cs="Arial"/>
                <w:b/>
                <w:bCs/>
                <w:sz w:val="16"/>
                <w:szCs w:val="16"/>
              </w:rPr>
            </w:pPr>
            <w:r>
              <w:rPr>
                <w:rFonts w:ascii="Arial" w:hAnsi="Arial" w:cs="Arial"/>
                <w:b/>
                <w:bCs/>
                <w:sz w:val="16"/>
                <w:szCs w:val="16"/>
              </w:rPr>
              <w:t>6</w:t>
            </w: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7743E968" w14:textId="21B58201" w:rsidR="00BC78B9" w:rsidRPr="00E97142" w:rsidRDefault="00BC78B9" w:rsidP="00BC78B9">
            <w:pPr>
              <w:jc w:val="right"/>
              <w:rPr>
                <w:rFonts w:ascii="Arial" w:hAnsi="Arial" w:cs="Arial"/>
                <w:b/>
                <w:bCs/>
                <w:sz w:val="16"/>
                <w:szCs w:val="16"/>
              </w:rPr>
            </w:pPr>
            <w:r>
              <w:rPr>
                <w:rFonts w:ascii="Arial" w:hAnsi="Arial" w:cs="Arial"/>
                <w:b/>
                <w:bCs/>
                <w:sz w:val="16"/>
                <w:szCs w:val="16"/>
              </w:rPr>
              <w:t>200</w:t>
            </w:r>
          </w:p>
        </w:tc>
      </w:tr>
    </w:tbl>
    <w:p w14:paraId="583702A5" w14:textId="77777777" w:rsidR="00116D0D" w:rsidRDefault="00116D0D" w:rsidP="00116D0D">
      <w:pPr>
        <w:rPr>
          <w:rFonts w:ascii="Arial" w:hAnsi="Arial" w:cs="Arial"/>
        </w:rPr>
      </w:pPr>
    </w:p>
    <w:tbl>
      <w:tblPr>
        <w:tblW w:w="13831" w:type="dxa"/>
        <w:tblCellMar>
          <w:top w:w="15" w:type="dxa"/>
          <w:bottom w:w="15" w:type="dxa"/>
        </w:tblCellMar>
        <w:tblLook w:val="04A0" w:firstRow="1" w:lastRow="0" w:firstColumn="1" w:lastColumn="0" w:noHBand="0" w:noVBand="1"/>
      </w:tblPr>
      <w:tblGrid>
        <w:gridCol w:w="3061"/>
        <w:gridCol w:w="2154"/>
        <w:gridCol w:w="2154"/>
        <w:gridCol w:w="2154"/>
        <w:gridCol w:w="2154"/>
        <w:gridCol w:w="2154"/>
      </w:tblGrid>
      <w:tr w:rsidR="005B7640" w:rsidRPr="00987D0D" w14:paraId="57467CB6" w14:textId="24213981" w:rsidTr="000C4EAB">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vAlign w:val="center"/>
            <w:hideMark/>
          </w:tcPr>
          <w:p w14:paraId="523C47B9" w14:textId="14F22C5A" w:rsidR="005B7640" w:rsidRPr="00987D0D" w:rsidRDefault="005B7640" w:rsidP="005B7640">
            <w:pPr>
              <w:pStyle w:val="Heading3"/>
              <w:rPr>
                <w:sz w:val="16"/>
                <w:szCs w:val="16"/>
              </w:rPr>
            </w:pP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vAlign w:val="center"/>
            <w:hideMark/>
          </w:tcPr>
          <w:p w14:paraId="6D9873D9" w14:textId="5098BF9C" w:rsidR="005B7640" w:rsidRPr="00987D0D" w:rsidRDefault="005B7640" w:rsidP="005B7640">
            <w:pPr>
              <w:rPr>
                <w:rFonts w:ascii="Arial" w:hAnsi="Arial" w:cs="Arial"/>
                <w:b/>
                <w:bCs/>
                <w:sz w:val="16"/>
                <w:szCs w:val="16"/>
              </w:rPr>
            </w:pPr>
            <w:r w:rsidRPr="00987D0D">
              <w:rPr>
                <w:rFonts w:ascii="Arial" w:eastAsiaTheme="minorEastAsia" w:hAnsi="Arial" w:cs="Arial"/>
                <w:b/>
                <w:bCs/>
                <w:sz w:val="16"/>
                <w:szCs w:val="16"/>
              </w:rPr>
              <w:t>Actual 2024-25</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CA13E67" w14:textId="67D3455E" w:rsidR="005B7640" w:rsidRPr="00987D0D" w:rsidRDefault="005B7640" w:rsidP="005B7640">
            <w:pPr>
              <w:rPr>
                <w:rFonts w:ascii="Arial" w:hAnsi="Arial" w:cs="Arial"/>
                <w:b/>
                <w:bCs/>
                <w:sz w:val="16"/>
                <w:szCs w:val="16"/>
              </w:rPr>
            </w:pPr>
            <w:r w:rsidRPr="00987D0D">
              <w:rPr>
                <w:rFonts w:ascii="Arial" w:eastAsiaTheme="minorEastAsia" w:hAnsi="Arial" w:cs="Arial"/>
                <w:b/>
                <w:bCs/>
                <w:sz w:val="16"/>
                <w:szCs w:val="16"/>
              </w:rPr>
              <w:t>Forecast 2025-26</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0E39E8E" w14:textId="72E21B0C" w:rsidR="005B7640" w:rsidRPr="00987D0D" w:rsidRDefault="005B7640" w:rsidP="005B7640">
            <w:pPr>
              <w:rPr>
                <w:rFonts w:ascii="Arial" w:hAnsi="Arial" w:cs="Arial"/>
                <w:b/>
                <w:bCs/>
                <w:sz w:val="16"/>
                <w:szCs w:val="16"/>
              </w:rPr>
            </w:pPr>
            <w:r w:rsidRPr="00987D0D">
              <w:rPr>
                <w:rFonts w:ascii="Arial" w:eastAsiaTheme="minorEastAsia" w:hAnsi="Arial" w:cs="Arial"/>
                <w:b/>
                <w:bCs/>
                <w:sz w:val="16"/>
                <w:szCs w:val="16"/>
              </w:rPr>
              <w:t>Forecast 2026-27</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351A898B" w14:textId="4F6C5CE4" w:rsidR="005B7640" w:rsidRPr="00987D0D" w:rsidRDefault="005B7640" w:rsidP="005B7640">
            <w:pPr>
              <w:rPr>
                <w:rFonts w:ascii="Arial" w:hAnsi="Arial" w:cs="Arial"/>
                <w:b/>
                <w:bCs/>
                <w:sz w:val="16"/>
                <w:szCs w:val="16"/>
              </w:rPr>
            </w:pPr>
            <w:r w:rsidRPr="00987D0D">
              <w:rPr>
                <w:rFonts w:ascii="Arial" w:eastAsiaTheme="minorEastAsia" w:hAnsi="Arial" w:cs="Arial"/>
                <w:b/>
                <w:bCs/>
                <w:sz w:val="16"/>
                <w:szCs w:val="16"/>
              </w:rPr>
              <w:t>Forecast 2027-28</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9A7BE3D" w14:textId="62720E42" w:rsidR="005B7640" w:rsidRPr="00987D0D" w:rsidRDefault="005B7640" w:rsidP="005B7640">
            <w:pPr>
              <w:rPr>
                <w:rFonts w:ascii="Arial" w:hAnsi="Arial" w:cs="Arial"/>
                <w:b/>
                <w:bCs/>
                <w:sz w:val="16"/>
                <w:szCs w:val="16"/>
              </w:rPr>
            </w:pPr>
            <w:r w:rsidRPr="00987D0D">
              <w:rPr>
                <w:rFonts w:ascii="Arial" w:eastAsiaTheme="minorEastAsia" w:hAnsi="Arial" w:cs="Arial"/>
                <w:b/>
                <w:bCs/>
                <w:sz w:val="16"/>
                <w:szCs w:val="16"/>
              </w:rPr>
              <w:t>Forecast 2028-29</w:t>
            </w:r>
          </w:p>
        </w:tc>
      </w:tr>
      <w:tr w:rsidR="005B7640" w:rsidRPr="00C259CA" w14:paraId="3D120FAC" w14:textId="7CA8A8BB" w:rsidTr="00C259CA">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hideMark/>
          </w:tcPr>
          <w:p w14:paraId="462B24C3" w14:textId="14EC9C98" w:rsidR="005B7640" w:rsidRPr="00C259CA" w:rsidRDefault="00C83B72" w:rsidP="000C4EAB">
            <w:pPr>
              <w:rPr>
                <w:rFonts w:ascii="Arial" w:hAnsi="Arial" w:cs="Arial"/>
                <w:b/>
                <w:bCs/>
                <w:sz w:val="16"/>
                <w:szCs w:val="16"/>
              </w:rPr>
            </w:pPr>
            <w:r w:rsidRPr="00C259CA">
              <w:rPr>
                <w:rFonts w:ascii="Arial" w:hAnsi="Arial" w:cs="Arial"/>
                <w:b/>
                <w:bCs/>
                <w:sz w:val="16"/>
                <w:szCs w:val="16"/>
              </w:rPr>
              <w:t>Total Savings (excluding direct employee savings)</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noWrap/>
            <w:vAlign w:val="center"/>
          </w:tcPr>
          <w:p w14:paraId="002E3418" w14:textId="4B536D3D" w:rsidR="005B7640" w:rsidRPr="00C259CA" w:rsidRDefault="00E20292" w:rsidP="00C259CA">
            <w:pPr>
              <w:jc w:val="right"/>
              <w:rPr>
                <w:rFonts w:ascii="Arial" w:hAnsi="Arial" w:cs="Arial"/>
                <w:b/>
                <w:bCs/>
                <w:sz w:val="16"/>
                <w:szCs w:val="16"/>
              </w:rPr>
            </w:pPr>
            <w:r w:rsidRPr="00C259CA">
              <w:rPr>
                <w:rFonts w:ascii="Arial" w:hAnsi="Arial" w:cs="Arial"/>
                <w:b/>
                <w:bCs/>
                <w:sz w:val="16"/>
                <w:szCs w:val="16"/>
              </w:rPr>
              <w:t>510</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7913BBD" w14:textId="10379BED" w:rsidR="005B7640" w:rsidRPr="00C259CA" w:rsidRDefault="00C62266" w:rsidP="00C259CA">
            <w:pPr>
              <w:jc w:val="right"/>
              <w:rPr>
                <w:rFonts w:ascii="Arial" w:hAnsi="Arial" w:cs="Arial"/>
                <w:b/>
                <w:bCs/>
                <w:sz w:val="16"/>
                <w:szCs w:val="16"/>
              </w:rPr>
            </w:pPr>
            <w:r w:rsidRPr="00C259CA">
              <w:rPr>
                <w:rFonts w:ascii="Arial" w:hAnsi="Arial" w:cs="Arial"/>
                <w:b/>
                <w:bCs/>
                <w:sz w:val="16"/>
                <w:szCs w:val="16"/>
              </w:rPr>
              <w:t>1</w:t>
            </w:r>
            <w:r w:rsidR="00C259CA">
              <w:rPr>
                <w:rFonts w:ascii="Arial" w:hAnsi="Arial" w:cs="Arial"/>
                <w:b/>
                <w:bCs/>
                <w:sz w:val="16"/>
                <w:szCs w:val="16"/>
              </w:rPr>
              <w:t>,</w:t>
            </w:r>
            <w:r w:rsidRPr="00C259CA">
              <w:rPr>
                <w:rFonts w:ascii="Arial" w:hAnsi="Arial" w:cs="Arial"/>
                <w:b/>
                <w:bCs/>
                <w:sz w:val="16"/>
                <w:szCs w:val="16"/>
              </w:rPr>
              <w:t>616</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9AD6BEB" w14:textId="40657AF6" w:rsidR="005B7640" w:rsidRPr="00C259CA" w:rsidRDefault="00C62266" w:rsidP="00C259CA">
            <w:pPr>
              <w:jc w:val="right"/>
              <w:rPr>
                <w:rFonts w:ascii="Arial" w:hAnsi="Arial" w:cs="Arial"/>
                <w:b/>
                <w:bCs/>
                <w:sz w:val="16"/>
                <w:szCs w:val="16"/>
              </w:rPr>
            </w:pPr>
            <w:r w:rsidRPr="00C259CA">
              <w:rPr>
                <w:rFonts w:ascii="Arial" w:hAnsi="Arial" w:cs="Arial"/>
                <w:b/>
                <w:bCs/>
                <w:sz w:val="16"/>
                <w:szCs w:val="16"/>
              </w:rPr>
              <w:t>1</w:t>
            </w:r>
            <w:r w:rsidR="00C259CA">
              <w:rPr>
                <w:rFonts w:ascii="Arial" w:hAnsi="Arial" w:cs="Arial"/>
                <w:b/>
                <w:bCs/>
                <w:sz w:val="16"/>
                <w:szCs w:val="16"/>
              </w:rPr>
              <w:t>,</w:t>
            </w:r>
            <w:r w:rsidRPr="00C259CA">
              <w:rPr>
                <w:rFonts w:ascii="Arial" w:hAnsi="Arial" w:cs="Arial"/>
                <w:b/>
                <w:bCs/>
                <w:sz w:val="16"/>
                <w:szCs w:val="16"/>
              </w:rPr>
              <w:t>403</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86059BC" w14:textId="278A4057" w:rsidR="005B7640" w:rsidRPr="00C259CA" w:rsidRDefault="00C62266" w:rsidP="00C259CA">
            <w:pPr>
              <w:jc w:val="right"/>
              <w:rPr>
                <w:rFonts w:ascii="Arial" w:hAnsi="Arial" w:cs="Arial"/>
                <w:b/>
                <w:bCs/>
                <w:sz w:val="16"/>
                <w:szCs w:val="16"/>
              </w:rPr>
            </w:pPr>
            <w:r w:rsidRPr="00C259CA">
              <w:rPr>
                <w:rFonts w:ascii="Arial" w:hAnsi="Arial" w:cs="Arial"/>
                <w:b/>
                <w:bCs/>
                <w:sz w:val="16"/>
                <w:szCs w:val="16"/>
              </w:rPr>
              <w:t>238</w:t>
            </w:r>
          </w:p>
        </w:tc>
        <w:tc>
          <w:tcPr>
            <w:tcW w:w="215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D5DFC27" w14:textId="67A8E195" w:rsidR="005B7640" w:rsidRPr="00C259CA" w:rsidRDefault="00C62266" w:rsidP="00C259CA">
            <w:pPr>
              <w:jc w:val="right"/>
              <w:rPr>
                <w:rFonts w:ascii="Arial" w:hAnsi="Arial" w:cs="Arial"/>
                <w:b/>
                <w:bCs/>
                <w:sz w:val="16"/>
                <w:szCs w:val="16"/>
              </w:rPr>
            </w:pPr>
            <w:r w:rsidRPr="00C259CA">
              <w:rPr>
                <w:rFonts w:ascii="Arial" w:hAnsi="Arial" w:cs="Arial"/>
                <w:b/>
                <w:bCs/>
                <w:sz w:val="16"/>
                <w:szCs w:val="16"/>
              </w:rPr>
              <w:t>206</w:t>
            </w:r>
          </w:p>
        </w:tc>
      </w:tr>
      <w:tr w:rsidR="005B7640" w:rsidRPr="00C259CA" w14:paraId="78961476" w14:textId="15A5F362" w:rsidTr="00C259CA">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hideMark/>
          </w:tcPr>
          <w:p w14:paraId="78F006F5" w14:textId="77777777" w:rsidR="005B7640" w:rsidRPr="00C259CA" w:rsidRDefault="005B7640" w:rsidP="000C4EAB">
            <w:pPr>
              <w:rPr>
                <w:rFonts w:ascii="Arial" w:hAnsi="Arial" w:cs="Arial"/>
                <w:b/>
                <w:bCs/>
                <w:sz w:val="16"/>
                <w:szCs w:val="16"/>
              </w:rPr>
            </w:pPr>
            <w:r w:rsidRPr="00C259CA">
              <w:rPr>
                <w:rFonts w:ascii="Arial" w:hAnsi="Arial" w:cs="Arial"/>
                <w:b/>
                <w:bCs/>
                <w:sz w:val="16"/>
                <w:szCs w:val="16"/>
              </w:rPr>
              <w:t>Efficiency savings as a percentage of non-payroll budgets</w:t>
            </w:r>
          </w:p>
        </w:tc>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vAlign w:val="center"/>
          </w:tcPr>
          <w:p w14:paraId="2B47DE2A" w14:textId="57412139" w:rsidR="005B7640" w:rsidRPr="00C259CA" w:rsidRDefault="00F46422" w:rsidP="00C259CA">
            <w:pPr>
              <w:jc w:val="right"/>
              <w:rPr>
                <w:rFonts w:ascii="Arial" w:hAnsi="Arial" w:cs="Arial"/>
                <w:b/>
                <w:bCs/>
                <w:sz w:val="16"/>
                <w:szCs w:val="16"/>
              </w:rPr>
            </w:pPr>
            <w:r w:rsidRPr="00C259CA">
              <w:rPr>
                <w:rFonts w:ascii="Arial" w:hAnsi="Arial" w:cs="Arial"/>
                <w:b/>
                <w:bCs/>
                <w:sz w:val="16"/>
                <w:szCs w:val="16"/>
              </w:rPr>
              <w:t>2.21%</w:t>
            </w:r>
          </w:p>
        </w:tc>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22C027" w14:textId="06F3785B" w:rsidR="005B7640" w:rsidRPr="00C259CA" w:rsidRDefault="00CF11B6" w:rsidP="00C259CA">
            <w:pPr>
              <w:jc w:val="right"/>
              <w:rPr>
                <w:rFonts w:ascii="Arial" w:hAnsi="Arial" w:cs="Arial"/>
                <w:b/>
                <w:bCs/>
                <w:sz w:val="16"/>
                <w:szCs w:val="16"/>
              </w:rPr>
            </w:pPr>
            <w:r w:rsidRPr="00C259CA">
              <w:rPr>
                <w:rFonts w:ascii="Arial" w:hAnsi="Arial" w:cs="Arial"/>
                <w:b/>
                <w:bCs/>
                <w:sz w:val="16"/>
                <w:szCs w:val="16"/>
              </w:rPr>
              <w:t>6.79%</w:t>
            </w:r>
          </w:p>
        </w:tc>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32A2A2" w14:textId="5D4D3295" w:rsidR="005B7640" w:rsidRPr="00C259CA" w:rsidRDefault="00406F3A" w:rsidP="00C259CA">
            <w:pPr>
              <w:jc w:val="right"/>
              <w:rPr>
                <w:rFonts w:ascii="Arial" w:hAnsi="Arial" w:cs="Arial"/>
                <w:b/>
                <w:bCs/>
                <w:sz w:val="16"/>
                <w:szCs w:val="16"/>
              </w:rPr>
            </w:pPr>
            <w:r w:rsidRPr="00C259CA">
              <w:rPr>
                <w:rFonts w:ascii="Arial" w:hAnsi="Arial" w:cs="Arial"/>
                <w:b/>
                <w:bCs/>
                <w:sz w:val="16"/>
                <w:szCs w:val="16"/>
              </w:rPr>
              <w:t>5.53%</w:t>
            </w:r>
          </w:p>
        </w:tc>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399C1" w14:textId="5058D93E" w:rsidR="005B7640" w:rsidRPr="00C259CA" w:rsidRDefault="00E8133C" w:rsidP="00C259CA">
            <w:pPr>
              <w:jc w:val="right"/>
              <w:rPr>
                <w:rFonts w:ascii="Arial" w:hAnsi="Arial" w:cs="Arial"/>
                <w:b/>
                <w:bCs/>
                <w:sz w:val="16"/>
                <w:szCs w:val="16"/>
              </w:rPr>
            </w:pPr>
            <w:r w:rsidRPr="00C259CA">
              <w:rPr>
                <w:rFonts w:ascii="Arial" w:hAnsi="Arial" w:cs="Arial"/>
                <w:b/>
                <w:bCs/>
                <w:sz w:val="16"/>
                <w:szCs w:val="16"/>
              </w:rPr>
              <w:t>0.91%</w:t>
            </w:r>
          </w:p>
        </w:tc>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76BFF5" w14:textId="08F49A76" w:rsidR="005B7640" w:rsidRPr="00C259CA" w:rsidRDefault="00C259CA" w:rsidP="00C259CA">
            <w:pPr>
              <w:jc w:val="right"/>
              <w:rPr>
                <w:rFonts w:ascii="Arial" w:hAnsi="Arial" w:cs="Arial"/>
                <w:b/>
                <w:bCs/>
                <w:sz w:val="16"/>
                <w:szCs w:val="16"/>
              </w:rPr>
            </w:pPr>
            <w:r w:rsidRPr="00C259CA">
              <w:rPr>
                <w:rFonts w:ascii="Arial" w:hAnsi="Arial" w:cs="Arial"/>
                <w:b/>
                <w:bCs/>
                <w:sz w:val="16"/>
                <w:szCs w:val="16"/>
              </w:rPr>
              <w:t>0.77%</w:t>
            </w:r>
          </w:p>
        </w:tc>
      </w:tr>
    </w:tbl>
    <w:p w14:paraId="2F19A638" w14:textId="77777777" w:rsidR="00116D0D" w:rsidRDefault="00116D0D" w:rsidP="00116D0D">
      <w:pPr>
        <w:rPr>
          <w:rFonts w:ascii="Arial" w:hAnsi="Arial" w:cs="Arial"/>
        </w:rPr>
      </w:pPr>
    </w:p>
    <w:p w14:paraId="0D08D19F" w14:textId="77777777" w:rsidR="00236BD0" w:rsidRDefault="00236BD0">
      <w:pPr>
        <w:rPr>
          <w:rFonts w:ascii="Arial" w:hAnsi="Arial" w:cs="Arial"/>
          <w:b/>
          <w:bCs/>
          <w:sz w:val="28"/>
          <w:szCs w:val="28"/>
        </w:rPr>
      </w:pPr>
      <w:r>
        <w:rPr>
          <w:rFonts w:ascii="Arial" w:hAnsi="Arial" w:cs="Arial"/>
          <w:b/>
          <w:bCs/>
          <w:sz w:val="28"/>
          <w:szCs w:val="28"/>
        </w:rPr>
        <w:br w:type="page"/>
      </w:r>
    </w:p>
    <w:p w14:paraId="76877C8C" w14:textId="478F2DAC" w:rsidR="00236BD0" w:rsidRDefault="004C4F65" w:rsidP="00236BD0">
      <w:pPr>
        <w:rPr>
          <w:rFonts w:ascii="Arial" w:hAnsi="Arial" w:cs="Arial"/>
          <w:b/>
          <w:bCs/>
          <w:sz w:val="28"/>
          <w:szCs w:val="28"/>
        </w:rPr>
      </w:pPr>
      <w:r>
        <w:rPr>
          <w:rFonts w:ascii="Arial" w:hAnsi="Arial" w:cs="Arial"/>
          <w:b/>
          <w:bCs/>
          <w:sz w:val="28"/>
          <w:szCs w:val="28"/>
        </w:rPr>
        <w:lastRenderedPageBreak/>
        <w:t>Income</w:t>
      </w:r>
    </w:p>
    <w:p w14:paraId="0731767C" w14:textId="77777777" w:rsidR="005C3E12" w:rsidRDefault="005C3E12" w:rsidP="00116D0D">
      <w:pPr>
        <w:rPr>
          <w:rFonts w:ascii="Arial" w:hAnsi="Arial" w:cs="Arial"/>
        </w:rPr>
      </w:pPr>
    </w:p>
    <w:tbl>
      <w:tblPr>
        <w:tblW w:w="13831" w:type="dxa"/>
        <w:tblCellMar>
          <w:top w:w="15" w:type="dxa"/>
          <w:bottom w:w="15" w:type="dxa"/>
        </w:tblCellMar>
        <w:tblLook w:val="04A0" w:firstRow="1" w:lastRow="0" w:firstColumn="1" w:lastColumn="0" w:noHBand="0" w:noVBand="1"/>
      </w:tblPr>
      <w:tblGrid>
        <w:gridCol w:w="3061"/>
        <w:gridCol w:w="1077"/>
        <w:gridCol w:w="1077"/>
        <w:gridCol w:w="1077"/>
        <w:gridCol w:w="1077"/>
        <w:gridCol w:w="1077"/>
        <w:gridCol w:w="1077"/>
        <w:gridCol w:w="1077"/>
        <w:gridCol w:w="1077"/>
        <w:gridCol w:w="1077"/>
        <w:gridCol w:w="1077"/>
      </w:tblGrid>
      <w:tr w:rsidR="004C4F65" w:rsidRPr="00987D0D" w14:paraId="1264C78C" w14:textId="77777777" w:rsidTr="00EB52E2">
        <w:trPr>
          <w:trHeight w:val="315"/>
          <w:tblHeader/>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vAlign w:val="center"/>
            <w:hideMark/>
          </w:tcPr>
          <w:p w14:paraId="596B0103" w14:textId="77777777" w:rsidR="004C4F65" w:rsidRPr="00987D0D" w:rsidRDefault="004C4F65" w:rsidP="00FB2EC6">
            <w:pPr>
              <w:rPr>
                <w:rFonts w:ascii="Arial" w:hAnsi="Arial" w:cs="Arial"/>
                <w:color w:val="1F3763" w:themeColor="accent1" w:themeShade="7F"/>
                <w:sz w:val="16"/>
                <w:szCs w:val="16"/>
              </w:rPr>
            </w:pPr>
            <w:r w:rsidRPr="00987D0D">
              <w:rPr>
                <w:rFonts w:ascii="Arial" w:hAnsi="Arial" w:cs="Arial"/>
                <w:b/>
                <w:bCs/>
                <w:sz w:val="16"/>
                <w:szCs w:val="16"/>
              </w:rPr>
              <w:t>£’000</w:t>
            </w:r>
          </w:p>
        </w:tc>
        <w:tc>
          <w:tcPr>
            <w:tcW w:w="1077" w:type="dxa"/>
            <w:tcBorders>
              <w:top w:val="single" w:sz="8" w:space="0" w:color="000000" w:themeColor="text1"/>
              <w:left w:val="nil"/>
              <w:bottom w:val="single" w:sz="8" w:space="0" w:color="000000" w:themeColor="text1"/>
              <w:right w:val="nil"/>
            </w:tcBorders>
            <w:shd w:val="clear" w:color="auto" w:fill="F2F2F2" w:themeFill="background1" w:themeFillShade="F2"/>
            <w:noWrap/>
            <w:hideMark/>
          </w:tcPr>
          <w:p w14:paraId="7912B158" w14:textId="77777777" w:rsidR="004C4F65" w:rsidRPr="00987D0D" w:rsidRDefault="004C4F65" w:rsidP="000C4EAB">
            <w:pPr>
              <w:rPr>
                <w:rFonts w:ascii="Arial" w:hAnsi="Arial" w:cs="Arial"/>
                <w:b/>
                <w:bCs/>
                <w:sz w:val="16"/>
                <w:szCs w:val="16"/>
              </w:rPr>
            </w:pPr>
            <w:r w:rsidRPr="00987D0D">
              <w:rPr>
                <w:rFonts w:ascii="Arial" w:hAnsi="Arial" w:cs="Arial"/>
                <w:b/>
                <w:bCs/>
                <w:sz w:val="16"/>
                <w:szCs w:val="16"/>
              </w:rPr>
              <w:t>24/25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hideMark/>
          </w:tcPr>
          <w:p w14:paraId="5D2A7454" w14:textId="77777777" w:rsidR="004C4F65" w:rsidRPr="00987D0D" w:rsidRDefault="004C4F65" w:rsidP="000C4EAB">
            <w:pPr>
              <w:rPr>
                <w:rFonts w:ascii="Arial" w:hAnsi="Arial" w:cs="Arial"/>
                <w:b/>
                <w:bCs/>
                <w:color w:val="000000"/>
                <w:sz w:val="16"/>
                <w:szCs w:val="16"/>
              </w:rPr>
            </w:pPr>
            <w:r w:rsidRPr="00987D0D">
              <w:rPr>
                <w:rFonts w:ascii="Arial" w:hAnsi="Arial" w:cs="Arial"/>
                <w:b/>
                <w:bCs/>
                <w:sz w:val="16"/>
                <w:szCs w:val="16"/>
              </w:rPr>
              <w:t xml:space="preserve">24/25 </w:t>
            </w:r>
            <w:r w:rsidRPr="00987D0D">
              <w:rPr>
                <w:rFonts w:ascii="Arial" w:hAnsi="Arial" w:cs="Arial"/>
                <w:b/>
                <w:bCs/>
                <w:color w:val="000000" w:themeColor="text1"/>
                <w:sz w:val="16"/>
                <w:szCs w:val="16"/>
              </w:rPr>
              <w:t>Non- recurrent</w:t>
            </w:r>
          </w:p>
        </w:tc>
        <w:tc>
          <w:tcPr>
            <w:tcW w:w="1077" w:type="dxa"/>
            <w:tcBorders>
              <w:top w:val="single" w:sz="8" w:space="0" w:color="000000" w:themeColor="text1"/>
              <w:left w:val="nil"/>
              <w:bottom w:val="single" w:sz="8" w:space="0" w:color="000000" w:themeColor="text1"/>
              <w:right w:val="nil"/>
            </w:tcBorders>
            <w:shd w:val="clear" w:color="auto" w:fill="F2F2F2" w:themeFill="background1" w:themeFillShade="F2"/>
            <w:noWrap/>
            <w:hideMark/>
          </w:tcPr>
          <w:p w14:paraId="40BDA1FE" w14:textId="77777777" w:rsidR="004C4F65" w:rsidRPr="00987D0D" w:rsidRDefault="004C4F65" w:rsidP="000C4EAB">
            <w:pPr>
              <w:rPr>
                <w:rFonts w:ascii="Arial" w:hAnsi="Arial" w:cs="Arial"/>
                <w:b/>
                <w:bCs/>
                <w:sz w:val="16"/>
                <w:szCs w:val="16"/>
              </w:rPr>
            </w:pPr>
            <w:r w:rsidRPr="00987D0D">
              <w:rPr>
                <w:rFonts w:ascii="Arial" w:hAnsi="Arial" w:cs="Arial"/>
                <w:b/>
                <w:bCs/>
                <w:sz w:val="16"/>
                <w:szCs w:val="16"/>
              </w:rPr>
              <w:t>25/26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hideMark/>
          </w:tcPr>
          <w:p w14:paraId="45FC6131" w14:textId="77777777" w:rsidR="004C4F65" w:rsidRPr="00987D0D" w:rsidRDefault="004C4F65" w:rsidP="000C4EAB">
            <w:pPr>
              <w:rPr>
                <w:rFonts w:ascii="Arial" w:hAnsi="Arial" w:cs="Arial"/>
                <w:b/>
                <w:bCs/>
                <w:color w:val="000000"/>
                <w:sz w:val="16"/>
                <w:szCs w:val="16"/>
              </w:rPr>
            </w:pPr>
            <w:r w:rsidRPr="00987D0D">
              <w:rPr>
                <w:rFonts w:ascii="Arial" w:hAnsi="Arial" w:cs="Arial"/>
                <w:b/>
                <w:bCs/>
                <w:color w:val="000000" w:themeColor="text1"/>
                <w:sz w:val="16"/>
                <w:szCs w:val="16"/>
              </w:rPr>
              <w:t>25/26 Non- recurrent</w:t>
            </w:r>
          </w:p>
        </w:tc>
        <w:tc>
          <w:tcPr>
            <w:tcW w:w="1077" w:type="dxa"/>
            <w:tcBorders>
              <w:top w:val="single" w:sz="8" w:space="0" w:color="000000" w:themeColor="text1"/>
              <w:left w:val="nil"/>
              <w:bottom w:val="single" w:sz="8" w:space="0" w:color="000000" w:themeColor="text1"/>
              <w:right w:val="nil"/>
            </w:tcBorders>
            <w:shd w:val="clear" w:color="auto" w:fill="F2F2F2" w:themeFill="background1" w:themeFillShade="F2"/>
            <w:noWrap/>
            <w:hideMark/>
          </w:tcPr>
          <w:p w14:paraId="7E297F6C" w14:textId="77777777" w:rsidR="004C4F65" w:rsidRPr="00987D0D" w:rsidRDefault="004C4F65" w:rsidP="000C4EAB">
            <w:pPr>
              <w:rPr>
                <w:rFonts w:ascii="Arial" w:hAnsi="Arial" w:cs="Arial"/>
                <w:b/>
                <w:bCs/>
                <w:sz w:val="16"/>
                <w:szCs w:val="16"/>
              </w:rPr>
            </w:pPr>
            <w:r w:rsidRPr="00987D0D">
              <w:rPr>
                <w:rFonts w:ascii="Arial" w:hAnsi="Arial" w:cs="Arial"/>
                <w:b/>
                <w:bCs/>
                <w:sz w:val="16"/>
                <w:szCs w:val="16"/>
              </w:rPr>
              <w:t>26/27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noWrap/>
            <w:hideMark/>
          </w:tcPr>
          <w:p w14:paraId="190A3E49" w14:textId="77777777" w:rsidR="004C4F65" w:rsidRPr="00987D0D" w:rsidRDefault="004C4F65" w:rsidP="000C4EAB">
            <w:pPr>
              <w:rPr>
                <w:rFonts w:ascii="Arial" w:hAnsi="Arial" w:cs="Arial"/>
                <w:b/>
                <w:bCs/>
                <w:color w:val="000000"/>
                <w:sz w:val="16"/>
                <w:szCs w:val="16"/>
              </w:rPr>
            </w:pPr>
            <w:r w:rsidRPr="00987D0D">
              <w:rPr>
                <w:rFonts w:ascii="Arial" w:hAnsi="Arial" w:cs="Arial"/>
                <w:b/>
                <w:bCs/>
                <w:color w:val="000000" w:themeColor="text1"/>
                <w:sz w:val="16"/>
                <w:szCs w:val="16"/>
              </w:rPr>
              <w:t>26/27 Non-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904274C" w14:textId="77777777" w:rsidR="004C4F65" w:rsidRPr="00987D0D" w:rsidRDefault="004C4F65" w:rsidP="000C4EAB">
            <w:pPr>
              <w:rPr>
                <w:rFonts w:ascii="Arial" w:hAnsi="Arial" w:cs="Arial"/>
                <w:b/>
                <w:bCs/>
                <w:color w:val="000000" w:themeColor="text1"/>
                <w:sz w:val="16"/>
                <w:szCs w:val="16"/>
              </w:rPr>
            </w:pPr>
            <w:r w:rsidRPr="00987D0D">
              <w:rPr>
                <w:rFonts w:ascii="Arial" w:hAnsi="Arial" w:cs="Arial"/>
                <w:b/>
                <w:bCs/>
                <w:sz w:val="16"/>
                <w:szCs w:val="16"/>
              </w:rPr>
              <w:t>27/28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F6471F6" w14:textId="77777777" w:rsidR="004C4F65" w:rsidRPr="00987D0D" w:rsidRDefault="004C4F65" w:rsidP="000C4EAB">
            <w:pPr>
              <w:rPr>
                <w:rFonts w:ascii="Arial" w:hAnsi="Arial" w:cs="Arial"/>
                <w:b/>
                <w:bCs/>
                <w:color w:val="000000" w:themeColor="text1"/>
                <w:sz w:val="16"/>
                <w:szCs w:val="16"/>
              </w:rPr>
            </w:pPr>
            <w:r w:rsidRPr="00987D0D">
              <w:rPr>
                <w:rFonts w:ascii="Arial" w:hAnsi="Arial" w:cs="Arial"/>
                <w:b/>
                <w:bCs/>
                <w:color w:val="000000" w:themeColor="text1"/>
                <w:sz w:val="16"/>
                <w:szCs w:val="16"/>
              </w:rPr>
              <w:t>27/28 Non-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B74E506" w14:textId="77777777" w:rsidR="004C4F65" w:rsidRPr="00987D0D" w:rsidRDefault="004C4F65" w:rsidP="000C4EAB">
            <w:pPr>
              <w:rPr>
                <w:rFonts w:ascii="Arial" w:hAnsi="Arial" w:cs="Arial"/>
                <w:b/>
                <w:bCs/>
                <w:color w:val="000000" w:themeColor="text1"/>
                <w:sz w:val="16"/>
                <w:szCs w:val="16"/>
              </w:rPr>
            </w:pPr>
            <w:r w:rsidRPr="00987D0D">
              <w:rPr>
                <w:rFonts w:ascii="Arial" w:hAnsi="Arial" w:cs="Arial"/>
                <w:b/>
                <w:bCs/>
                <w:sz w:val="16"/>
                <w:szCs w:val="16"/>
              </w:rPr>
              <w:t>28/29 Recurrent</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E82FE5B" w14:textId="77777777" w:rsidR="004C4F65" w:rsidRPr="00987D0D" w:rsidRDefault="004C4F65" w:rsidP="000C4EAB">
            <w:pPr>
              <w:rPr>
                <w:rFonts w:ascii="Arial" w:hAnsi="Arial" w:cs="Arial"/>
                <w:b/>
                <w:bCs/>
                <w:color w:val="000000" w:themeColor="text1"/>
                <w:sz w:val="16"/>
                <w:szCs w:val="16"/>
              </w:rPr>
            </w:pPr>
            <w:r w:rsidRPr="00987D0D">
              <w:rPr>
                <w:rFonts w:ascii="Arial" w:hAnsi="Arial" w:cs="Arial"/>
                <w:b/>
                <w:bCs/>
                <w:color w:val="000000" w:themeColor="text1"/>
                <w:sz w:val="16"/>
                <w:szCs w:val="16"/>
              </w:rPr>
              <w:t>28/29 Non- recurrent</w:t>
            </w:r>
          </w:p>
        </w:tc>
      </w:tr>
      <w:tr w:rsidR="004C4F65" w:rsidRPr="00E97142" w14:paraId="6314310A" w14:textId="77777777" w:rsidTr="00EB52E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D797B" w14:textId="77777777" w:rsidR="004C4F65" w:rsidRPr="00987D0D" w:rsidRDefault="004C4F65" w:rsidP="00FB2EC6">
            <w:pPr>
              <w:rPr>
                <w:rFonts w:ascii="Arial" w:hAnsi="Arial" w:cs="Arial"/>
                <w:color w:val="000000"/>
                <w:sz w:val="16"/>
                <w:szCs w:val="16"/>
              </w:rPr>
            </w:pPr>
            <w:r w:rsidRPr="00B53593">
              <w:rPr>
                <w:rFonts w:ascii="Arial" w:hAnsi="Arial" w:cs="Arial"/>
                <w:sz w:val="16"/>
                <w:szCs w:val="16"/>
              </w:rPr>
              <w:t>Income generated from shared premises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3CDA136A" w14:textId="77777777" w:rsidR="004C4F65" w:rsidRPr="00E97142" w:rsidRDefault="004C4F65" w:rsidP="000C4EAB">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1527980A" w14:textId="77777777" w:rsidR="004C4F65" w:rsidRPr="00E97142" w:rsidRDefault="004C4F65" w:rsidP="000C4EAB">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2B006989" w14:textId="77777777" w:rsidR="004C4F65" w:rsidRPr="00E97142" w:rsidRDefault="004C4F65" w:rsidP="000C4EAB">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49DD858F" w14:textId="2454F595" w:rsidR="004C4F65" w:rsidRPr="00E97142" w:rsidRDefault="003C2223" w:rsidP="000C4EAB">
            <w:pPr>
              <w:jc w:val="right"/>
              <w:rPr>
                <w:rFonts w:ascii="Arial" w:hAnsi="Arial" w:cs="Arial"/>
                <w:color w:val="000000"/>
                <w:sz w:val="16"/>
                <w:szCs w:val="16"/>
              </w:rPr>
            </w:pPr>
            <w:r>
              <w:rPr>
                <w:rFonts w:ascii="Arial" w:hAnsi="Arial" w:cs="Arial"/>
                <w:color w:val="000000"/>
                <w:sz w:val="16"/>
                <w:szCs w:val="16"/>
              </w:rPr>
              <w:t>37</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259A227" w14:textId="77777777" w:rsidR="004C4F65" w:rsidRPr="00E97142" w:rsidRDefault="004C4F65" w:rsidP="000C4EAB">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53AE9EE3" w14:textId="77777777" w:rsidR="004C4F65" w:rsidRPr="00E97142" w:rsidRDefault="004C4F65" w:rsidP="000C4EAB">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D1259CE" w14:textId="77777777" w:rsidR="004C4F65" w:rsidRPr="00E97142" w:rsidRDefault="004C4F65" w:rsidP="000C4EAB">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40C30E3" w14:textId="77777777" w:rsidR="004C4F65" w:rsidRPr="00E97142" w:rsidRDefault="004C4F65" w:rsidP="000C4EAB">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12BC7AD0" w14:textId="77777777" w:rsidR="004C4F65" w:rsidRPr="00E97142" w:rsidRDefault="004C4F65" w:rsidP="000C4EAB">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63C04B43" w14:textId="77777777" w:rsidR="004C4F65" w:rsidRPr="00E97142" w:rsidRDefault="004C4F65" w:rsidP="000C4EAB">
            <w:pPr>
              <w:jc w:val="right"/>
              <w:rPr>
                <w:rFonts w:ascii="Arial" w:hAnsi="Arial" w:cs="Arial"/>
                <w:sz w:val="16"/>
                <w:szCs w:val="16"/>
              </w:rPr>
            </w:pPr>
          </w:p>
        </w:tc>
      </w:tr>
      <w:tr w:rsidR="004C4F65" w:rsidRPr="00E97142" w14:paraId="0A132514" w14:textId="77777777" w:rsidTr="00EB52E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31757E" w14:textId="28D3A89A" w:rsidR="004C4F65" w:rsidRPr="00987D0D" w:rsidRDefault="004C4F65" w:rsidP="00FB2EC6">
            <w:pPr>
              <w:rPr>
                <w:rFonts w:ascii="Arial" w:hAnsi="Arial" w:cs="Arial"/>
                <w:color w:val="000000"/>
                <w:sz w:val="16"/>
                <w:szCs w:val="16"/>
              </w:rPr>
            </w:pPr>
            <w:r w:rsidRPr="00B53593">
              <w:rPr>
                <w:rFonts w:ascii="Arial" w:hAnsi="Arial" w:cs="Arial"/>
                <w:sz w:val="16"/>
                <w:szCs w:val="16"/>
              </w:rPr>
              <w:t>Income generated from trading operations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FFFFFF" w:themeFill="background1"/>
            <w:noWrap/>
          </w:tcPr>
          <w:p w14:paraId="5C752250" w14:textId="51DA74AC"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shd w:val="clear" w:color="auto" w:fill="FFFFFF" w:themeFill="background1"/>
            <w:noWrap/>
          </w:tcPr>
          <w:p w14:paraId="14B2321A" w14:textId="19E3C3C7" w:rsidR="004C4F65" w:rsidRPr="00FB5046"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FFFFFF" w:themeFill="background1"/>
            <w:noWrap/>
          </w:tcPr>
          <w:p w14:paraId="1338DD86" w14:textId="4DCF0446"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shd w:val="clear" w:color="auto" w:fill="FFFFFF" w:themeFill="background1"/>
            <w:noWrap/>
          </w:tcPr>
          <w:p w14:paraId="07971B80" w14:textId="77777777"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shd w:val="clear" w:color="auto" w:fill="FFFFFF" w:themeFill="background1"/>
            <w:noWrap/>
          </w:tcPr>
          <w:p w14:paraId="4B06AB5B" w14:textId="77777777" w:rsidR="004C4F65" w:rsidRPr="00FB5046"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shd w:val="clear" w:color="auto" w:fill="FFFFFF" w:themeFill="background1"/>
            <w:noWrap/>
            <w:vAlign w:val="center"/>
          </w:tcPr>
          <w:p w14:paraId="59E8A231"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FFFFFF" w:themeFill="background1"/>
            <w:vAlign w:val="center"/>
          </w:tcPr>
          <w:p w14:paraId="4CA30D5D"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FFFFFF" w:themeFill="background1"/>
            <w:vAlign w:val="center"/>
          </w:tcPr>
          <w:p w14:paraId="26448147"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shd w:val="clear" w:color="auto" w:fill="FFFFFF" w:themeFill="background1"/>
            <w:vAlign w:val="center"/>
          </w:tcPr>
          <w:p w14:paraId="2D204820"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shd w:val="clear" w:color="auto" w:fill="FFFFFF" w:themeFill="background1"/>
            <w:vAlign w:val="center"/>
          </w:tcPr>
          <w:p w14:paraId="4A7BCA77" w14:textId="77777777" w:rsidR="004C4F65" w:rsidRPr="00E97142" w:rsidRDefault="004C4F65" w:rsidP="004C4F65">
            <w:pPr>
              <w:jc w:val="right"/>
              <w:rPr>
                <w:rFonts w:ascii="Arial" w:hAnsi="Arial" w:cs="Arial"/>
                <w:sz w:val="16"/>
                <w:szCs w:val="16"/>
              </w:rPr>
            </w:pPr>
          </w:p>
        </w:tc>
      </w:tr>
      <w:tr w:rsidR="004C4F65" w:rsidRPr="00E97142" w14:paraId="1C8AFDEF" w14:textId="77777777" w:rsidTr="00EB52E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822EAF" w14:textId="7C1350D5" w:rsidR="004C4F65" w:rsidRPr="00987D0D" w:rsidRDefault="004C4F65" w:rsidP="00FB2EC6">
            <w:pPr>
              <w:rPr>
                <w:rFonts w:ascii="Arial" w:hAnsi="Arial" w:cs="Arial"/>
                <w:color w:val="000000"/>
                <w:sz w:val="16"/>
                <w:szCs w:val="16"/>
              </w:rPr>
            </w:pPr>
            <w:r w:rsidRPr="00B53593">
              <w:rPr>
                <w:rFonts w:ascii="Arial" w:hAnsi="Arial" w:cs="Arial"/>
                <w:sz w:val="16"/>
                <w:szCs w:val="16"/>
              </w:rPr>
              <w:t>Income generated from shared premises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6C45AED0" w14:textId="77777777"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48504717"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4AC41BFD" w14:textId="44BAB9FC"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6072A28F" w14:textId="77777777"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28D32623"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476ACC8E"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7363422"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57AE04F"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5FBF603"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5E19BD96" w14:textId="77777777" w:rsidR="004C4F65" w:rsidRPr="00E97142" w:rsidRDefault="004C4F65" w:rsidP="004C4F65">
            <w:pPr>
              <w:jc w:val="right"/>
              <w:rPr>
                <w:rFonts w:ascii="Arial" w:hAnsi="Arial" w:cs="Arial"/>
                <w:sz w:val="16"/>
                <w:szCs w:val="16"/>
              </w:rPr>
            </w:pPr>
          </w:p>
        </w:tc>
      </w:tr>
      <w:tr w:rsidR="004C4F65" w:rsidRPr="00E97142" w14:paraId="707D5880" w14:textId="77777777" w:rsidTr="00EB52E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3C7685" w14:textId="7AE8658E" w:rsidR="004C4F65" w:rsidRPr="00987D0D" w:rsidRDefault="004C4F65" w:rsidP="00FB2EC6">
            <w:pPr>
              <w:rPr>
                <w:rFonts w:ascii="Arial" w:hAnsi="Arial" w:cs="Arial"/>
                <w:color w:val="000000"/>
                <w:sz w:val="16"/>
                <w:szCs w:val="16"/>
              </w:rPr>
            </w:pPr>
            <w:r w:rsidRPr="00B53593">
              <w:rPr>
                <w:rFonts w:ascii="Arial" w:hAnsi="Arial" w:cs="Arial"/>
                <w:sz w:val="16"/>
                <w:szCs w:val="16"/>
              </w:rPr>
              <w:t>Income generated from interest on investments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99B84BC" w14:textId="5661E421"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5E4017E2" w14:textId="2719676C" w:rsidR="004C4F65" w:rsidRPr="00E97142" w:rsidRDefault="000E00FF" w:rsidP="004C4F65">
            <w:pPr>
              <w:jc w:val="right"/>
              <w:rPr>
                <w:rFonts w:ascii="Arial" w:hAnsi="Arial" w:cs="Arial"/>
                <w:sz w:val="16"/>
                <w:szCs w:val="16"/>
              </w:rPr>
            </w:pPr>
            <w:r>
              <w:rPr>
                <w:rFonts w:ascii="Arial" w:hAnsi="Arial" w:cs="Arial"/>
                <w:sz w:val="16"/>
                <w:szCs w:val="16"/>
              </w:rPr>
              <w:t>108</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5BE10F0B" w14:textId="77777777"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640AFFF2" w14:textId="69738E5F" w:rsidR="004C4F65" w:rsidRPr="00E97142" w:rsidRDefault="004A2AA4" w:rsidP="004C4F65">
            <w:pPr>
              <w:jc w:val="right"/>
              <w:rPr>
                <w:rFonts w:ascii="Arial" w:hAnsi="Arial" w:cs="Arial"/>
                <w:color w:val="000000"/>
                <w:sz w:val="16"/>
                <w:szCs w:val="16"/>
              </w:rPr>
            </w:pPr>
            <w:r>
              <w:rPr>
                <w:rFonts w:ascii="Arial" w:hAnsi="Arial" w:cs="Arial"/>
                <w:color w:val="000000"/>
                <w:sz w:val="16"/>
                <w:szCs w:val="16"/>
              </w:rPr>
              <w:t>213</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1509D6C9"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358197C4"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47A7FD44"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12ABE2FC"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672FA9BF"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2A8FFA2D" w14:textId="77777777" w:rsidR="004C4F65" w:rsidRPr="00E97142" w:rsidRDefault="004C4F65" w:rsidP="004C4F65">
            <w:pPr>
              <w:jc w:val="right"/>
              <w:rPr>
                <w:rFonts w:ascii="Arial" w:hAnsi="Arial" w:cs="Arial"/>
                <w:sz w:val="16"/>
                <w:szCs w:val="16"/>
              </w:rPr>
            </w:pPr>
          </w:p>
        </w:tc>
      </w:tr>
      <w:tr w:rsidR="004C4F65" w:rsidRPr="00E97142" w14:paraId="181043A7" w14:textId="77777777" w:rsidTr="00EB52E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B923A2" w14:textId="5B8E66C5" w:rsidR="004C4F65" w:rsidRPr="00987D0D" w:rsidRDefault="004C4F65" w:rsidP="00FB2EC6">
            <w:pPr>
              <w:rPr>
                <w:rFonts w:ascii="Arial" w:hAnsi="Arial" w:cs="Arial"/>
                <w:color w:val="000000"/>
                <w:sz w:val="16"/>
                <w:szCs w:val="16"/>
              </w:rPr>
            </w:pPr>
            <w:r w:rsidRPr="00B53593">
              <w:rPr>
                <w:rFonts w:ascii="Arial" w:hAnsi="Arial" w:cs="Arial"/>
                <w:sz w:val="16"/>
                <w:szCs w:val="16"/>
              </w:rPr>
              <w:t>Income generated from other sources</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4098BE84" w14:textId="77777777"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3ED19E6D"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AB79896" w14:textId="77777777"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406575EE" w14:textId="77777777" w:rsidR="004C4F65" w:rsidRPr="00E97142" w:rsidRDefault="004C4F65" w:rsidP="004C4F65">
            <w:pPr>
              <w:jc w:val="right"/>
              <w:rPr>
                <w:rFonts w:ascii="Arial" w:hAnsi="Arial" w:cs="Arial"/>
                <w:color w:val="000000"/>
                <w:sz w:val="16"/>
                <w:szCs w:val="16"/>
              </w:rPr>
            </w:pP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F69F139"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6E57CF4D"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39B8B4A2"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DF687D6"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5C6068A" w14:textId="77777777" w:rsidR="004C4F65" w:rsidRPr="00E97142" w:rsidRDefault="004C4F65" w:rsidP="004C4F65">
            <w:pPr>
              <w:jc w:val="right"/>
              <w:rPr>
                <w:rFonts w:ascii="Arial" w:hAnsi="Arial" w:cs="Arial"/>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48F5C841" w14:textId="77777777" w:rsidR="004C4F65" w:rsidRPr="00E97142" w:rsidRDefault="004C4F65" w:rsidP="004C4F65">
            <w:pPr>
              <w:jc w:val="right"/>
              <w:rPr>
                <w:rFonts w:ascii="Arial" w:hAnsi="Arial" w:cs="Arial"/>
                <w:sz w:val="16"/>
                <w:szCs w:val="16"/>
              </w:rPr>
            </w:pPr>
          </w:p>
        </w:tc>
      </w:tr>
      <w:tr w:rsidR="004C4F65" w:rsidRPr="00EB52E2" w14:paraId="1CB863EC" w14:textId="77777777" w:rsidTr="00EB52E2">
        <w:trPr>
          <w:trHeight w:val="315"/>
        </w:trPr>
        <w:tc>
          <w:tcPr>
            <w:tcW w:w="3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00F92" w14:textId="04379DF4" w:rsidR="004C4F65" w:rsidRPr="00EB52E2" w:rsidRDefault="004C4F65" w:rsidP="00FB2EC6">
            <w:pPr>
              <w:rPr>
                <w:rFonts w:ascii="Arial" w:hAnsi="Arial" w:cs="Arial"/>
                <w:b/>
                <w:bCs/>
                <w:color w:val="000000"/>
                <w:sz w:val="16"/>
                <w:szCs w:val="16"/>
              </w:rPr>
            </w:pPr>
            <w:r w:rsidRPr="006E6B1E">
              <w:rPr>
                <w:rFonts w:ascii="Arial" w:hAnsi="Arial" w:cs="Arial"/>
                <w:b/>
                <w:bCs/>
                <w:sz w:val="16"/>
                <w:szCs w:val="16"/>
              </w:rPr>
              <w:t xml:space="preserve">Total </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74622CD4" w14:textId="0479AD3E" w:rsidR="004C4F65" w:rsidRPr="00EB52E2" w:rsidRDefault="004C4F65" w:rsidP="004C4F65">
            <w:pPr>
              <w:jc w:val="right"/>
              <w:rPr>
                <w:rFonts w:ascii="Arial" w:hAnsi="Arial" w:cs="Arial"/>
                <w:b/>
                <w:bCs/>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755EA438" w14:textId="28D356BE" w:rsidR="004C4F65" w:rsidRPr="00EB52E2" w:rsidRDefault="000E00FF" w:rsidP="004C4F65">
            <w:pPr>
              <w:jc w:val="right"/>
              <w:rPr>
                <w:rFonts w:ascii="Arial" w:hAnsi="Arial" w:cs="Arial"/>
                <w:b/>
                <w:bCs/>
                <w:sz w:val="16"/>
                <w:szCs w:val="16"/>
              </w:rPr>
            </w:pPr>
            <w:r>
              <w:rPr>
                <w:rFonts w:ascii="Arial" w:hAnsi="Arial" w:cs="Arial"/>
                <w:b/>
                <w:bCs/>
                <w:sz w:val="16"/>
                <w:szCs w:val="16"/>
              </w:rPr>
              <w:t>108</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4ACEE510" w14:textId="77777777" w:rsidR="004C4F65" w:rsidRPr="00EB52E2" w:rsidRDefault="004C4F65" w:rsidP="004C4F65">
            <w:pPr>
              <w:jc w:val="right"/>
              <w:rPr>
                <w:rFonts w:ascii="Arial" w:hAnsi="Arial" w:cs="Arial"/>
                <w:b/>
                <w:bCs/>
                <w:color w:val="000000"/>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nil"/>
            </w:tcBorders>
            <w:noWrap/>
            <w:vAlign w:val="center"/>
          </w:tcPr>
          <w:p w14:paraId="7E36863A" w14:textId="2053B978" w:rsidR="004C4F65" w:rsidRPr="00EB52E2" w:rsidRDefault="006E6B1E" w:rsidP="004C4F65">
            <w:pPr>
              <w:jc w:val="right"/>
              <w:rPr>
                <w:rFonts w:ascii="Arial" w:hAnsi="Arial" w:cs="Arial"/>
                <w:b/>
                <w:bCs/>
                <w:color w:val="000000"/>
                <w:sz w:val="16"/>
                <w:szCs w:val="16"/>
              </w:rPr>
            </w:pPr>
            <w:r w:rsidRPr="00EB52E2">
              <w:rPr>
                <w:rFonts w:ascii="Arial" w:hAnsi="Arial" w:cs="Arial"/>
                <w:b/>
                <w:bCs/>
                <w:color w:val="000000"/>
                <w:sz w:val="16"/>
                <w:szCs w:val="16"/>
              </w:rPr>
              <w:t>250</w:t>
            </w:r>
          </w:p>
        </w:tc>
        <w:tc>
          <w:tcPr>
            <w:tcW w:w="1077" w:type="dxa"/>
            <w:tcBorders>
              <w:top w:val="single" w:sz="8" w:space="0" w:color="000000" w:themeColor="text1" w:themeShade="00"/>
              <w:left w:val="single" w:sz="8" w:space="0" w:color="000000" w:themeColor="text1"/>
              <w:bottom w:val="single" w:sz="8" w:space="0" w:color="000000" w:themeColor="text1" w:themeShade="00"/>
              <w:right w:val="single" w:sz="8" w:space="0" w:color="000000" w:themeColor="text1" w:themeShade="00"/>
            </w:tcBorders>
            <w:noWrap/>
            <w:vAlign w:val="center"/>
          </w:tcPr>
          <w:p w14:paraId="0CC86319" w14:textId="77777777" w:rsidR="004C4F65" w:rsidRPr="00EB52E2" w:rsidRDefault="004C4F65" w:rsidP="004C4F65">
            <w:pPr>
              <w:jc w:val="right"/>
              <w:rPr>
                <w:rFonts w:ascii="Arial" w:hAnsi="Arial" w:cs="Arial"/>
                <w:b/>
                <w:bCs/>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noWrap/>
            <w:vAlign w:val="center"/>
          </w:tcPr>
          <w:p w14:paraId="7E8E6BA7" w14:textId="77777777" w:rsidR="004C4F65" w:rsidRPr="00EB52E2" w:rsidRDefault="004C4F65" w:rsidP="004C4F65">
            <w:pPr>
              <w:jc w:val="right"/>
              <w:rPr>
                <w:rFonts w:ascii="Arial" w:hAnsi="Arial" w:cs="Arial"/>
                <w:b/>
                <w:bCs/>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38C4E100" w14:textId="77777777" w:rsidR="004C4F65" w:rsidRPr="00EB52E2" w:rsidRDefault="004C4F65" w:rsidP="004C4F65">
            <w:pPr>
              <w:jc w:val="right"/>
              <w:rPr>
                <w:rFonts w:ascii="Arial" w:hAnsi="Arial" w:cs="Arial"/>
                <w:b/>
                <w:bCs/>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73F8963D" w14:textId="77777777" w:rsidR="004C4F65" w:rsidRPr="00EB52E2" w:rsidRDefault="004C4F65" w:rsidP="004C4F65">
            <w:pPr>
              <w:jc w:val="right"/>
              <w:rPr>
                <w:rFonts w:ascii="Arial" w:hAnsi="Arial" w:cs="Arial"/>
                <w:b/>
                <w:bCs/>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hemeShade="00"/>
            </w:tcBorders>
            <w:vAlign w:val="center"/>
          </w:tcPr>
          <w:p w14:paraId="22A888D0" w14:textId="77777777" w:rsidR="004C4F65" w:rsidRPr="00EB52E2" w:rsidRDefault="004C4F65" w:rsidP="004C4F65">
            <w:pPr>
              <w:jc w:val="right"/>
              <w:rPr>
                <w:rFonts w:ascii="Arial" w:hAnsi="Arial" w:cs="Arial"/>
                <w:b/>
                <w:bCs/>
                <w:sz w:val="16"/>
                <w:szCs w:val="16"/>
              </w:rPr>
            </w:pPr>
          </w:p>
        </w:tc>
        <w:tc>
          <w:tcPr>
            <w:tcW w:w="1077" w:type="dxa"/>
            <w:tcBorders>
              <w:top w:val="single" w:sz="8" w:space="0" w:color="000000" w:themeColor="text1" w:themeShade="00"/>
              <w:left w:val="single" w:sz="8" w:space="0" w:color="000000" w:themeColor="text1" w:themeShade="00"/>
              <w:bottom w:val="single" w:sz="8" w:space="0" w:color="000000" w:themeColor="text1" w:themeShade="00"/>
              <w:right w:val="single" w:sz="8" w:space="0" w:color="000000" w:themeColor="text1"/>
            </w:tcBorders>
            <w:vAlign w:val="center"/>
          </w:tcPr>
          <w:p w14:paraId="369567B5" w14:textId="77777777" w:rsidR="004C4F65" w:rsidRPr="00EB52E2" w:rsidRDefault="004C4F65" w:rsidP="004C4F65">
            <w:pPr>
              <w:jc w:val="right"/>
              <w:rPr>
                <w:rFonts w:ascii="Arial" w:hAnsi="Arial" w:cs="Arial"/>
                <w:b/>
                <w:bCs/>
                <w:sz w:val="16"/>
                <w:szCs w:val="16"/>
              </w:rPr>
            </w:pPr>
          </w:p>
        </w:tc>
      </w:tr>
    </w:tbl>
    <w:p w14:paraId="7EBC9B84" w14:textId="77777777" w:rsidR="00116D0D" w:rsidRDefault="00116D0D">
      <w:pPr>
        <w:rPr>
          <w:rFonts w:ascii="Arial" w:hAnsi="Arial" w:cs="Arial"/>
          <w:b/>
          <w:bCs/>
          <w:szCs w:val="24"/>
        </w:rPr>
        <w:sectPr w:rsidR="00116D0D" w:rsidSect="007B0B16">
          <w:pgSz w:w="16840" w:h="11907" w:orient="landscape" w:code="9"/>
          <w:pgMar w:top="1797" w:right="1440" w:bottom="1797" w:left="1440" w:header="720" w:footer="720" w:gutter="0"/>
          <w:cols w:space="720"/>
        </w:sectPr>
      </w:pPr>
    </w:p>
    <w:p w14:paraId="655913BB" w14:textId="276D7460" w:rsidR="00B36B7B" w:rsidRPr="00AA3DE8" w:rsidRDefault="00B36B7B" w:rsidP="44AC8DC3">
      <w:pPr>
        <w:rPr>
          <w:rFonts w:ascii="Arial" w:hAnsi="Arial" w:cs="Arial"/>
          <w:b/>
          <w:bCs/>
          <w:sz w:val="28"/>
          <w:szCs w:val="28"/>
        </w:rPr>
      </w:pPr>
      <w:r w:rsidRPr="00AA3DE8">
        <w:rPr>
          <w:rFonts w:ascii="Arial" w:hAnsi="Arial" w:cs="Arial"/>
          <w:b/>
          <w:bCs/>
          <w:sz w:val="28"/>
          <w:szCs w:val="28"/>
        </w:rPr>
        <w:lastRenderedPageBreak/>
        <w:t xml:space="preserve">Efficiency </w:t>
      </w:r>
      <w:r w:rsidR="00F355DD" w:rsidRPr="00AA3DE8">
        <w:rPr>
          <w:rFonts w:ascii="Arial" w:hAnsi="Arial" w:cs="Arial"/>
          <w:b/>
          <w:bCs/>
          <w:sz w:val="28"/>
          <w:szCs w:val="28"/>
        </w:rPr>
        <w:t>Narrative</w:t>
      </w:r>
    </w:p>
    <w:p w14:paraId="2ACD0F26" w14:textId="77777777" w:rsidR="0086739B" w:rsidRPr="00AA3DE8" w:rsidRDefault="0086739B" w:rsidP="44AC8DC3">
      <w:pPr>
        <w:rPr>
          <w:rFonts w:ascii="Arial" w:hAnsi="Arial" w:cs="Arial"/>
          <w:b/>
          <w:bCs/>
          <w:szCs w:val="24"/>
        </w:rPr>
      </w:pPr>
    </w:p>
    <w:p w14:paraId="53830F41" w14:textId="28E63DF4" w:rsidR="004620EC" w:rsidRPr="00AA3DE8" w:rsidRDefault="004620EC" w:rsidP="6218B4DB">
      <w:pPr>
        <w:rPr>
          <w:rFonts w:ascii="Arial" w:hAnsi="Arial" w:cs="Arial"/>
          <w:b/>
          <w:bCs/>
          <w:color w:val="000000" w:themeColor="text1"/>
          <w:szCs w:val="24"/>
        </w:rPr>
      </w:pPr>
      <w:r w:rsidRPr="00AA3DE8">
        <w:rPr>
          <w:rFonts w:ascii="Arial" w:hAnsi="Arial" w:cs="Arial"/>
          <w:b/>
          <w:bCs/>
          <w:szCs w:val="24"/>
        </w:rPr>
        <w:t>Direct Employee</w:t>
      </w:r>
    </w:p>
    <w:p w14:paraId="3484067E" w14:textId="77777777" w:rsidR="00280C7C" w:rsidRPr="00AA3DE8" w:rsidRDefault="00280C7C" w:rsidP="6218B4DB">
      <w:pPr>
        <w:rPr>
          <w:rFonts w:ascii="Arial" w:hAnsi="Arial" w:cs="Arial"/>
          <w:b/>
          <w:bCs/>
          <w:color w:val="000000" w:themeColor="text1"/>
          <w:szCs w:val="24"/>
        </w:rPr>
      </w:pPr>
    </w:p>
    <w:tbl>
      <w:tblPr>
        <w:tblStyle w:val="TableGrid"/>
        <w:tblW w:w="0" w:type="auto"/>
        <w:tblLook w:val="04A0" w:firstRow="1" w:lastRow="0" w:firstColumn="1" w:lastColumn="0" w:noHBand="0" w:noVBand="1"/>
      </w:tblPr>
      <w:tblGrid>
        <w:gridCol w:w="8303"/>
      </w:tblGrid>
      <w:tr w:rsidR="004620EC" w:rsidRPr="007530EC" w14:paraId="552F0DDA" w14:textId="77777777" w:rsidTr="000164C4">
        <w:trPr>
          <w:trHeight w:val="375"/>
        </w:trPr>
        <w:tc>
          <w:tcPr>
            <w:tcW w:w="8303" w:type="dxa"/>
            <w:shd w:val="clear" w:color="auto" w:fill="F2F2F2" w:themeFill="background1" w:themeFillShade="F2"/>
          </w:tcPr>
          <w:p w14:paraId="6BAA2247" w14:textId="73D1BC30" w:rsidR="000A3F01" w:rsidRPr="000164C4" w:rsidRDefault="30989F93" w:rsidP="00ED3676">
            <w:pPr>
              <w:rPr>
                <w:rFonts w:ascii="Arial" w:hAnsi="Arial" w:cs="Arial"/>
                <w:b/>
                <w:bCs/>
                <w:szCs w:val="24"/>
              </w:rPr>
            </w:pPr>
            <w:r w:rsidRPr="000164C4">
              <w:rPr>
                <w:rFonts w:ascii="Arial" w:hAnsi="Arial" w:cs="Arial"/>
                <w:b/>
                <w:bCs/>
                <w:szCs w:val="24"/>
              </w:rPr>
              <w:t>£</w:t>
            </w:r>
            <w:r w:rsidR="31A32285" w:rsidRPr="000164C4">
              <w:rPr>
                <w:rFonts w:ascii="Arial" w:hAnsi="Arial" w:cs="Arial"/>
                <w:b/>
                <w:bCs/>
                <w:szCs w:val="24"/>
              </w:rPr>
              <w:t>31,234</w:t>
            </w:r>
            <w:r w:rsidRPr="000164C4">
              <w:rPr>
                <w:rFonts w:ascii="Arial" w:hAnsi="Arial" w:cs="Arial"/>
                <w:b/>
                <w:bCs/>
                <w:szCs w:val="24"/>
              </w:rPr>
              <w:t xml:space="preserve"> </w:t>
            </w:r>
            <w:r w:rsidR="00220A77" w:rsidRPr="000164C4">
              <w:rPr>
                <w:rFonts w:ascii="Arial" w:hAnsi="Arial" w:cs="Arial"/>
                <w:b/>
                <w:bCs/>
                <w:szCs w:val="24"/>
              </w:rPr>
              <w:t xml:space="preserve">recurring </w:t>
            </w:r>
            <w:r w:rsidRPr="000164C4">
              <w:rPr>
                <w:rFonts w:ascii="Arial" w:hAnsi="Arial" w:cs="Arial"/>
                <w:b/>
                <w:bCs/>
                <w:szCs w:val="24"/>
              </w:rPr>
              <w:t xml:space="preserve">cashable </w:t>
            </w:r>
            <w:r w:rsidR="00220A77" w:rsidRPr="000164C4">
              <w:rPr>
                <w:rFonts w:ascii="Arial" w:hAnsi="Arial" w:cs="Arial"/>
                <w:b/>
                <w:bCs/>
                <w:szCs w:val="24"/>
              </w:rPr>
              <w:t xml:space="preserve">efficiency </w:t>
            </w:r>
            <w:r w:rsidRPr="000164C4">
              <w:rPr>
                <w:rFonts w:ascii="Arial" w:hAnsi="Arial" w:cs="Arial"/>
                <w:b/>
                <w:bCs/>
                <w:szCs w:val="24"/>
              </w:rPr>
              <w:t>saving</w:t>
            </w:r>
            <w:r w:rsidR="57EA9A47" w:rsidRPr="000164C4">
              <w:rPr>
                <w:rFonts w:ascii="Arial" w:hAnsi="Arial" w:cs="Arial"/>
                <w:b/>
                <w:bCs/>
                <w:szCs w:val="24"/>
              </w:rPr>
              <w:t xml:space="preserve"> </w:t>
            </w:r>
            <w:r w:rsidR="00316E18">
              <w:rPr>
                <w:rFonts w:ascii="Arial" w:hAnsi="Arial" w:cs="Arial"/>
                <w:b/>
                <w:bCs/>
                <w:szCs w:val="24"/>
              </w:rPr>
              <w:t>removing a vacant</w:t>
            </w:r>
            <w:r w:rsidR="736DF357" w:rsidRPr="000164C4">
              <w:rPr>
                <w:rFonts w:ascii="Arial" w:hAnsi="Arial" w:cs="Arial"/>
                <w:b/>
                <w:bCs/>
                <w:szCs w:val="24"/>
              </w:rPr>
              <w:t xml:space="preserve"> </w:t>
            </w:r>
            <w:r w:rsidR="00316E18">
              <w:rPr>
                <w:rFonts w:ascii="Arial" w:hAnsi="Arial" w:cs="Arial"/>
                <w:b/>
                <w:bCs/>
                <w:szCs w:val="24"/>
              </w:rPr>
              <w:t>post</w:t>
            </w:r>
          </w:p>
          <w:p w14:paraId="65ED219A" w14:textId="21E4A9AD" w:rsidR="000A3F01" w:rsidRPr="00ED3676" w:rsidRDefault="7A95F8F7" w:rsidP="000164C4">
            <w:pPr>
              <w:rPr>
                <w:rFonts w:ascii="Arial" w:hAnsi="Arial" w:cs="Arial"/>
                <w:szCs w:val="24"/>
              </w:rPr>
            </w:pPr>
            <w:r w:rsidRPr="000164C4">
              <w:rPr>
                <w:rFonts w:ascii="Arial" w:hAnsi="Arial" w:cs="Arial"/>
                <w:szCs w:val="24"/>
              </w:rPr>
              <w:t>This saving in the Corporate Communications Department creates a cashable efficiency of £31,234 in 2025-26 and £31,234 in 2026-27 (tot</w:t>
            </w:r>
            <w:r w:rsidR="0EBCD985" w:rsidRPr="000164C4">
              <w:rPr>
                <w:rFonts w:ascii="Arial" w:hAnsi="Arial" w:cs="Arial"/>
                <w:szCs w:val="24"/>
              </w:rPr>
              <w:t xml:space="preserve">al £62,468) </w:t>
            </w:r>
            <w:r w:rsidRPr="000164C4">
              <w:rPr>
                <w:rFonts w:ascii="Arial" w:hAnsi="Arial" w:cs="Arial"/>
                <w:szCs w:val="24"/>
              </w:rPr>
              <w:t xml:space="preserve">by </w:t>
            </w:r>
            <w:r w:rsidR="552A672F" w:rsidRPr="000164C4">
              <w:rPr>
                <w:rFonts w:ascii="Arial" w:hAnsi="Arial" w:cs="Arial"/>
                <w:szCs w:val="24"/>
              </w:rPr>
              <w:t>redistributing work and</w:t>
            </w:r>
            <w:r w:rsidRPr="000164C4">
              <w:rPr>
                <w:rFonts w:ascii="Arial" w:hAnsi="Arial" w:cs="Arial"/>
                <w:szCs w:val="24"/>
              </w:rPr>
              <w:t xml:space="preserve"> </w:t>
            </w:r>
            <w:r w:rsidR="3CF52166" w:rsidRPr="000164C4">
              <w:rPr>
                <w:rFonts w:ascii="Arial" w:hAnsi="Arial" w:cs="Arial"/>
                <w:szCs w:val="24"/>
              </w:rPr>
              <w:t xml:space="preserve">utilising skills within the department instead of recruiting to </w:t>
            </w:r>
            <w:r w:rsidRPr="000164C4">
              <w:rPr>
                <w:rFonts w:ascii="Arial" w:hAnsi="Arial" w:cs="Arial"/>
                <w:szCs w:val="24"/>
              </w:rPr>
              <w:t>a</w:t>
            </w:r>
            <w:r w:rsidR="4F64D3FA" w:rsidRPr="000164C4">
              <w:rPr>
                <w:rFonts w:ascii="Arial" w:hAnsi="Arial" w:cs="Arial"/>
                <w:szCs w:val="24"/>
              </w:rPr>
              <w:t xml:space="preserve"> </w:t>
            </w:r>
            <w:r w:rsidR="3CF52166" w:rsidRPr="000164C4">
              <w:rPr>
                <w:rFonts w:ascii="Arial" w:hAnsi="Arial" w:cs="Arial"/>
                <w:szCs w:val="24"/>
              </w:rPr>
              <w:t>new post</w:t>
            </w:r>
            <w:r w:rsidRPr="000164C4">
              <w:rPr>
                <w:rFonts w:ascii="Arial" w:hAnsi="Arial" w:cs="Arial"/>
                <w:szCs w:val="24"/>
              </w:rPr>
              <w:t xml:space="preserve">. </w:t>
            </w:r>
            <w:r w:rsidR="3C5A6DF2" w:rsidRPr="000164C4">
              <w:rPr>
                <w:rFonts w:ascii="Arial" w:hAnsi="Arial" w:cs="Arial"/>
                <w:szCs w:val="24"/>
              </w:rPr>
              <w:t>An additional £6,000 has been saved through saved training fees for a Level 4</w:t>
            </w:r>
            <w:r w:rsidR="0A66210A" w:rsidRPr="000164C4">
              <w:rPr>
                <w:rFonts w:ascii="Arial" w:hAnsi="Arial" w:cs="Arial"/>
                <w:szCs w:val="24"/>
              </w:rPr>
              <w:t xml:space="preserve"> </w:t>
            </w:r>
            <w:r w:rsidR="3C5A6DF2" w:rsidRPr="000164C4">
              <w:rPr>
                <w:rFonts w:ascii="Arial" w:hAnsi="Arial" w:cs="Arial"/>
                <w:szCs w:val="24"/>
              </w:rPr>
              <w:t>apprenticeship.</w:t>
            </w:r>
          </w:p>
        </w:tc>
      </w:tr>
    </w:tbl>
    <w:p w14:paraId="0933362C" w14:textId="77777777" w:rsidR="004620EC" w:rsidRPr="00AA3DE8" w:rsidRDefault="004620EC" w:rsidP="6218B4DB">
      <w:pPr>
        <w:rPr>
          <w:rFonts w:ascii="Arial" w:hAnsi="Arial" w:cs="Arial"/>
          <w:b/>
          <w:bCs/>
          <w:color w:val="000000" w:themeColor="text1"/>
          <w:szCs w:val="24"/>
        </w:rPr>
      </w:pPr>
    </w:p>
    <w:p w14:paraId="0CB1DE86" w14:textId="00D9BCC7" w:rsidR="004620EC" w:rsidRPr="00AA3DE8" w:rsidRDefault="004620EC" w:rsidP="6218B4DB">
      <w:pPr>
        <w:rPr>
          <w:rFonts w:ascii="Arial" w:hAnsi="Arial" w:cs="Arial"/>
          <w:b/>
          <w:bCs/>
          <w:color w:val="000000" w:themeColor="text1"/>
          <w:szCs w:val="24"/>
        </w:rPr>
      </w:pPr>
      <w:r w:rsidRPr="00AA3DE8">
        <w:rPr>
          <w:rFonts w:ascii="Arial" w:hAnsi="Arial" w:cs="Arial"/>
          <w:b/>
          <w:bCs/>
          <w:szCs w:val="24"/>
        </w:rPr>
        <w:t>Indirect Employee</w:t>
      </w:r>
    </w:p>
    <w:p w14:paraId="57BAF245" w14:textId="77777777" w:rsidR="00280C7C" w:rsidRPr="00AA3DE8" w:rsidRDefault="00280C7C" w:rsidP="6218B4DB">
      <w:pPr>
        <w:rPr>
          <w:rFonts w:ascii="Arial" w:hAnsi="Arial" w:cs="Arial"/>
          <w:b/>
          <w:bCs/>
          <w:color w:val="000000" w:themeColor="text1"/>
          <w:szCs w:val="24"/>
        </w:rPr>
      </w:pPr>
    </w:p>
    <w:tbl>
      <w:tblPr>
        <w:tblStyle w:val="TableGrid"/>
        <w:tblW w:w="0" w:type="auto"/>
        <w:tblLook w:val="04A0" w:firstRow="1" w:lastRow="0" w:firstColumn="1" w:lastColumn="0" w:noHBand="0" w:noVBand="1"/>
      </w:tblPr>
      <w:tblGrid>
        <w:gridCol w:w="8303"/>
      </w:tblGrid>
      <w:tr w:rsidR="004620EC" w:rsidRPr="00AA3DE8" w14:paraId="3FC2947C" w14:textId="77777777" w:rsidTr="6218B4DB">
        <w:tc>
          <w:tcPr>
            <w:tcW w:w="8303" w:type="dxa"/>
            <w:shd w:val="clear" w:color="auto" w:fill="F2F2F2" w:themeFill="background1" w:themeFillShade="F2"/>
          </w:tcPr>
          <w:p w14:paraId="16BEBD72" w14:textId="483DED4B" w:rsidR="00411951" w:rsidRPr="00EE25D6" w:rsidRDefault="003C1A30" w:rsidP="00411951">
            <w:pPr>
              <w:rPr>
                <w:rFonts w:ascii="Arial" w:hAnsi="Arial" w:cs="Arial"/>
                <w:b/>
                <w:bCs/>
                <w:szCs w:val="24"/>
              </w:rPr>
            </w:pPr>
            <w:r>
              <w:rPr>
                <w:rFonts w:ascii="Arial" w:hAnsi="Arial" w:cs="Arial"/>
                <w:b/>
                <w:bCs/>
                <w:szCs w:val="24"/>
              </w:rPr>
              <w:t xml:space="preserve">£500,000 </w:t>
            </w:r>
            <w:r w:rsidR="007530EC" w:rsidRPr="00EE25D6">
              <w:rPr>
                <w:rFonts w:ascii="Arial" w:hAnsi="Arial" w:cs="Arial"/>
                <w:b/>
                <w:bCs/>
                <w:szCs w:val="24"/>
              </w:rPr>
              <w:t>recurring cashable efficiency saving through effective deployment of resources and effective management of overtime</w:t>
            </w:r>
            <w:r w:rsidR="00411951">
              <w:rPr>
                <w:rFonts w:ascii="Arial" w:hAnsi="Arial" w:cs="Arial"/>
                <w:b/>
                <w:bCs/>
                <w:szCs w:val="24"/>
              </w:rPr>
              <w:t>.</w:t>
            </w:r>
          </w:p>
          <w:p w14:paraId="2E76787C" w14:textId="4678A2E1" w:rsidR="00411951" w:rsidRDefault="00411951" w:rsidP="00411951">
            <w:pPr>
              <w:rPr>
                <w:rFonts w:ascii="Arial" w:hAnsi="Arial" w:cs="Arial"/>
                <w:szCs w:val="24"/>
              </w:rPr>
            </w:pPr>
            <w:r>
              <w:rPr>
                <w:rFonts w:ascii="Arial" w:hAnsi="Arial" w:cs="Arial"/>
                <w:szCs w:val="24"/>
              </w:rPr>
              <w:t xml:space="preserve">In July 2025, Dynamic Resource Management (DRM) was introduced which was an additional option to manage staffing and resources without the need to utilise overtime. </w:t>
            </w:r>
            <w:r w:rsidRPr="00E77237">
              <w:rPr>
                <w:rFonts w:ascii="Arial" w:hAnsi="Arial" w:cs="Arial"/>
                <w:szCs w:val="24"/>
              </w:rPr>
              <w:t xml:space="preserve">Where no detachments </w:t>
            </w:r>
            <w:r>
              <w:rPr>
                <w:rFonts w:ascii="Arial" w:hAnsi="Arial" w:cs="Arial"/>
                <w:szCs w:val="24"/>
              </w:rPr>
              <w:t xml:space="preserve">(spare staff) </w:t>
            </w:r>
            <w:r w:rsidRPr="00E77237">
              <w:rPr>
                <w:rFonts w:ascii="Arial" w:hAnsi="Arial" w:cs="Arial"/>
                <w:szCs w:val="24"/>
              </w:rPr>
              <w:t xml:space="preserve">are available, second pumps at wholetime two pump stations may be taken off the run and the crew redistributed prior to going to overtime. </w:t>
            </w:r>
            <w:r w:rsidRPr="00EE25D6">
              <w:rPr>
                <w:rFonts w:ascii="Arial" w:hAnsi="Arial" w:cs="Arial"/>
                <w:szCs w:val="24"/>
              </w:rPr>
              <w:t>A recurr</w:t>
            </w:r>
            <w:r w:rsidR="00C81370">
              <w:rPr>
                <w:rFonts w:ascii="Arial" w:hAnsi="Arial" w:cs="Arial"/>
                <w:szCs w:val="24"/>
              </w:rPr>
              <w:t>ing</w:t>
            </w:r>
            <w:r w:rsidRPr="00EE25D6">
              <w:rPr>
                <w:rFonts w:ascii="Arial" w:hAnsi="Arial" w:cs="Arial"/>
                <w:szCs w:val="24"/>
              </w:rPr>
              <w:t xml:space="preserve"> cashable efficiency saving of £500,000 was </w:t>
            </w:r>
            <w:r>
              <w:rPr>
                <w:rFonts w:ascii="Arial" w:hAnsi="Arial" w:cs="Arial"/>
                <w:szCs w:val="24"/>
              </w:rPr>
              <w:t>reduced from the budget from</w:t>
            </w:r>
            <w:r w:rsidRPr="00EE25D6">
              <w:rPr>
                <w:rFonts w:ascii="Arial" w:hAnsi="Arial" w:cs="Arial"/>
                <w:szCs w:val="24"/>
              </w:rPr>
              <w:t xml:space="preserve"> 2025/26 by using </w:t>
            </w:r>
            <w:r>
              <w:rPr>
                <w:rFonts w:ascii="Arial" w:hAnsi="Arial" w:cs="Arial"/>
                <w:szCs w:val="24"/>
              </w:rPr>
              <w:t>DRM</w:t>
            </w:r>
            <w:r w:rsidRPr="00EE25D6">
              <w:rPr>
                <w:rFonts w:ascii="Arial" w:hAnsi="Arial" w:cs="Arial"/>
                <w:szCs w:val="24"/>
              </w:rPr>
              <w:t xml:space="preserve"> for the effective management of overtime, in 2025/26 £627,789 was delivered.</w:t>
            </w:r>
          </w:p>
          <w:p w14:paraId="4D8B789F" w14:textId="768BF128" w:rsidR="007530EC" w:rsidRDefault="007530EC" w:rsidP="007530EC">
            <w:pPr>
              <w:rPr>
                <w:rFonts w:ascii="Arial" w:hAnsi="Arial" w:cs="Arial"/>
                <w:color w:val="000000" w:themeColor="text1"/>
                <w:szCs w:val="24"/>
              </w:rPr>
            </w:pPr>
          </w:p>
          <w:p w14:paraId="1839B345" w14:textId="7A843D66" w:rsidR="00411951" w:rsidRDefault="007530EC" w:rsidP="00411951">
            <w:pPr>
              <w:rPr>
                <w:rFonts w:ascii="Arial" w:hAnsi="Arial" w:cs="Arial"/>
                <w:color w:val="000000" w:themeColor="text1"/>
                <w:szCs w:val="24"/>
              </w:rPr>
            </w:pPr>
            <w:r w:rsidRPr="001A31E7">
              <w:rPr>
                <w:rFonts w:ascii="Arial" w:hAnsi="Arial" w:cs="Arial"/>
                <w:color w:val="000000" w:themeColor="text1"/>
                <w:szCs w:val="24"/>
              </w:rPr>
              <w:t xml:space="preserve">Investment in a dynamic cover tool (DCT) identifies where emergency cover is needed based on real-time appliance locations and current demand, rather than the previous static model. It is used to monitor fire cover and plan relief strategies and cover moves. It has improved emergency cover and </w:t>
            </w:r>
            <w:r w:rsidR="00863929" w:rsidRPr="001A31E7">
              <w:rPr>
                <w:rFonts w:ascii="Arial" w:hAnsi="Arial" w:cs="Arial"/>
                <w:color w:val="000000" w:themeColor="text1"/>
                <w:szCs w:val="24"/>
              </w:rPr>
              <w:t xml:space="preserve">enabled the Service to </w:t>
            </w:r>
            <w:r w:rsidRPr="001A31E7">
              <w:rPr>
                <w:rFonts w:ascii="Arial" w:hAnsi="Arial" w:cs="Arial"/>
                <w:color w:val="000000" w:themeColor="text1"/>
                <w:szCs w:val="24"/>
              </w:rPr>
              <w:t>ma</w:t>
            </w:r>
            <w:r w:rsidR="00863929" w:rsidRPr="001A31E7">
              <w:rPr>
                <w:rFonts w:ascii="Arial" w:hAnsi="Arial" w:cs="Arial"/>
                <w:color w:val="000000" w:themeColor="text1"/>
                <w:szCs w:val="24"/>
              </w:rPr>
              <w:t>k</w:t>
            </w:r>
            <w:r w:rsidRPr="001A31E7">
              <w:rPr>
                <w:rFonts w:ascii="Arial" w:hAnsi="Arial" w:cs="Arial"/>
                <w:color w:val="000000" w:themeColor="text1"/>
                <w:szCs w:val="24"/>
              </w:rPr>
              <w:t xml:space="preserve">e </w:t>
            </w:r>
            <w:r w:rsidR="005A5DF4" w:rsidRPr="001A31E7">
              <w:rPr>
                <w:rFonts w:ascii="Arial" w:hAnsi="Arial" w:cs="Arial"/>
                <w:color w:val="000000" w:themeColor="text1"/>
                <w:szCs w:val="24"/>
              </w:rPr>
              <w:t xml:space="preserve">cashable </w:t>
            </w:r>
            <w:r w:rsidRPr="001A31E7">
              <w:rPr>
                <w:rFonts w:ascii="Arial" w:hAnsi="Arial" w:cs="Arial"/>
                <w:color w:val="000000" w:themeColor="text1"/>
                <w:szCs w:val="24"/>
              </w:rPr>
              <w:t>efficiency savings</w:t>
            </w:r>
            <w:r w:rsidR="00411951">
              <w:rPr>
                <w:rFonts w:ascii="Arial" w:hAnsi="Arial" w:cs="Arial"/>
                <w:color w:val="000000" w:themeColor="text1"/>
                <w:szCs w:val="24"/>
              </w:rPr>
              <w:t>. The DCT was fully embedded in April 2025, comparisons f</w:t>
            </w:r>
            <w:r w:rsidR="00411951" w:rsidRPr="001A31E7">
              <w:rPr>
                <w:rFonts w:ascii="Arial" w:hAnsi="Arial" w:cs="Arial"/>
                <w:color w:val="000000" w:themeColor="text1"/>
                <w:szCs w:val="24"/>
              </w:rPr>
              <w:t xml:space="preserve">rom </w:t>
            </w:r>
            <w:r w:rsidR="00411951" w:rsidRPr="00A56ADF">
              <w:rPr>
                <w:rFonts w:ascii="Arial" w:hAnsi="Arial" w:cs="Arial"/>
                <w:color w:val="000000" w:themeColor="text1"/>
                <w:szCs w:val="24"/>
              </w:rPr>
              <w:t>2024</w:t>
            </w:r>
            <w:r w:rsidR="00584B80">
              <w:rPr>
                <w:rFonts w:ascii="Arial" w:hAnsi="Arial" w:cs="Arial"/>
                <w:color w:val="000000" w:themeColor="text1"/>
                <w:szCs w:val="24"/>
              </w:rPr>
              <w:t>/</w:t>
            </w:r>
            <w:r w:rsidR="00411951" w:rsidRPr="00A56ADF">
              <w:rPr>
                <w:rFonts w:ascii="Arial" w:hAnsi="Arial" w:cs="Arial"/>
                <w:color w:val="000000" w:themeColor="text1"/>
                <w:szCs w:val="24"/>
              </w:rPr>
              <w:t>25 to 2025</w:t>
            </w:r>
            <w:r w:rsidR="00584B80">
              <w:rPr>
                <w:rFonts w:ascii="Arial" w:hAnsi="Arial" w:cs="Arial"/>
                <w:color w:val="000000" w:themeColor="text1"/>
                <w:szCs w:val="24"/>
              </w:rPr>
              <w:t>/</w:t>
            </w:r>
            <w:r w:rsidR="00411951" w:rsidRPr="00A56ADF">
              <w:rPr>
                <w:rFonts w:ascii="Arial" w:hAnsi="Arial" w:cs="Arial"/>
                <w:color w:val="000000" w:themeColor="text1"/>
                <w:szCs w:val="24"/>
              </w:rPr>
              <w:t>26</w:t>
            </w:r>
            <w:r w:rsidR="00411951" w:rsidRPr="001A31E7">
              <w:rPr>
                <w:rFonts w:ascii="Arial" w:hAnsi="Arial" w:cs="Arial"/>
                <w:color w:val="000000" w:themeColor="text1"/>
                <w:szCs w:val="24"/>
              </w:rPr>
              <w:t xml:space="preserve">, standby demand reduced markedly, delivering clear efficiency and cost benefits. </w:t>
            </w:r>
            <w:r w:rsidR="00411951" w:rsidRPr="00A56ADF">
              <w:rPr>
                <w:rFonts w:ascii="Arial" w:hAnsi="Arial" w:cs="Arial"/>
                <w:color w:val="000000" w:themeColor="text1"/>
                <w:szCs w:val="24"/>
              </w:rPr>
              <w:t>On Call standby moves</w:t>
            </w:r>
            <w:r w:rsidR="00411951" w:rsidRPr="001A31E7">
              <w:rPr>
                <w:rFonts w:ascii="Arial" w:hAnsi="Arial" w:cs="Arial"/>
                <w:color w:val="000000" w:themeColor="text1"/>
                <w:szCs w:val="24"/>
              </w:rPr>
              <w:t xml:space="preserve"> fell from </w:t>
            </w:r>
            <w:r w:rsidR="00411951" w:rsidRPr="00A56ADF">
              <w:rPr>
                <w:rFonts w:ascii="Arial" w:hAnsi="Arial" w:cs="Arial"/>
                <w:color w:val="000000" w:themeColor="text1"/>
                <w:szCs w:val="24"/>
              </w:rPr>
              <w:t>979 to 653</w:t>
            </w:r>
            <w:r w:rsidR="00411951" w:rsidRPr="001A31E7">
              <w:rPr>
                <w:rFonts w:ascii="Arial" w:hAnsi="Arial" w:cs="Arial"/>
                <w:color w:val="000000" w:themeColor="text1"/>
                <w:szCs w:val="24"/>
              </w:rPr>
              <w:t xml:space="preserve"> (down </w:t>
            </w:r>
            <w:r w:rsidR="00411951" w:rsidRPr="00A56ADF">
              <w:rPr>
                <w:rFonts w:ascii="Arial" w:hAnsi="Arial" w:cs="Arial"/>
                <w:color w:val="000000" w:themeColor="text1"/>
                <w:szCs w:val="24"/>
              </w:rPr>
              <w:t xml:space="preserve">326 moves </w:t>
            </w:r>
            <w:r w:rsidR="00411951">
              <w:rPr>
                <w:rFonts w:ascii="Arial" w:hAnsi="Arial" w:cs="Arial"/>
                <w:color w:val="000000" w:themeColor="text1"/>
                <w:szCs w:val="24"/>
              </w:rPr>
              <w:t xml:space="preserve">representing a </w:t>
            </w:r>
            <w:r w:rsidR="00411951" w:rsidRPr="00A56ADF">
              <w:rPr>
                <w:rFonts w:ascii="Arial" w:hAnsi="Arial" w:cs="Arial"/>
                <w:color w:val="000000" w:themeColor="text1"/>
                <w:szCs w:val="24"/>
              </w:rPr>
              <w:t>33%</w:t>
            </w:r>
            <w:r w:rsidR="00411951">
              <w:rPr>
                <w:rFonts w:ascii="Arial" w:hAnsi="Arial" w:cs="Arial"/>
                <w:color w:val="000000" w:themeColor="text1"/>
                <w:szCs w:val="24"/>
              </w:rPr>
              <w:t xml:space="preserve"> reduction</w:t>
            </w:r>
            <w:r w:rsidR="00411951" w:rsidRPr="001A31E7">
              <w:rPr>
                <w:rFonts w:ascii="Arial" w:hAnsi="Arial" w:cs="Arial"/>
                <w:color w:val="000000" w:themeColor="text1"/>
                <w:szCs w:val="24"/>
              </w:rPr>
              <w:t xml:space="preserve">), with the associated estimated cost reducing from </w:t>
            </w:r>
            <w:r w:rsidR="00411951" w:rsidRPr="00A56ADF">
              <w:rPr>
                <w:rFonts w:ascii="Arial" w:hAnsi="Arial" w:cs="Arial"/>
                <w:color w:val="000000" w:themeColor="text1"/>
                <w:szCs w:val="24"/>
              </w:rPr>
              <w:t>£127,270 to £84,890</w:t>
            </w:r>
            <w:r w:rsidR="00411951" w:rsidRPr="001A31E7">
              <w:rPr>
                <w:rFonts w:ascii="Arial" w:hAnsi="Arial" w:cs="Arial"/>
                <w:color w:val="000000" w:themeColor="text1"/>
                <w:szCs w:val="24"/>
              </w:rPr>
              <w:t xml:space="preserve"> (a saving of </w:t>
            </w:r>
            <w:r w:rsidR="00411951" w:rsidRPr="00A56ADF">
              <w:rPr>
                <w:rFonts w:ascii="Arial" w:hAnsi="Arial" w:cs="Arial"/>
                <w:color w:val="000000" w:themeColor="text1"/>
                <w:szCs w:val="24"/>
              </w:rPr>
              <w:t>£42,380</w:t>
            </w:r>
            <w:r w:rsidR="00411951">
              <w:rPr>
                <w:rFonts w:ascii="Arial" w:hAnsi="Arial" w:cs="Arial"/>
                <w:color w:val="000000" w:themeColor="text1"/>
                <w:szCs w:val="24"/>
              </w:rPr>
              <w:t xml:space="preserve">). </w:t>
            </w:r>
            <w:r w:rsidR="00411951" w:rsidRPr="001A31E7">
              <w:rPr>
                <w:rFonts w:ascii="Arial" w:hAnsi="Arial" w:cs="Arial"/>
                <w:color w:val="000000" w:themeColor="text1"/>
                <w:szCs w:val="24"/>
              </w:rPr>
              <w:t xml:space="preserve">This improvement is mirrored across </w:t>
            </w:r>
            <w:r w:rsidR="00411951" w:rsidRPr="00A56ADF">
              <w:rPr>
                <w:rFonts w:ascii="Arial" w:hAnsi="Arial" w:cs="Arial"/>
                <w:color w:val="000000" w:themeColor="text1"/>
                <w:szCs w:val="24"/>
              </w:rPr>
              <w:t>all standby moves</w:t>
            </w:r>
            <w:r w:rsidR="00411951" w:rsidRPr="001A31E7">
              <w:rPr>
                <w:rFonts w:ascii="Arial" w:hAnsi="Arial" w:cs="Arial"/>
                <w:color w:val="000000" w:themeColor="text1"/>
                <w:szCs w:val="24"/>
              </w:rPr>
              <w:t xml:space="preserve">, which decreased from </w:t>
            </w:r>
            <w:r w:rsidR="00411951" w:rsidRPr="00A56ADF">
              <w:rPr>
                <w:rFonts w:ascii="Arial" w:hAnsi="Arial" w:cs="Arial"/>
                <w:color w:val="000000" w:themeColor="text1"/>
                <w:szCs w:val="24"/>
              </w:rPr>
              <w:t>1,613 to 1,026</w:t>
            </w:r>
            <w:r w:rsidR="00411951" w:rsidRPr="001A31E7">
              <w:rPr>
                <w:rFonts w:ascii="Arial" w:hAnsi="Arial" w:cs="Arial"/>
                <w:color w:val="000000" w:themeColor="text1"/>
                <w:szCs w:val="24"/>
              </w:rPr>
              <w:t xml:space="preserve"> (down </w:t>
            </w:r>
            <w:r w:rsidR="00411951" w:rsidRPr="00A56ADF">
              <w:rPr>
                <w:rFonts w:ascii="Arial" w:hAnsi="Arial" w:cs="Arial"/>
                <w:color w:val="000000" w:themeColor="text1"/>
                <w:szCs w:val="24"/>
              </w:rPr>
              <w:t xml:space="preserve">587 moves </w:t>
            </w:r>
            <w:r w:rsidR="00411951">
              <w:rPr>
                <w:rFonts w:ascii="Arial" w:hAnsi="Arial" w:cs="Arial"/>
                <w:color w:val="000000" w:themeColor="text1"/>
                <w:szCs w:val="24"/>
              </w:rPr>
              <w:t xml:space="preserve">representing a reduction of </w:t>
            </w:r>
            <w:r w:rsidR="00411951" w:rsidRPr="00A56ADF">
              <w:rPr>
                <w:rFonts w:ascii="Arial" w:hAnsi="Arial" w:cs="Arial"/>
                <w:color w:val="000000" w:themeColor="text1"/>
                <w:szCs w:val="24"/>
              </w:rPr>
              <w:t>36%</w:t>
            </w:r>
            <w:r w:rsidR="00411951" w:rsidRPr="001A31E7">
              <w:rPr>
                <w:rFonts w:ascii="Arial" w:hAnsi="Arial" w:cs="Arial"/>
                <w:color w:val="000000" w:themeColor="text1"/>
                <w:szCs w:val="24"/>
              </w:rPr>
              <w:t>), indicating a broad reduction in standby activity over the same period.</w:t>
            </w:r>
            <w:r w:rsidR="00411951">
              <w:rPr>
                <w:rFonts w:ascii="Arial" w:hAnsi="Arial" w:cs="Arial"/>
                <w:color w:val="000000" w:themeColor="text1"/>
                <w:szCs w:val="24"/>
              </w:rPr>
              <w:t xml:space="preserve"> Not only does this yield financial efficiencies, but a reduction in standby moves also results in less disruption to all crews allowing wholetime crews to undertake activities with less interruption or indeed reducing the need for recovery periods.</w:t>
            </w:r>
          </w:p>
          <w:p w14:paraId="789F26E5" w14:textId="77777777" w:rsidR="00411951" w:rsidRDefault="00411951" w:rsidP="00411951">
            <w:pPr>
              <w:rPr>
                <w:rFonts w:ascii="Arial" w:hAnsi="Arial" w:cs="Arial"/>
                <w:color w:val="000000" w:themeColor="text1"/>
                <w:szCs w:val="24"/>
              </w:rPr>
            </w:pPr>
          </w:p>
          <w:p w14:paraId="0CA40E50" w14:textId="77777777" w:rsidR="00411951" w:rsidRPr="0029144F" w:rsidRDefault="00411951" w:rsidP="00411951">
            <w:pPr>
              <w:rPr>
                <w:rFonts w:ascii="Arial" w:hAnsi="Arial" w:cs="Arial"/>
                <w:color w:val="000000" w:themeColor="text1"/>
                <w:szCs w:val="24"/>
              </w:rPr>
            </w:pPr>
            <w:r w:rsidRPr="004544FD">
              <w:rPr>
                <w:rFonts w:ascii="Arial" w:hAnsi="Arial" w:cs="Arial"/>
                <w:color w:val="000000" w:themeColor="text1"/>
                <w:szCs w:val="24"/>
              </w:rPr>
              <w:t>As part of digitising the fireground</w:t>
            </w:r>
            <w:r>
              <w:rPr>
                <w:rFonts w:ascii="Arial" w:hAnsi="Arial" w:cs="Arial"/>
                <w:color w:val="000000" w:themeColor="text1"/>
                <w:szCs w:val="24"/>
              </w:rPr>
              <w:t xml:space="preserve"> workstream</w:t>
            </w:r>
            <w:r w:rsidRPr="004544FD">
              <w:rPr>
                <w:rFonts w:ascii="Arial" w:hAnsi="Arial" w:cs="Arial"/>
                <w:color w:val="000000" w:themeColor="text1"/>
                <w:szCs w:val="24"/>
              </w:rPr>
              <w:t xml:space="preserve">, a digital relief strategy </w:t>
            </w:r>
            <w:r>
              <w:rPr>
                <w:rFonts w:ascii="Arial" w:hAnsi="Arial" w:cs="Arial"/>
                <w:color w:val="000000" w:themeColor="text1"/>
                <w:szCs w:val="24"/>
              </w:rPr>
              <w:t xml:space="preserve">was developed </w:t>
            </w:r>
            <w:r w:rsidRPr="004544FD">
              <w:rPr>
                <w:rFonts w:ascii="Arial" w:hAnsi="Arial" w:cs="Arial"/>
                <w:color w:val="000000" w:themeColor="text1"/>
                <w:szCs w:val="24"/>
              </w:rPr>
              <w:t>to manage large</w:t>
            </w:r>
            <w:r>
              <w:rPr>
                <w:rFonts w:ascii="Arial" w:hAnsi="Arial" w:cs="Arial"/>
                <w:color w:val="000000" w:themeColor="text1"/>
                <w:szCs w:val="24"/>
              </w:rPr>
              <w:t>scale protracted</w:t>
            </w:r>
            <w:r w:rsidRPr="004544FD">
              <w:rPr>
                <w:rFonts w:ascii="Arial" w:hAnsi="Arial" w:cs="Arial"/>
                <w:color w:val="000000" w:themeColor="text1"/>
                <w:szCs w:val="24"/>
              </w:rPr>
              <w:t xml:space="preserve"> incidents.</w:t>
            </w:r>
            <w:r>
              <w:rPr>
                <w:rFonts w:ascii="Arial" w:hAnsi="Arial" w:cs="Arial"/>
                <w:color w:val="000000" w:themeColor="text1"/>
                <w:szCs w:val="24"/>
              </w:rPr>
              <w:t xml:space="preserve"> </w:t>
            </w:r>
            <w:r w:rsidRPr="004544FD">
              <w:rPr>
                <w:rFonts w:ascii="Arial" w:hAnsi="Arial" w:cs="Arial"/>
                <w:color w:val="000000" w:themeColor="text1"/>
                <w:szCs w:val="24"/>
              </w:rPr>
              <w:t xml:space="preserve">The digital relief strategy has been used successfully at multiple incidents </w:t>
            </w:r>
            <w:r>
              <w:rPr>
                <w:rFonts w:ascii="Arial" w:hAnsi="Arial" w:cs="Arial"/>
                <w:color w:val="000000" w:themeColor="text1"/>
                <w:szCs w:val="24"/>
              </w:rPr>
              <w:t>with</w:t>
            </w:r>
            <w:r w:rsidRPr="004544FD">
              <w:rPr>
                <w:rFonts w:ascii="Arial" w:hAnsi="Arial" w:cs="Arial"/>
                <w:color w:val="000000" w:themeColor="text1"/>
                <w:szCs w:val="24"/>
              </w:rPr>
              <w:t xml:space="preserve"> positive feedback </w:t>
            </w:r>
            <w:r>
              <w:rPr>
                <w:rFonts w:ascii="Arial" w:hAnsi="Arial" w:cs="Arial"/>
                <w:color w:val="000000" w:themeColor="text1"/>
                <w:szCs w:val="24"/>
              </w:rPr>
              <w:t xml:space="preserve">received </w:t>
            </w:r>
            <w:r w:rsidRPr="004544FD">
              <w:rPr>
                <w:rFonts w:ascii="Arial" w:hAnsi="Arial" w:cs="Arial"/>
                <w:color w:val="000000" w:themeColor="text1"/>
                <w:szCs w:val="24"/>
              </w:rPr>
              <w:t xml:space="preserve">about the reduction in disruption to crews. </w:t>
            </w:r>
            <w:r>
              <w:rPr>
                <w:rFonts w:ascii="Arial" w:hAnsi="Arial" w:cs="Arial"/>
                <w:color w:val="000000" w:themeColor="text1"/>
                <w:szCs w:val="24"/>
              </w:rPr>
              <w:t>It has also delivered a number of e</w:t>
            </w:r>
            <w:r w:rsidRPr="0029144F">
              <w:rPr>
                <w:rFonts w:ascii="Arial" w:hAnsi="Arial" w:cs="Arial"/>
                <w:color w:val="000000" w:themeColor="text1"/>
                <w:szCs w:val="24"/>
              </w:rPr>
              <w:t>fficiencies</w:t>
            </w:r>
            <w:r>
              <w:rPr>
                <w:rFonts w:ascii="Arial" w:hAnsi="Arial" w:cs="Arial"/>
                <w:color w:val="000000" w:themeColor="text1"/>
                <w:szCs w:val="24"/>
              </w:rPr>
              <w:t>:</w:t>
            </w:r>
          </w:p>
          <w:p w14:paraId="0CC5D4EE" w14:textId="3CF0ED36" w:rsidR="00411951" w:rsidRPr="00A56ADF" w:rsidRDefault="00411951" w:rsidP="00411951">
            <w:pPr>
              <w:pStyle w:val="ListParagraph"/>
              <w:numPr>
                <w:ilvl w:val="0"/>
                <w:numId w:val="43"/>
              </w:numPr>
              <w:rPr>
                <w:rFonts w:ascii="Arial" w:hAnsi="Arial" w:cs="Arial"/>
                <w:color w:val="000000" w:themeColor="text1"/>
                <w:szCs w:val="24"/>
              </w:rPr>
            </w:pPr>
            <w:r w:rsidRPr="00A56ADF">
              <w:rPr>
                <w:rFonts w:ascii="Arial" w:hAnsi="Arial" w:cs="Arial"/>
                <w:color w:val="000000" w:themeColor="text1"/>
                <w:szCs w:val="24"/>
              </w:rPr>
              <w:t>Reduced disruption at change of shift by planning reliefs around handover times</w:t>
            </w:r>
            <w:r w:rsidR="009E2E5C">
              <w:rPr>
                <w:rFonts w:ascii="Arial" w:hAnsi="Arial" w:cs="Arial"/>
                <w:color w:val="000000" w:themeColor="text1"/>
                <w:szCs w:val="24"/>
              </w:rPr>
              <w:t>.</w:t>
            </w:r>
          </w:p>
          <w:p w14:paraId="1C8654FA" w14:textId="01C90E95" w:rsidR="00411951" w:rsidRPr="00A56ADF" w:rsidRDefault="00411951" w:rsidP="00411951">
            <w:pPr>
              <w:pStyle w:val="ListParagraph"/>
              <w:numPr>
                <w:ilvl w:val="0"/>
                <w:numId w:val="43"/>
              </w:numPr>
              <w:rPr>
                <w:rFonts w:ascii="Arial" w:hAnsi="Arial" w:cs="Arial"/>
                <w:color w:val="000000" w:themeColor="text1"/>
                <w:szCs w:val="24"/>
              </w:rPr>
            </w:pPr>
            <w:r w:rsidRPr="00A56ADF">
              <w:rPr>
                <w:rFonts w:ascii="Arial" w:hAnsi="Arial" w:cs="Arial"/>
                <w:color w:val="000000" w:themeColor="text1"/>
                <w:szCs w:val="24"/>
              </w:rPr>
              <w:lastRenderedPageBreak/>
              <w:t>Reduced overtime by limiting the need for crews to return to their home stations during relief cycles</w:t>
            </w:r>
            <w:r w:rsidR="009E2E5C">
              <w:rPr>
                <w:rFonts w:ascii="Arial" w:hAnsi="Arial" w:cs="Arial"/>
                <w:color w:val="000000" w:themeColor="text1"/>
                <w:szCs w:val="24"/>
              </w:rPr>
              <w:t>.</w:t>
            </w:r>
          </w:p>
          <w:p w14:paraId="6876BC3B" w14:textId="77777777" w:rsidR="00411951" w:rsidRPr="00A56ADF" w:rsidRDefault="00411951" w:rsidP="00411951">
            <w:pPr>
              <w:pStyle w:val="ListParagraph"/>
              <w:numPr>
                <w:ilvl w:val="0"/>
                <w:numId w:val="43"/>
              </w:numPr>
              <w:rPr>
                <w:rFonts w:ascii="Arial" w:hAnsi="Arial" w:cs="Arial"/>
                <w:color w:val="000000" w:themeColor="text1"/>
                <w:szCs w:val="24"/>
              </w:rPr>
            </w:pPr>
            <w:r w:rsidRPr="00A56ADF">
              <w:rPr>
                <w:rFonts w:ascii="Arial" w:hAnsi="Arial" w:cs="Arial"/>
                <w:color w:val="000000" w:themeColor="text1"/>
                <w:szCs w:val="24"/>
              </w:rPr>
              <w:t>Reduced travel time by prioritising local resources at key points</w:t>
            </w:r>
          </w:p>
          <w:p w14:paraId="2E20133A" w14:textId="19411511" w:rsidR="00411951" w:rsidRPr="00A56ADF" w:rsidRDefault="00411951" w:rsidP="00411951">
            <w:pPr>
              <w:pStyle w:val="ListParagraph"/>
              <w:numPr>
                <w:ilvl w:val="0"/>
                <w:numId w:val="43"/>
              </w:numPr>
              <w:rPr>
                <w:rFonts w:ascii="Arial" w:hAnsi="Arial" w:cs="Arial"/>
                <w:color w:val="000000" w:themeColor="text1"/>
                <w:szCs w:val="24"/>
              </w:rPr>
            </w:pPr>
            <w:r w:rsidRPr="00A56ADF">
              <w:rPr>
                <w:rFonts w:ascii="Arial" w:hAnsi="Arial" w:cs="Arial"/>
                <w:color w:val="000000" w:themeColor="text1"/>
                <w:szCs w:val="24"/>
              </w:rPr>
              <w:t>Better resource optimisation by varying mobilisation distance through the day</w:t>
            </w:r>
            <w:r w:rsidR="009E2E5C">
              <w:rPr>
                <w:rFonts w:ascii="Arial" w:hAnsi="Arial" w:cs="Arial"/>
                <w:color w:val="000000" w:themeColor="text1"/>
                <w:szCs w:val="24"/>
              </w:rPr>
              <w:t>.</w:t>
            </w:r>
          </w:p>
          <w:p w14:paraId="1F8E7236" w14:textId="70D1E3B9" w:rsidR="00411951" w:rsidRPr="00A56ADF" w:rsidRDefault="00411951" w:rsidP="00411951">
            <w:pPr>
              <w:pStyle w:val="ListParagraph"/>
              <w:numPr>
                <w:ilvl w:val="0"/>
                <w:numId w:val="43"/>
              </w:numPr>
              <w:rPr>
                <w:rFonts w:ascii="Arial" w:hAnsi="Arial" w:cs="Arial"/>
                <w:color w:val="000000" w:themeColor="text1"/>
                <w:szCs w:val="24"/>
              </w:rPr>
            </w:pPr>
            <w:r w:rsidRPr="00A56ADF">
              <w:rPr>
                <w:rFonts w:ascii="Arial" w:hAnsi="Arial" w:cs="Arial"/>
                <w:color w:val="000000" w:themeColor="text1"/>
                <w:szCs w:val="24"/>
              </w:rPr>
              <w:t>Improved coordination via sharing the plan with crews, giving advanced notice of deployment</w:t>
            </w:r>
            <w:r w:rsidR="009E2E5C">
              <w:rPr>
                <w:rFonts w:ascii="Arial" w:hAnsi="Arial" w:cs="Arial"/>
                <w:color w:val="000000" w:themeColor="text1"/>
                <w:szCs w:val="24"/>
              </w:rPr>
              <w:t>.</w:t>
            </w:r>
          </w:p>
          <w:p w14:paraId="1EB2786C" w14:textId="3F1A2A0A" w:rsidR="004620EC" w:rsidRPr="00AA3DE8" w:rsidRDefault="00411951" w:rsidP="007530EC">
            <w:pPr>
              <w:pStyle w:val="ListParagraph"/>
              <w:numPr>
                <w:ilvl w:val="0"/>
                <w:numId w:val="43"/>
              </w:numPr>
              <w:rPr>
                <w:rFonts w:ascii="Arial" w:hAnsi="Arial" w:cs="Arial"/>
                <w:color w:val="000000" w:themeColor="text1"/>
                <w:szCs w:val="24"/>
              </w:rPr>
            </w:pPr>
            <w:r w:rsidRPr="00A56ADF">
              <w:rPr>
                <w:rFonts w:ascii="Arial" w:hAnsi="Arial" w:cs="Arial"/>
                <w:color w:val="000000" w:themeColor="text1"/>
                <w:szCs w:val="24"/>
              </w:rPr>
              <w:t>More consistent decision-making through a repeatable, time-based allocation approach</w:t>
            </w:r>
            <w:r w:rsidR="009E2E5C">
              <w:rPr>
                <w:rFonts w:ascii="Arial" w:hAnsi="Arial" w:cs="Arial"/>
                <w:color w:val="000000" w:themeColor="text1"/>
                <w:szCs w:val="24"/>
              </w:rPr>
              <w:t>.</w:t>
            </w:r>
          </w:p>
        </w:tc>
      </w:tr>
    </w:tbl>
    <w:p w14:paraId="26C73D4E" w14:textId="77777777" w:rsidR="004620EC" w:rsidRPr="00AA3DE8" w:rsidRDefault="004620EC" w:rsidP="6218B4DB">
      <w:pPr>
        <w:rPr>
          <w:rFonts w:ascii="Arial" w:hAnsi="Arial" w:cs="Arial"/>
          <w:b/>
          <w:bCs/>
          <w:color w:val="000000" w:themeColor="text1"/>
          <w:szCs w:val="24"/>
        </w:rPr>
      </w:pPr>
    </w:p>
    <w:p w14:paraId="40F4DB78" w14:textId="51EEBDE9" w:rsidR="004620EC" w:rsidRPr="00AA3DE8" w:rsidRDefault="004620EC" w:rsidP="6218B4DB">
      <w:pPr>
        <w:rPr>
          <w:rFonts w:ascii="Arial" w:hAnsi="Arial" w:cs="Arial"/>
          <w:b/>
          <w:bCs/>
          <w:color w:val="000000" w:themeColor="text1"/>
          <w:szCs w:val="24"/>
        </w:rPr>
      </w:pPr>
      <w:r w:rsidRPr="00AA3DE8">
        <w:rPr>
          <w:rFonts w:ascii="Arial" w:hAnsi="Arial" w:cs="Arial"/>
          <w:b/>
          <w:bCs/>
          <w:szCs w:val="24"/>
        </w:rPr>
        <w:t>Supplies and Services</w:t>
      </w:r>
    </w:p>
    <w:p w14:paraId="24D59EBF" w14:textId="77777777" w:rsidR="00280C7C" w:rsidRPr="00AA3DE8" w:rsidRDefault="00280C7C" w:rsidP="6218B4DB">
      <w:pPr>
        <w:rPr>
          <w:rFonts w:ascii="Arial" w:hAnsi="Arial" w:cs="Arial"/>
          <w:b/>
          <w:bCs/>
          <w:color w:val="000000" w:themeColor="text1"/>
          <w:szCs w:val="24"/>
        </w:rPr>
      </w:pPr>
    </w:p>
    <w:tbl>
      <w:tblPr>
        <w:tblStyle w:val="TableGrid"/>
        <w:tblW w:w="0" w:type="auto"/>
        <w:tblLook w:val="04A0" w:firstRow="1" w:lastRow="0" w:firstColumn="1" w:lastColumn="0" w:noHBand="0" w:noVBand="1"/>
      </w:tblPr>
      <w:tblGrid>
        <w:gridCol w:w="8303"/>
      </w:tblGrid>
      <w:tr w:rsidR="004620EC" w:rsidRPr="00AA3DE8" w14:paraId="334E0E77" w14:textId="77777777" w:rsidTr="6218B4DB">
        <w:tc>
          <w:tcPr>
            <w:tcW w:w="8303" w:type="dxa"/>
            <w:shd w:val="clear" w:color="auto" w:fill="F2F2F2" w:themeFill="background1" w:themeFillShade="F2"/>
          </w:tcPr>
          <w:p w14:paraId="084F62CD" w14:textId="4BAC8820" w:rsidR="00F201C6" w:rsidRDefault="002C0383" w:rsidP="001E16AE">
            <w:pPr>
              <w:rPr>
                <w:rFonts w:ascii="Arial" w:hAnsi="Arial" w:cs="Arial"/>
                <w:b/>
                <w:bCs/>
                <w:color w:val="000000" w:themeColor="text1"/>
                <w:szCs w:val="24"/>
              </w:rPr>
            </w:pPr>
            <w:r>
              <w:rPr>
                <w:rFonts w:ascii="Arial" w:hAnsi="Arial" w:cs="Arial"/>
                <w:b/>
                <w:bCs/>
                <w:color w:val="000000" w:themeColor="text1"/>
                <w:szCs w:val="24"/>
              </w:rPr>
              <w:t xml:space="preserve">Decreased Usage: </w:t>
            </w:r>
            <w:r w:rsidR="00F201C6" w:rsidRPr="00F201C6">
              <w:rPr>
                <w:rFonts w:ascii="Arial" w:hAnsi="Arial" w:cs="Arial"/>
                <w:b/>
                <w:bCs/>
                <w:color w:val="000000" w:themeColor="text1"/>
                <w:szCs w:val="24"/>
              </w:rPr>
              <w:t>£</w:t>
            </w:r>
            <w:r w:rsidR="00D10F7E">
              <w:rPr>
                <w:rFonts w:ascii="Arial" w:hAnsi="Arial" w:cs="Arial"/>
                <w:b/>
                <w:bCs/>
                <w:color w:val="000000" w:themeColor="text1"/>
                <w:szCs w:val="24"/>
              </w:rPr>
              <w:t>19</w:t>
            </w:r>
            <w:r w:rsidR="00F201C6" w:rsidRPr="00F201C6">
              <w:rPr>
                <w:rFonts w:ascii="Arial" w:hAnsi="Arial" w:cs="Arial"/>
                <w:b/>
                <w:bCs/>
                <w:color w:val="000000" w:themeColor="text1"/>
                <w:szCs w:val="24"/>
              </w:rPr>
              <w:t xml:space="preserve">,000 </w:t>
            </w:r>
            <w:r w:rsidR="0024602A">
              <w:rPr>
                <w:rFonts w:ascii="Arial" w:hAnsi="Arial" w:cs="Arial"/>
                <w:b/>
                <w:bCs/>
                <w:color w:val="000000" w:themeColor="text1"/>
                <w:szCs w:val="24"/>
              </w:rPr>
              <w:t xml:space="preserve">recurring </w:t>
            </w:r>
            <w:r w:rsidR="00F201C6" w:rsidRPr="00F201C6">
              <w:rPr>
                <w:rFonts w:ascii="Arial" w:hAnsi="Arial" w:cs="Arial"/>
                <w:b/>
                <w:bCs/>
                <w:szCs w:val="24"/>
              </w:rPr>
              <w:t xml:space="preserve">cashable efficiency saving through </w:t>
            </w:r>
            <w:r w:rsidR="00F44168">
              <w:rPr>
                <w:rFonts w:ascii="Arial" w:hAnsi="Arial" w:cs="Arial"/>
                <w:b/>
                <w:bCs/>
                <w:szCs w:val="24"/>
              </w:rPr>
              <w:t xml:space="preserve">changing </w:t>
            </w:r>
            <w:r w:rsidR="000A0DEA">
              <w:rPr>
                <w:rFonts w:ascii="Arial" w:hAnsi="Arial" w:cs="Arial"/>
                <w:b/>
                <w:bCs/>
                <w:szCs w:val="24"/>
              </w:rPr>
              <w:t xml:space="preserve">the type of </w:t>
            </w:r>
            <w:r w:rsidR="00F44168">
              <w:rPr>
                <w:rFonts w:ascii="Arial" w:hAnsi="Arial" w:cs="Arial"/>
                <w:b/>
                <w:bCs/>
                <w:szCs w:val="24"/>
              </w:rPr>
              <w:t xml:space="preserve">protective suits </w:t>
            </w:r>
            <w:r w:rsidR="000A0DEA">
              <w:rPr>
                <w:rFonts w:ascii="Arial" w:hAnsi="Arial" w:cs="Arial"/>
                <w:b/>
                <w:bCs/>
                <w:szCs w:val="24"/>
              </w:rPr>
              <w:t xml:space="preserve">carried </w:t>
            </w:r>
            <w:r w:rsidR="00F44168">
              <w:rPr>
                <w:rFonts w:ascii="Arial" w:hAnsi="Arial" w:cs="Arial"/>
                <w:b/>
                <w:bCs/>
                <w:szCs w:val="24"/>
              </w:rPr>
              <w:t xml:space="preserve">on </w:t>
            </w:r>
            <w:r w:rsidR="00DB6CD1">
              <w:rPr>
                <w:rFonts w:ascii="Arial" w:hAnsi="Arial" w:cs="Arial"/>
                <w:b/>
                <w:bCs/>
                <w:szCs w:val="24"/>
              </w:rPr>
              <w:t xml:space="preserve">operational </w:t>
            </w:r>
            <w:r w:rsidR="000A0DEA">
              <w:rPr>
                <w:rFonts w:ascii="Arial" w:hAnsi="Arial" w:cs="Arial"/>
                <w:b/>
                <w:bCs/>
                <w:szCs w:val="24"/>
              </w:rPr>
              <w:t xml:space="preserve">appliances </w:t>
            </w:r>
            <w:r w:rsidR="0014160F">
              <w:rPr>
                <w:rFonts w:ascii="Arial" w:hAnsi="Arial" w:cs="Arial"/>
                <w:b/>
                <w:bCs/>
                <w:szCs w:val="24"/>
              </w:rPr>
              <w:t>used</w:t>
            </w:r>
            <w:r w:rsidR="00B119AF">
              <w:rPr>
                <w:rFonts w:ascii="Arial" w:hAnsi="Arial" w:cs="Arial"/>
                <w:b/>
                <w:bCs/>
                <w:szCs w:val="24"/>
              </w:rPr>
              <w:t xml:space="preserve"> when</w:t>
            </w:r>
            <w:r w:rsidR="000A0DEA">
              <w:rPr>
                <w:rFonts w:ascii="Arial" w:hAnsi="Arial" w:cs="Arial"/>
                <w:b/>
                <w:bCs/>
                <w:szCs w:val="24"/>
              </w:rPr>
              <w:t xml:space="preserve"> dealing with chemicals</w:t>
            </w:r>
          </w:p>
          <w:p w14:paraId="15546412" w14:textId="35A3C9DC" w:rsidR="00BE47B9" w:rsidRDefault="001E16AE" w:rsidP="001E16AE">
            <w:pPr>
              <w:rPr>
                <w:rFonts w:ascii="Arial" w:hAnsi="Arial" w:cs="Arial"/>
                <w:color w:val="000000" w:themeColor="text1"/>
                <w:szCs w:val="24"/>
              </w:rPr>
            </w:pPr>
            <w:r w:rsidRPr="001E16AE">
              <w:rPr>
                <w:rFonts w:ascii="Arial" w:hAnsi="Arial" w:cs="Arial"/>
                <w:color w:val="000000" w:themeColor="text1"/>
                <w:szCs w:val="24"/>
              </w:rPr>
              <w:t xml:space="preserve">The removal of </w:t>
            </w:r>
            <w:r w:rsidR="00DB6CD1">
              <w:rPr>
                <w:rFonts w:ascii="Arial" w:hAnsi="Arial" w:cs="Arial"/>
                <w:color w:val="000000" w:themeColor="text1"/>
                <w:szCs w:val="24"/>
              </w:rPr>
              <w:t>Gas Tight Suits (GTS)</w:t>
            </w:r>
            <w:r w:rsidRPr="001E16AE">
              <w:rPr>
                <w:rFonts w:ascii="Arial" w:hAnsi="Arial" w:cs="Arial"/>
                <w:color w:val="000000" w:themeColor="text1"/>
                <w:szCs w:val="24"/>
              </w:rPr>
              <w:t xml:space="preserve"> suits from operational appliances and their replacement with single</w:t>
            </w:r>
            <w:r w:rsidRPr="001E16AE">
              <w:rPr>
                <w:rFonts w:ascii="Cambria Math" w:hAnsi="Cambria Math" w:cs="Cambria Math"/>
                <w:color w:val="000000" w:themeColor="text1"/>
                <w:szCs w:val="24"/>
              </w:rPr>
              <w:t>‑</w:t>
            </w:r>
            <w:r w:rsidRPr="001E16AE">
              <w:rPr>
                <w:rFonts w:ascii="Arial" w:hAnsi="Arial" w:cs="Arial"/>
                <w:color w:val="000000" w:themeColor="text1"/>
                <w:szCs w:val="24"/>
              </w:rPr>
              <w:t xml:space="preserve">use suits delivers a net </w:t>
            </w:r>
            <w:r w:rsidR="00C46050">
              <w:rPr>
                <w:rFonts w:ascii="Arial" w:hAnsi="Arial" w:cs="Arial"/>
                <w:color w:val="000000" w:themeColor="text1"/>
                <w:szCs w:val="24"/>
              </w:rPr>
              <w:t xml:space="preserve">recurring </w:t>
            </w:r>
            <w:r w:rsidRPr="001E16AE">
              <w:rPr>
                <w:rFonts w:ascii="Arial" w:hAnsi="Arial" w:cs="Arial"/>
                <w:color w:val="000000" w:themeColor="text1"/>
                <w:szCs w:val="24"/>
              </w:rPr>
              <w:t>cashable efficiency saving</w:t>
            </w:r>
            <w:r w:rsidR="00477660">
              <w:rPr>
                <w:rFonts w:ascii="Arial" w:hAnsi="Arial" w:cs="Arial"/>
                <w:color w:val="000000" w:themeColor="text1"/>
                <w:szCs w:val="24"/>
              </w:rPr>
              <w:t xml:space="preserve"> of £19,000</w:t>
            </w:r>
            <w:r w:rsidRPr="001E16AE">
              <w:rPr>
                <w:rFonts w:ascii="Arial" w:hAnsi="Arial" w:cs="Arial"/>
                <w:color w:val="000000" w:themeColor="text1"/>
                <w:szCs w:val="24"/>
              </w:rPr>
              <w:t>, taking into account both avoided costs and the cost of the alternative provision. In addition, the removal of reusable GTS suits eliminates ongoing laundering, inspection, repair and storage requirements.</w:t>
            </w:r>
          </w:p>
          <w:p w14:paraId="64DF7A98" w14:textId="77777777" w:rsidR="00C903E3" w:rsidRDefault="00C903E3" w:rsidP="001E16AE">
            <w:pPr>
              <w:rPr>
                <w:rFonts w:ascii="Arial" w:hAnsi="Arial" w:cs="Arial"/>
                <w:color w:val="000000" w:themeColor="text1"/>
                <w:szCs w:val="24"/>
              </w:rPr>
            </w:pPr>
          </w:p>
          <w:p w14:paraId="7E27E594" w14:textId="77777777" w:rsidR="008B5FD9" w:rsidRPr="008B5FD9" w:rsidRDefault="008B5FD9" w:rsidP="008B5FD9">
            <w:pPr>
              <w:rPr>
                <w:rFonts w:ascii="Arial" w:hAnsi="Arial" w:cs="Arial"/>
                <w:b/>
                <w:bCs/>
                <w:color w:val="000000" w:themeColor="text1"/>
                <w:szCs w:val="24"/>
              </w:rPr>
            </w:pPr>
            <w:r w:rsidRPr="008B5FD9">
              <w:rPr>
                <w:rFonts w:ascii="Arial" w:hAnsi="Arial" w:cs="Arial"/>
                <w:b/>
                <w:bCs/>
                <w:color w:val="000000" w:themeColor="text1"/>
                <w:szCs w:val="24"/>
              </w:rPr>
              <w:t>Decreased Usage: £7,000 recurring cashable efficiency saving by reducing the number of re</w:t>
            </w:r>
            <w:r w:rsidRPr="008B5FD9">
              <w:rPr>
                <w:rFonts w:ascii="Cambria Math" w:hAnsi="Cambria Math" w:cs="Cambria Math"/>
                <w:b/>
                <w:bCs/>
                <w:color w:val="000000" w:themeColor="text1"/>
                <w:szCs w:val="24"/>
              </w:rPr>
              <w:t>‑</w:t>
            </w:r>
            <w:r w:rsidRPr="008B5FD9">
              <w:rPr>
                <w:rFonts w:ascii="Arial" w:hAnsi="Arial" w:cs="Arial"/>
                <w:b/>
                <w:bCs/>
                <w:color w:val="000000" w:themeColor="text1"/>
                <w:szCs w:val="24"/>
              </w:rPr>
              <w:t>robe suits carried on appliances</w:t>
            </w:r>
          </w:p>
          <w:p w14:paraId="2D697900" w14:textId="1E7ED4AA" w:rsidR="00257A48" w:rsidRPr="008B5FD9" w:rsidRDefault="008B5FD9" w:rsidP="008B5FD9">
            <w:pPr>
              <w:rPr>
                <w:rFonts w:ascii="Arial" w:hAnsi="Arial" w:cs="Arial"/>
                <w:color w:val="000000" w:themeColor="text1"/>
                <w:szCs w:val="24"/>
              </w:rPr>
            </w:pPr>
            <w:r w:rsidRPr="008B5FD9">
              <w:rPr>
                <w:rFonts w:ascii="Arial" w:hAnsi="Arial" w:cs="Arial"/>
                <w:color w:val="000000" w:themeColor="text1"/>
                <w:szCs w:val="24"/>
              </w:rPr>
              <w:t>Re</w:t>
            </w:r>
            <w:r w:rsidRPr="008B5FD9">
              <w:rPr>
                <w:rFonts w:ascii="Cambria Math" w:hAnsi="Cambria Math" w:cs="Cambria Math"/>
                <w:color w:val="000000" w:themeColor="text1"/>
                <w:szCs w:val="24"/>
              </w:rPr>
              <w:t>‑</w:t>
            </w:r>
            <w:r w:rsidRPr="008B5FD9">
              <w:rPr>
                <w:rFonts w:ascii="Arial" w:hAnsi="Arial" w:cs="Arial"/>
                <w:color w:val="000000" w:themeColor="text1"/>
                <w:szCs w:val="24"/>
              </w:rPr>
              <w:t>robe suits are protective over</w:t>
            </w:r>
            <w:r w:rsidRPr="008B5FD9">
              <w:rPr>
                <w:rFonts w:ascii="Cambria Math" w:hAnsi="Cambria Math" w:cs="Cambria Math"/>
                <w:color w:val="000000" w:themeColor="text1"/>
                <w:szCs w:val="24"/>
              </w:rPr>
              <w:t>‑</w:t>
            </w:r>
            <w:r w:rsidRPr="008B5FD9">
              <w:rPr>
                <w:rFonts w:ascii="Arial" w:hAnsi="Arial" w:cs="Arial"/>
                <w:color w:val="000000" w:themeColor="text1"/>
                <w:szCs w:val="24"/>
              </w:rPr>
              <w:t>suits that can be used to help someone change out of contaminated clothing and stay covered after an incident. By carrying fewer re</w:t>
            </w:r>
            <w:r w:rsidRPr="008B5FD9">
              <w:rPr>
                <w:rFonts w:ascii="Cambria Math" w:hAnsi="Cambria Math" w:cs="Cambria Math"/>
                <w:color w:val="000000" w:themeColor="text1"/>
                <w:szCs w:val="24"/>
              </w:rPr>
              <w:t>‑</w:t>
            </w:r>
            <w:r w:rsidRPr="008B5FD9">
              <w:rPr>
                <w:rFonts w:ascii="Arial" w:hAnsi="Arial" w:cs="Arial"/>
                <w:color w:val="000000" w:themeColor="text1"/>
                <w:szCs w:val="24"/>
              </w:rPr>
              <w:t xml:space="preserve">robe suits on appliances, the Service avoids some future replacement costs and reduces ongoing servicing needs. It also reduces the time spent on inspection, cleaning and handling. The combined recurring cashable efficiency saving is estimated at £7,000 per </w:t>
            </w:r>
            <w:r w:rsidR="005D1125">
              <w:rPr>
                <w:rFonts w:ascii="Arial" w:hAnsi="Arial" w:cs="Arial"/>
                <w:color w:val="000000" w:themeColor="text1"/>
                <w:szCs w:val="24"/>
              </w:rPr>
              <w:t>annum</w:t>
            </w:r>
            <w:r w:rsidRPr="008B5FD9">
              <w:rPr>
                <w:rFonts w:ascii="Arial" w:hAnsi="Arial" w:cs="Arial"/>
                <w:color w:val="000000" w:themeColor="text1"/>
                <w:szCs w:val="24"/>
              </w:rPr>
              <w:t>.</w:t>
            </w:r>
          </w:p>
          <w:p w14:paraId="60C697AD" w14:textId="77777777" w:rsidR="008B5FD9" w:rsidRDefault="008B5FD9" w:rsidP="008B5FD9">
            <w:pPr>
              <w:rPr>
                <w:rFonts w:ascii="Arial" w:hAnsi="Arial" w:cs="Arial"/>
                <w:color w:val="000000" w:themeColor="text1"/>
                <w:szCs w:val="24"/>
              </w:rPr>
            </w:pPr>
          </w:p>
          <w:p w14:paraId="5EA9EC7F" w14:textId="066BC5C5" w:rsidR="00257A48" w:rsidRPr="007868BC" w:rsidRDefault="002C0383" w:rsidP="00257A48">
            <w:pPr>
              <w:rPr>
                <w:rFonts w:ascii="Arial" w:hAnsi="Arial" w:cs="Arial"/>
                <w:b/>
                <w:bCs/>
                <w:color w:val="000000" w:themeColor="text1"/>
                <w:szCs w:val="24"/>
              </w:rPr>
            </w:pPr>
            <w:r>
              <w:rPr>
                <w:rFonts w:ascii="Arial" w:hAnsi="Arial" w:cs="Arial"/>
                <w:b/>
                <w:bCs/>
                <w:color w:val="000000" w:themeColor="text1"/>
                <w:szCs w:val="24"/>
              </w:rPr>
              <w:t xml:space="preserve">Decreased Usage: </w:t>
            </w:r>
            <w:r w:rsidR="00257A48">
              <w:rPr>
                <w:rFonts w:ascii="Arial" w:hAnsi="Arial" w:cs="Arial"/>
                <w:b/>
                <w:bCs/>
                <w:szCs w:val="24"/>
              </w:rPr>
              <w:t>£</w:t>
            </w:r>
            <w:r w:rsidR="007868BC">
              <w:rPr>
                <w:rFonts w:ascii="Arial" w:hAnsi="Arial" w:cs="Arial"/>
                <w:b/>
                <w:bCs/>
                <w:szCs w:val="24"/>
              </w:rPr>
              <w:t>500</w:t>
            </w:r>
            <w:r w:rsidR="00257A48">
              <w:rPr>
                <w:rFonts w:ascii="Arial" w:hAnsi="Arial" w:cs="Arial"/>
                <w:b/>
                <w:bCs/>
                <w:szCs w:val="24"/>
              </w:rPr>
              <w:t xml:space="preserve"> </w:t>
            </w:r>
            <w:r w:rsidR="0024602A">
              <w:rPr>
                <w:rFonts w:ascii="Arial" w:hAnsi="Arial" w:cs="Arial"/>
                <w:b/>
                <w:bCs/>
                <w:szCs w:val="24"/>
              </w:rPr>
              <w:t xml:space="preserve">recurring </w:t>
            </w:r>
            <w:r w:rsidR="00257A48">
              <w:rPr>
                <w:rFonts w:ascii="Arial" w:hAnsi="Arial" w:cs="Arial"/>
                <w:b/>
                <w:bCs/>
                <w:szCs w:val="24"/>
              </w:rPr>
              <w:t xml:space="preserve">cashable efficiency saving through the </w:t>
            </w:r>
            <w:r w:rsidR="007868BC" w:rsidRPr="007868BC">
              <w:rPr>
                <w:rFonts w:ascii="Arial" w:hAnsi="Arial" w:cs="Arial"/>
                <w:b/>
                <w:bCs/>
                <w:szCs w:val="24"/>
              </w:rPr>
              <w:t>r</w:t>
            </w:r>
            <w:r w:rsidR="00257A48" w:rsidRPr="007868BC">
              <w:rPr>
                <w:rFonts w:ascii="Arial" w:hAnsi="Arial" w:cs="Arial"/>
                <w:b/>
                <w:bCs/>
                <w:color w:val="000000" w:themeColor="text1"/>
                <w:szCs w:val="24"/>
              </w:rPr>
              <w:t xml:space="preserve">emoval of </w:t>
            </w:r>
            <w:r w:rsidR="007868BC">
              <w:rPr>
                <w:rFonts w:ascii="Arial" w:hAnsi="Arial" w:cs="Arial"/>
                <w:b/>
                <w:bCs/>
                <w:color w:val="000000" w:themeColor="text1"/>
                <w:szCs w:val="24"/>
              </w:rPr>
              <w:t xml:space="preserve">a range of </w:t>
            </w:r>
            <w:r w:rsidR="005D1125">
              <w:rPr>
                <w:rFonts w:ascii="Arial" w:hAnsi="Arial" w:cs="Arial"/>
                <w:b/>
                <w:bCs/>
                <w:color w:val="000000" w:themeColor="text1"/>
                <w:szCs w:val="24"/>
              </w:rPr>
              <w:t>s</w:t>
            </w:r>
            <w:r w:rsidR="00257A48" w:rsidRPr="007868BC">
              <w:rPr>
                <w:rFonts w:ascii="Arial" w:hAnsi="Arial" w:cs="Arial"/>
                <w:b/>
                <w:bCs/>
                <w:color w:val="000000" w:themeColor="text1"/>
                <w:szCs w:val="24"/>
              </w:rPr>
              <w:t xml:space="preserve">mall </w:t>
            </w:r>
            <w:r w:rsidR="005D1125">
              <w:rPr>
                <w:rFonts w:ascii="Arial" w:hAnsi="Arial" w:cs="Arial"/>
                <w:b/>
                <w:bCs/>
                <w:color w:val="000000" w:themeColor="text1"/>
                <w:szCs w:val="24"/>
              </w:rPr>
              <w:t>t</w:t>
            </w:r>
            <w:r w:rsidR="00257A48" w:rsidRPr="007868BC">
              <w:rPr>
                <w:rFonts w:ascii="Arial" w:hAnsi="Arial" w:cs="Arial"/>
                <w:b/>
                <w:bCs/>
                <w:color w:val="000000" w:themeColor="text1"/>
                <w:szCs w:val="24"/>
              </w:rPr>
              <w:t xml:space="preserve">ools </w:t>
            </w:r>
            <w:r w:rsidR="007868BC">
              <w:rPr>
                <w:rFonts w:ascii="Arial" w:hAnsi="Arial" w:cs="Arial"/>
                <w:b/>
                <w:bCs/>
                <w:color w:val="000000" w:themeColor="text1"/>
                <w:szCs w:val="24"/>
              </w:rPr>
              <w:t>f</w:t>
            </w:r>
            <w:r w:rsidR="00257A48" w:rsidRPr="007868BC">
              <w:rPr>
                <w:rFonts w:ascii="Arial" w:hAnsi="Arial" w:cs="Arial"/>
                <w:b/>
                <w:bCs/>
                <w:color w:val="000000" w:themeColor="text1"/>
                <w:szCs w:val="24"/>
              </w:rPr>
              <w:t xml:space="preserve">rom </w:t>
            </w:r>
            <w:r w:rsidR="005D1125">
              <w:rPr>
                <w:rFonts w:ascii="Arial" w:hAnsi="Arial" w:cs="Arial"/>
                <w:b/>
                <w:bCs/>
                <w:color w:val="000000" w:themeColor="text1"/>
                <w:szCs w:val="24"/>
              </w:rPr>
              <w:t>a</w:t>
            </w:r>
            <w:r w:rsidR="00257A48" w:rsidRPr="007868BC">
              <w:rPr>
                <w:rFonts w:ascii="Arial" w:hAnsi="Arial" w:cs="Arial"/>
                <w:b/>
                <w:bCs/>
                <w:color w:val="000000" w:themeColor="text1"/>
                <w:szCs w:val="24"/>
              </w:rPr>
              <w:t xml:space="preserve">ll </w:t>
            </w:r>
            <w:r w:rsidR="005D1125">
              <w:rPr>
                <w:rFonts w:ascii="Arial" w:hAnsi="Arial" w:cs="Arial"/>
                <w:b/>
                <w:bCs/>
                <w:color w:val="000000" w:themeColor="text1"/>
                <w:szCs w:val="24"/>
              </w:rPr>
              <w:t>a</w:t>
            </w:r>
            <w:r w:rsidR="00257A48" w:rsidRPr="007868BC">
              <w:rPr>
                <w:rFonts w:ascii="Arial" w:hAnsi="Arial" w:cs="Arial"/>
                <w:b/>
                <w:bCs/>
                <w:color w:val="000000" w:themeColor="text1"/>
                <w:szCs w:val="24"/>
              </w:rPr>
              <w:t>ppliances</w:t>
            </w:r>
          </w:p>
          <w:p w14:paraId="37E2AA4D" w14:textId="72B10D04" w:rsidR="00257A48" w:rsidRPr="00257A48" w:rsidRDefault="00257A48" w:rsidP="00257A48">
            <w:pPr>
              <w:rPr>
                <w:rFonts w:ascii="Arial" w:hAnsi="Arial" w:cs="Arial"/>
                <w:color w:val="000000" w:themeColor="text1"/>
                <w:szCs w:val="24"/>
              </w:rPr>
            </w:pPr>
            <w:r w:rsidRPr="00257A48">
              <w:rPr>
                <w:rFonts w:ascii="Arial" w:hAnsi="Arial" w:cs="Arial"/>
                <w:color w:val="000000" w:themeColor="text1"/>
                <w:szCs w:val="24"/>
              </w:rPr>
              <w:t>The removal of a range of small tools from frontline appliances delivers a recurring cashable efficiency saving of approximately £500 per annum. This saving arises from reduced expenditure on consumables, replacement items and associated stock management within equipment and stores budgets.</w:t>
            </w:r>
          </w:p>
          <w:p w14:paraId="0DAC2C2F" w14:textId="77777777" w:rsidR="00257A48" w:rsidRPr="00257A48" w:rsidRDefault="00257A48" w:rsidP="00257A48">
            <w:pPr>
              <w:rPr>
                <w:rFonts w:ascii="Arial" w:hAnsi="Arial" w:cs="Arial"/>
                <w:color w:val="000000" w:themeColor="text1"/>
                <w:szCs w:val="24"/>
              </w:rPr>
            </w:pPr>
          </w:p>
          <w:p w14:paraId="7370B105" w14:textId="77777777" w:rsidR="00A46A87" w:rsidRDefault="00A46A87">
            <w:pPr>
              <w:rPr>
                <w:szCs w:val="24"/>
              </w:rPr>
            </w:pPr>
            <w:r>
              <w:rPr>
                <w:rFonts w:ascii="Arial" w:hAnsi="Arial" w:cs="Arial"/>
                <w:b/>
                <w:bCs/>
                <w:color w:val="000000"/>
              </w:rPr>
              <w:t>Decreased Usage: £2,300 recurring cashable efficiency saving by removing low</w:t>
            </w:r>
            <w:r>
              <w:rPr>
                <w:rFonts w:ascii="Arial" w:hAnsi="Arial" w:cs="Arial"/>
                <w:b/>
                <w:bCs/>
                <w:color w:val="000000"/>
              </w:rPr>
              <w:noBreakHyphen/>
              <w:t>pressure air bags from Water Rescue Team (WRT) appliances</w:t>
            </w:r>
          </w:p>
          <w:p w14:paraId="07BD4163" w14:textId="77777777" w:rsidR="00A46A87" w:rsidRDefault="00A46A87">
            <w:pPr>
              <w:rPr>
                <w:rFonts w:ascii="Arial" w:hAnsi="Arial" w:cs="Arial"/>
                <w:color w:val="000000"/>
              </w:rPr>
            </w:pPr>
            <w:r>
              <w:rPr>
                <w:rFonts w:ascii="Arial" w:hAnsi="Arial" w:cs="Arial"/>
                <w:color w:val="000000"/>
              </w:rPr>
              <w:t>Low</w:t>
            </w:r>
            <w:r>
              <w:rPr>
                <w:rFonts w:ascii="Arial" w:hAnsi="Arial" w:cs="Arial"/>
                <w:color w:val="000000"/>
              </w:rPr>
              <w:noBreakHyphen/>
              <w:t xml:space="preserve">pressure air bags are inflatable lifting cushions that can be placed under an object to raise it slightly (for example to create space to free a trapped person). Following an approved change to the equipment carried on Water Rescue Team (WRT) appliances, these air bags have been removed. This avoids future replacement and maintenance costs across the equipment lifecycle, giving an estimated saving of around £23,000 over 10 years (equivalent to c. £2,300 per year). The change also removes the need </w:t>
            </w:r>
            <w:r>
              <w:rPr>
                <w:rFonts w:ascii="Arial" w:hAnsi="Arial" w:cs="Arial"/>
                <w:color w:val="000000"/>
              </w:rPr>
              <w:lastRenderedPageBreak/>
              <w:t>for around two hours of servicing per unit each year, releasing workshop time and reducing fleet servicing pressure (this time saving is not separately monetised).</w:t>
            </w:r>
          </w:p>
          <w:p w14:paraId="7A337707" w14:textId="77777777" w:rsidR="000A5A9D" w:rsidRDefault="000A5A9D">
            <w:pPr>
              <w:rPr>
                <w:szCs w:val="24"/>
              </w:rPr>
            </w:pPr>
          </w:p>
          <w:p w14:paraId="4C4DDE0E" w14:textId="77777777" w:rsidR="00A71A47" w:rsidRPr="00AA3DE8" w:rsidRDefault="00A71A47" w:rsidP="00A71A47">
            <w:pPr>
              <w:rPr>
                <w:rFonts w:ascii="Arial" w:hAnsi="Arial" w:cs="Arial"/>
              </w:rPr>
            </w:pPr>
            <w:r w:rsidRPr="00ED3676">
              <w:rPr>
                <w:rFonts w:ascii="Arial" w:hAnsi="Arial" w:cs="Arial"/>
                <w:b/>
              </w:rPr>
              <w:t>£</w:t>
            </w:r>
            <w:r w:rsidRPr="59D4650F">
              <w:rPr>
                <w:rFonts w:ascii="Arial" w:hAnsi="Arial" w:cs="Arial"/>
                <w:b/>
                <w:bCs/>
              </w:rPr>
              <w:t>3,</w:t>
            </w:r>
            <w:r w:rsidRPr="5946E49E">
              <w:rPr>
                <w:rFonts w:ascii="Arial" w:hAnsi="Arial" w:cs="Arial"/>
                <w:b/>
                <w:bCs/>
              </w:rPr>
              <w:t>800</w:t>
            </w:r>
            <w:r w:rsidRPr="00ED3676">
              <w:rPr>
                <w:rFonts w:ascii="Arial" w:hAnsi="Arial" w:cs="Arial"/>
                <w:b/>
              </w:rPr>
              <w:t xml:space="preserve"> recurring cashable efficiency saving on printed materials</w:t>
            </w:r>
            <w:r w:rsidRPr="022CAA98">
              <w:rPr>
                <w:rFonts w:ascii="Arial" w:hAnsi="Arial" w:cs="Arial"/>
              </w:rPr>
              <w:t xml:space="preserve"> </w:t>
            </w:r>
          </w:p>
          <w:p w14:paraId="624CAF1A" w14:textId="77777777" w:rsidR="00A71A47" w:rsidRPr="00AA3DE8" w:rsidRDefault="00A71A47" w:rsidP="00A71A47">
            <w:pPr>
              <w:rPr>
                <w:rFonts w:ascii="Arial" w:hAnsi="Arial" w:cs="Arial"/>
              </w:rPr>
            </w:pPr>
            <w:r w:rsidRPr="3FB33AF0">
              <w:rPr>
                <w:rFonts w:ascii="Arial" w:hAnsi="Arial" w:cs="Arial"/>
              </w:rPr>
              <w:t xml:space="preserve">Savings </w:t>
            </w:r>
            <w:r>
              <w:rPr>
                <w:rFonts w:ascii="Arial" w:hAnsi="Arial" w:cs="Arial"/>
              </w:rPr>
              <w:t xml:space="preserve">have been </w:t>
            </w:r>
            <w:r w:rsidRPr="3FB33AF0">
              <w:rPr>
                <w:rFonts w:ascii="Arial" w:hAnsi="Arial" w:cs="Arial"/>
              </w:rPr>
              <w:t xml:space="preserve">achieved </w:t>
            </w:r>
            <w:r w:rsidRPr="4E489B09">
              <w:rPr>
                <w:rFonts w:ascii="Arial" w:hAnsi="Arial" w:cs="Arial"/>
              </w:rPr>
              <w:t>by</w:t>
            </w:r>
            <w:r w:rsidRPr="4B478C69">
              <w:rPr>
                <w:rFonts w:ascii="Arial" w:hAnsi="Arial" w:cs="Arial"/>
              </w:rPr>
              <w:t xml:space="preserve"> switching to digital only versions of corporate documents including the Annual Service Plan</w:t>
            </w:r>
            <w:r w:rsidRPr="6DA4A9AB">
              <w:rPr>
                <w:rFonts w:ascii="Arial" w:hAnsi="Arial" w:cs="Arial"/>
              </w:rPr>
              <w:t xml:space="preserve"> and associated material and </w:t>
            </w:r>
            <w:r w:rsidRPr="1C3653CA">
              <w:rPr>
                <w:rFonts w:ascii="Arial" w:hAnsi="Arial" w:cs="Arial"/>
              </w:rPr>
              <w:t>internal newsletters</w:t>
            </w:r>
            <w:r w:rsidRPr="4B478C69">
              <w:rPr>
                <w:rFonts w:ascii="Arial" w:hAnsi="Arial" w:cs="Arial"/>
              </w:rPr>
              <w:t>.</w:t>
            </w:r>
          </w:p>
          <w:p w14:paraId="32E6677D" w14:textId="77777777" w:rsidR="00A71A47" w:rsidRPr="00AA3DE8" w:rsidRDefault="00A71A47" w:rsidP="00A71A47">
            <w:pPr>
              <w:rPr>
                <w:rFonts w:ascii="Arial" w:hAnsi="Arial" w:cs="Arial"/>
              </w:rPr>
            </w:pPr>
          </w:p>
          <w:p w14:paraId="1C453C73" w14:textId="77777777" w:rsidR="00A71A47" w:rsidRPr="00AA3DE8" w:rsidRDefault="00A71A47" w:rsidP="00A71A47">
            <w:pPr>
              <w:rPr>
                <w:rFonts w:ascii="Arial" w:hAnsi="Arial" w:cs="Arial"/>
              </w:rPr>
            </w:pPr>
            <w:r w:rsidRPr="00ED3676">
              <w:rPr>
                <w:rFonts w:ascii="Arial" w:hAnsi="Arial" w:cs="Arial"/>
                <w:b/>
              </w:rPr>
              <w:t xml:space="preserve">£644 recurring cashable efficiency saving through utilisation of </w:t>
            </w:r>
            <w:r w:rsidRPr="00ED3676">
              <w:rPr>
                <w:rFonts w:ascii="Arial" w:hAnsi="Arial" w:cs="Arial"/>
                <w:b/>
                <w:bCs/>
              </w:rPr>
              <w:t xml:space="preserve">Microsoft </w:t>
            </w:r>
            <w:r w:rsidRPr="765BA0C4">
              <w:rPr>
                <w:rFonts w:ascii="Arial" w:hAnsi="Arial" w:cs="Arial"/>
                <w:b/>
                <w:bCs/>
              </w:rPr>
              <w:t>app</w:t>
            </w:r>
            <w:r>
              <w:rPr>
                <w:rFonts w:ascii="Arial" w:hAnsi="Arial" w:cs="Arial"/>
                <w:b/>
                <w:bCs/>
              </w:rPr>
              <w:t>lication</w:t>
            </w:r>
            <w:r w:rsidRPr="765BA0C4">
              <w:rPr>
                <w:rFonts w:ascii="Arial" w:hAnsi="Arial" w:cs="Arial"/>
                <w:b/>
                <w:bCs/>
              </w:rPr>
              <w:t>s</w:t>
            </w:r>
            <w:r w:rsidRPr="00ED3676">
              <w:rPr>
                <w:rFonts w:ascii="Arial" w:hAnsi="Arial" w:cs="Arial"/>
                <w:b/>
                <w:bCs/>
              </w:rPr>
              <w:t xml:space="preserve"> </w:t>
            </w:r>
          </w:p>
          <w:p w14:paraId="272CB796" w14:textId="77777777" w:rsidR="00A71A47" w:rsidRPr="00AA3DE8" w:rsidRDefault="00A71A47" w:rsidP="00A71A47">
            <w:pPr>
              <w:rPr>
                <w:rFonts w:ascii="Arial" w:hAnsi="Arial" w:cs="Arial"/>
              </w:rPr>
            </w:pPr>
            <w:r w:rsidRPr="61D4F64C">
              <w:rPr>
                <w:rFonts w:ascii="Arial" w:hAnsi="Arial" w:cs="Arial"/>
              </w:rPr>
              <w:t xml:space="preserve">Switching from </w:t>
            </w:r>
            <w:r w:rsidRPr="6F202086">
              <w:rPr>
                <w:rFonts w:ascii="Arial" w:hAnsi="Arial" w:cs="Arial"/>
              </w:rPr>
              <w:t xml:space="preserve">an </w:t>
            </w:r>
            <w:r w:rsidRPr="61D4F64C">
              <w:rPr>
                <w:rFonts w:ascii="Arial" w:hAnsi="Arial" w:cs="Arial"/>
              </w:rPr>
              <w:t xml:space="preserve">external </w:t>
            </w:r>
            <w:r w:rsidRPr="765BA0C4">
              <w:rPr>
                <w:rFonts w:ascii="Arial" w:hAnsi="Arial" w:cs="Arial"/>
              </w:rPr>
              <w:t xml:space="preserve">software </w:t>
            </w:r>
            <w:r w:rsidRPr="6F202086">
              <w:rPr>
                <w:rFonts w:ascii="Arial" w:hAnsi="Arial" w:cs="Arial"/>
              </w:rPr>
              <w:t>platform</w:t>
            </w:r>
            <w:r w:rsidRPr="61D4F64C">
              <w:rPr>
                <w:rFonts w:ascii="Arial" w:hAnsi="Arial" w:cs="Arial"/>
              </w:rPr>
              <w:t xml:space="preserve"> to</w:t>
            </w:r>
            <w:r w:rsidRPr="09C053C9">
              <w:rPr>
                <w:rFonts w:ascii="Arial" w:hAnsi="Arial" w:cs="Arial"/>
              </w:rPr>
              <w:t xml:space="preserve"> Microsoft </w:t>
            </w:r>
            <w:r w:rsidRPr="6F202086">
              <w:rPr>
                <w:rFonts w:ascii="Arial" w:hAnsi="Arial" w:cs="Arial"/>
              </w:rPr>
              <w:t>app</w:t>
            </w:r>
            <w:r>
              <w:rPr>
                <w:rFonts w:ascii="Arial" w:hAnsi="Arial" w:cs="Arial"/>
              </w:rPr>
              <w:t>lication</w:t>
            </w:r>
            <w:r w:rsidRPr="6F202086">
              <w:rPr>
                <w:rFonts w:ascii="Arial" w:hAnsi="Arial" w:cs="Arial"/>
              </w:rPr>
              <w:t>s</w:t>
            </w:r>
            <w:r w:rsidRPr="28C763FF">
              <w:rPr>
                <w:rFonts w:ascii="Arial" w:hAnsi="Arial" w:cs="Arial"/>
              </w:rPr>
              <w:t xml:space="preserve"> for email communications </w:t>
            </w:r>
            <w:r w:rsidRPr="6F202086">
              <w:rPr>
                <w:rFonts w:ascii="Arial" w:hAnsi="Arial" w:cs="Arial"/>
              </w:rPr>
              <w:t>has realised a recurring saving.</w:t>
            </w:r>
          </w:p>
          <w:p w14:paraId="798BB01F" w14:textId="77777777" w:rsidR="00A71A47" w:rsidRPr="00AA3DE8" w:rsidRDefault="00A71A47" w:rsidP="00A71A47">
            <w:pPr>
              <w:rPr>
                <w:rFonts w:ascii="Arial" w:hAnsi="Arial" w:cs="Arial"/>
              </w:rPr>
            </w:pPr>
          </w:p>
          <w:p w14:paraId="257E271D" w14:textId="77777777" w:rsidR="00A71A47" w:rsidRDefault="00A71A47" w:rsidP="00A71A47">
            <w:pPr>
              <w:rPr>
                <w:szCs w:val="24"/>
              </w:rPr>
            </w:pPr>
            <w:r>
              <w:rPr>
                <w:rFonts w:ascii="Arial" w:hAnsi="Arial" w:cs="Arial"/>
                <w:b/>
                <w:bCs/>
                <w:color w:val="000000"/>
              </w:rPr>
              <w:t>£3,688 recurring cashable efficiency saving plus small one</w:t>
            </w:r>
            <w:r>
              <w:rPr>
                <w:rFonts w:ascii="Arial" w:hAnsi="Arial" w:cs="Arial"/>
                <w:b/>
                <w:bCs/>
                <w:color w:val="000000"/>
              </w:rPr>
              <w:noBreakHyphen/>
              <w:t>off cashable savings and non</w:t>
            </w:r>
            <w:r>
              <w:rPr>
                <w:rFonts w:ascii="Arial" w:hAnsi="Arial" w:cs="Arial"/>
                <w:b/>
                <w:bCs/>
                <w:color w:val="000000"/>
              </w:rPr>
              <w:noBreakHyphen/>
              <w:t>cashable productivity benefits through using Artificial Intelligence (AI) tools in Corporate Communications:</w:t>
            </w:r>
          </w:p>
          <w:p w14:paraId="1ADB19E6" w14:textId="73AF3EA7" w:rsidR="00257A48" w:rsidRDefault="00A71A47" w:rsidP="00A71A47">
            <w:pPr>
              <w:rPr>
                <w:rFonts w:ascii="Arial" w:hAnsi="Arial" w:cs="Arial"/>
                <w:color w:val="000000"/>
              </w:rPr>
            </w:pPr>
            <w:r>
              <w:rPr>
                <w:rFonts w:ascii="Arial" w:hAnsi="Arial" w:cs="Arial"/>
                <w:color w:val="000000"/>
              </w:rPr>
              <w:t>The Service uses AI tools to reduce external software costs and streamline campaign production. Using an AI tool for online listening and analysis (e.g., collating and summarising online commentary to identify emerging themes) replaces a paid platform and delivers a recurring cashable saving of £3,111 per annum. In addition, using AI tools to produce some campaign assets can avoid one</w:t>
            </w:r>
            <w:r>
              <w:rPr>
                <w:rFonts w:ascii="Arial" w:hAnsi="Arial" w:cs="Arial"/>
                <w:color w:val="000000"/>
              </w:rPr>
              <w:noBreakHyphen/>
              <w:t>off supplier costs (e.g., £384 for an AI voiceover rather than a media company, and £193 for AI</w:t>
            </w:r>
            <w:r>
              <w:rPr>
                <w:rFonts w:ascii="Arial" w:hAnsi="Arial" w:cs="Arial"/>
                <w:color w:val="000000"/>
              </w:rPr>
              <w:noBreakHyphen/>
              <w:t>generated imagery rather than commissioning a photographer/photoshoot in 2025/26). AI tools also support non</w:t>
            </w:r>
            <w:r>
              <w:rPr>
                <w:rFonts w:ascii="Arial" w:hAnsi="Arial" w:cs="Arial"/>
                <w:color w:val="000000"/>
              </w:rPr>
              <w:noBreakHyphen/>
              <w:t>cashable productivity improvements in graphic design and video editing (for example, saving around 10 minutes per video edit and 20 minutes per image edit), releasing staff time for other communications activity.</w:t>
            </w:r>
          </w:p>
          <w:p w14:paraId="104F2615" w14:textId="77777777" w:rsidR="00A71A47" w:rsidRPr="00257A48" w:rsidRDefault="00A71A47" w:rsidP="00A71A47">
            <w:pPr>
              <w:rPr>
                <w:rFonts w:ascii="Arial" w:hAnsi="Arial" w:cs="Arial"/>
                <w:color w:val="000000" w:themeColor="text1"/>
                <w:szCs w:val="24"/>
              </w:rPr>
            </w:pPr>
          </w:p>
          <w:p w14:paraId="4F8A5118" w14:textId="77777777" w:rsidR="0028425B" w:rsidRDefault="0028425B">
            <w:pPr>
              <w:rPr>
                <w:szCs w:val="24"/>
              </w:rPr>
            </w:pPr>
            <w:r>
              <w:rPr>
                <w:rFonts w:ascii="Arial" w:hAnsi="Arial" w:cs="Arial"/>
                <w:b/>
                <w:bCs/>
                <w:color w:val="000000"/>
              </w:rPr>
              <w:t>Decreased Usage: £27,450 one</w:t>
            </w:r>
            <w:r>
              <w:rPr>
                <w:rFonts w:ascii="Arial" w:hAnsi="Arial" w:cs="Arial"/>
                <w:b/>
                <w:bCs/>
                <w:color w:val="000000"/>
              </w:rPr>
              <w:noBreakHyphen/>
              <w:t>off cashable efficiency saving by removing Makita hammer drills from appliances</w:t>
            </w:r>
          </w:p>
          <w:p w14:paraId="0C9460B1" w14:textId="4E0883CF" w:rsidR="0096456D" w:rsidRPr="00A71A47" w:rsidRDefault="0028425B" w:rsidP="0096456D">
            <w:pPr>
              <w:rPr>
                <w:szCs w:val="24"/>
              </w:rPr>
            </w:pPr>
            <w:r>
              <w:rPr>
                <w:rFonts w:ascii="Arial" w:hAnsi="Arial" w:cs="Arial"/>
                <w:color w:val="000000"/>
              </w:rPr>
              <w:t>Makita hammer drills are portable power tools used for drilling into hard materials (e.g., masonry) during operational tasks. Following an approved change to the equipment carried on appliances, these drills have been removed. This delivers a one</w:t>
            </w:r>
            <w:r>
              <w:rPr>
                <w:rFonts w:ascii="Arial" w:hAnsi="Arial" w:cs="Arial"/>
                <w:color w:val="000000"/>
              </w:rPr>
              <w:noBreakHyphen/>
              <w:t>off cashable efficiency saving of £27,450 through avoided future replacement and procurement costs. The change also reduces ongoing servicing, inspection and associated stores activity, which will further reduce fleet and equipment support.</w:t>
            </w:r>
          </w:p>
        </w:tc>
      </w:tr>
    </w:tbl>
    <w:p w14:paraId="548DAC7E" w14:textId="77777777" w:rsidR="004620EC" w:rsidRPr="00AA3DE8" w:rsidRDefault="004620EC" w:rsidP="6218B4DB">
      <w:pPr>
        <w:rPr>
          <w:rFonts w:ascii="Arial" w:hAnsi="Arial" w:cs="Arial"/>
          <w:b/>
          <w:bCs/>
          <w:color w:val="000000" w:themeColor="text1"/>
          <w:szCs w:val="24"/>
        </w:rPr>
      </w:pPr>
    </w:p>
    <w:p w14:paraId="5A1F3FA1" w14:textId="20A26F3E" w:rsidR="004620EC" w:rsidRPr="00AA3DE8" w:rsidRDefault="004620EC" w:rsidP="6218B4DB">
      <w:pPr>
        <w:rPr>
          <w:rFonts w:ascii="Arial" w:hAnsi="Arial" w:cs="Arial"/>
          <w:b/>
          <w:bCs/>
          <w:color w:val="000000" w:themeColor="text1"/>
          <w:szCs w:val="24"/>
        </w:rPr>
      </w:pPr>
      <w:r w:rsidRPr="00AA3DE8">
        <w:rPr>
          <w:rFonts w:ascii="Arial" w:hAnsi="Arial" w:cs="Arial"/>
          <w:b/>
          <w:bCs/>
          <w:szCs w:val="24"/>
        </w:rPr>
        <w:t>Capital Financing</w:t>
      </w:r>
    </w:p>
    <w:p w14:paraId="23E32C99" w14:textId="77777777" w:rsidR="00280C7C" w:rsidRPr="00AA3DE8" w:rsidRDefault="00280C7C" w:rsidP="6218B4DB">
      <w:pPr>
        <w:rPr>
          <w:rFonts w:ascii="Arial" w:hAnsi="Arial" w:cs="Arial"/>
          <w:b/>
          <w:bCs/>
          <w:color w:val="000000" w:themeColor="text1"/>
          <w:szCs w:val="24"/>
        </w:rPr>
      </w:pPr>
    </w:p>
    <w:tbl>
      <w:tblPr>
        <w:tblStyle w:val="TableGrid"/>
        <w:tblW w:w="0" w:type="auto"/>
        <w:tblLook w:val="04A0" w:firstRow="1" w:lastRow="0" w:firstColumn="1" w:lastColumn="0" w:noHBand="0" w:noVBand="1"/>
      </w:tblPr>
      <w:tblGrid>
        <w:gridCol w:w="8303"/>
      </w:tblGrid>
      <w:tr w:rsidR="004620EC" w:rsidRPr="00AA3DE8" w14:paraId="4AF76272" w14:textId="77777777" w:rsidTr="44AC8DC3">
        <w:tc>
          <w:tcPr>
            <w:tcW w:w="8303" w:type="dxa"/>
            <w:shd w:val="clear" w:color="auto" w:fill="F2F2F2" w:themeFill="background1" w:themeFillShade="F2"/>
          </w:tcPr>
          <w:p w14:paraId="4E06052D" w14:textId="1757086C" w:rsidR="00B50D68" w:rsidRDefault="00B50D68">
            <w:pPr>
              <w:rPr>
                <w:szCs w:val="24"/>
              </w:rPr>
            </w:pPr>
            <w:r>
              <w:rPr>
                <w:rFonts w:ascii="Arial" w:hAnsi="Arial" w:cs="Arial"/>
                <w:b/>
                <w:bCs/>
                <w:color w:val="000000"/>
              </w:rPr>
              <w:t>£1</w:t>
            </w:r>
            <w:r w:rsidR="00342FCA">
              <w:rPr>
                <w:rFonts w:ascii="Arial" w:hAnsi="Arial" w:cs="Arial"/>
                <w:b/>
                <w:bCs/>
                <w:color w:val="000000"/>
              </w:rPr>
              <w:t>6</w:t>
            </w:r>
            <w:r>
              <w:rPr>
                <w:rFonts w:ascii="Arial" w:hAnsi="Arial" w:cs="Arial"/>
                <w:b/>
                <w:bCs/>
                <w:color w:val="000000"/>
              </w:rPr>
              <w:t>4,000 one</w:t>
            </w:r>
            <w:r>
              <w:rPr>
                <w:rFonts w:ascii="Arial" w:hAnsi="Arial" w:cs="Arial"/>
                <w:b/>
                <w:bCs/>
                <w:color w:val="000000"/>
              </w:rPr>
              <w:noBreakHyphen/>
              <w:t>off cashable efficiency saving by removing station reserve Breathing Apparatus (BA) sets</w:t>
            </w:r>
          </w:p>
          <w:p w14:paraId="3A0D86C1" w14:textId="3D6C824A" w:rsidR="00B50D68" w:rsidRDefault="00B50D68">
            <w:pPr>
              <w:rPr>
                <w:szCs w:val="24"/>
              </w:rPr>
            </w:pPr>
            <w:r>
              <w:rPr>
                <w:rFonts w:ascii="Arial" w:hAnsi="Arial" w:cs="Arial"/>
                <w:color w:val="000000"/>
              </w:rPr>
              <w:t xml:space="preserve">Following a review of the number of station reserve BA sets </w:t>
            </w:r>
            <w:r w:rsidR="00342FCA">
              <w:rPr>
                <w:rFonts w:ascii="Arial" w:hAnsi="Arial" w:cs="Arial"/>
                <w:color w:val="000000"/>
              </w:rPr>
              <w:t xml:space="preserve">and </w:t>
            </w:r>
            <w:r w:rsidR="009372B1">
              <w:rPr>
                <w:rFonts w:ascii="Arial" w:hAnsi="Arial" w:cs="Arial"/>
                <w:color w:val="000000"/>
              </w:rPr>
              <w:t>s</w:t>
            </w:r>
            <w:r w:rsidR="00342FCA" w:rsidRPr="00342FCA">
              <w:rPr>
                <w:rFonts w:ascii="Arial" w:hAnsi="Arial" w:cs="Arial"/>
                <w:szCs w:val="24"/>
              </w:rPr>
              <w:t xml:space="preserve">pare BA Cylinders </w:t>
            </w:r>
            <w:r>
              <w:rPr>
                <w:rFonts w:ascii="Arial" w:hAnsi="Arial" w:cs="Arial"/>
                <w:color w:val="000000"/>
              </w:rPr>
              <w:t xml:space="preserve">on appliances, the Service approved a reduction where it is safe to do so. This change is based on operational risk assessment and does not reduce the Service’s ability to deploy BA safely when required: frontline BA provision is maintained and resilience is supported through existing arrangements for replacement/repair and access to reserve stock when </w:t>
            </w:r>
            <w:r>
              <w:rPr>
                <w:rFonts w:ascii="Arial" w:hAnsi="Arial" w:cs="Arial"/>
                <w:color w:val="000000"/>
              </w:rPr>
              <w:lastRenderedPageBreak/>
              <w:t>needed. The change reduces planned capital replacement costs by £1</w:t>
            </w:r>
            <w:r w:rsidR="009372B1">
              <w:rPr>
                <w:rFonts w:ascii="Arial" w:hAnsi="Arial" w:cs="Arial"/>
                <w:color w:val="000000"/>
              </w:rPr>
              <w:t>6</w:t>
            </w:r>
            <w:r>
              <w:rPr>
                <w:rFonts w:ascii="Arial" w:hAnsi="Arial" w:cs="Arial"/>
                <w:color w:val="000000"/>
              </w:rPr>
              <w:t>4,000 (one</w:t>
            </w:r>
            <w:r>
              <w:rPr>
                <w:rFonts w:ascii="Arial" w:hAnsi="Arial" w:cs="Arial"/>
                <w:color w:val="000000"/>
              </w:rPr>
              <w:noBreakHyphen/>
              <w:t>off). In addition, carrying fewer reserve sets reduces ongoing servicing, testing and rotation activity, which will deliver further recurring cashable reductions in fleet and equipment servicing costs.</w:t>
            </w:r>
          </w:p>
          <w:p w14:paraId="7ABF1B3A" w14:textId="77777777" w:rsidR="00F615B3" w:rsidRDefault="00F615B3" w:rsidP="00EB50E8">
            <w:pPr>
              <w:rPr>
                <w:rFonts w:ascii="Arial" w:hAnsi="Arial" w:cs="Arial"/>
                <w:b/>
                <w:bCs/>
                <w:szCs w:val="24"/>
              </w:rPr>
            </w:pPr>
          </w:p>
          <w:p w14:paraId="028D26BC" w14:textId="77777777" w:rsidR="00587D14" w:rsidRPr="00222933" w:rsidRDefault="00587D14" w:rsidP="00FB3ECF">
            <w:pPr>
              <w:rPr>
                <w:rFonts w:ascii="Arial" w:hAnsi="Arial" w:cs="Arial"/>
                <w:b/>
                <w:bCs/>
                <w:szCs w:val="24"/>
              </w:rPr>
            </w:pPr>
            <w:r w:rsidRPr="00222933">
              <w:rPr>
                <w:rFonts w:ascii="Arial" w:hAnsi="Arial" w:cs="Arial"/>
                <w:b/>
                <w:bCs/>
                <w:szCs w:val="24"/>
              </w:rPr>
              <w:t xml:space="preserve">£60,000 one off cashable efficiency saving through </w:t>
            </w:r>
            <w:r w:rsidR="00476A37" w:rsidRPr="00222933">
              <w:rPr>
                <w:rFonts w:ascii="Arial" w:hAnsi="Arial" w:cs="Arial"/>
                <w:b/>
                <w:bCs/>
                <w:szCs w:val="24"/>
              </w:rPr>
              <w:t>utilising an end-of-life vehicle</w:t>
            </w:r>
          </w:p>
          <w:p w14:paraId="7BD8E5DE" w14:textId="5A9FAD9D" w:rsidR="00D61DF0" w:rsidRPr="0096456D" w:rsidRDefault="00F768DC" w:rsidP="00D61DF0">
            <w:pPr>
              <w:rPr>
                <w:rFonts w:ascii="Arial" w:hAnsi="Arial" w:cs="Arial"/>
                <w:szCs w:val="24"/>
              </w:rPr>
            </w:pPr>
            <w:r>
              <w:rPr>
                <w:rFonts w:ascii="Arial" w:hAnsi="Arial" w:cs="Arial"/>
                <w:szCs w:val="24"/>
              </w:rPr>
              <w:t xml:space="preserve">An </w:t>
            </w:r>
            <w:r w:rsidR="00F839F9">
              <w:rPr>
                <w:rFonts w:ascii="Arial" w:hAnsi="Arial" w:cs="Arial"/>
                <w:szCs w:val="24"/>
              </w:rPr>
              <w:t>end-of-life</w:t>
            </w:r>
            <w:r>
              <w:rPr>
                <w:rFonts w:ascii="Arial" w:hAnsi="Arial" w:cs="Arial"/>
                <w:szCs w:val="24"/>
              </w:rPr>
              <w:t xml:space="preserve"> </w:t>
            </w:r>
            <w:r w:rsidR="00476A37" w:rsidRPr="00476A37">
              <w:rPr>
                <w:rFonts w:ascii="Arial" w:hAnsi="Arial" w:cs="Arial"/>
                <w:szCs w:val="24"/>
              </w:rPr>
              <w:t xml:space="preserve">recovery van </w:t>
            </w:r>
            <w:r w:rsidR="00B505D6">
              <w:rPr>
                <w:rFonts w:ascii="Arial" w:hAnsi="Arial" w:cs="Arial"/>
                <w:szCs w:val="24"/>
              </w:rPr>
              <w:t>has been utilised across the fleet estate and therefore</w:t>
            </w:r>
            <w:r w:rsidR="00FB3ECF" w:rsidRPr="00FB3ECF">
              <w:rPr>
                <w:rFonts w:ascii="Arial" w:hAnsi="Arial" w:cs="Arial"/>
                <w:szCs w:val="24"/>
              </w:rPr>
              <w:t xml:space="preserve"> eliminat</w:t>
            </w:r>
            <w:r w:rsidR="00B505D6">
              <w:rPr>
                <w:rFonts w:ascii="Arial" w:hAnsi="Arial" w:cs="Arial"/>
                <w:szCs w:val="24"/>
              </w:rPr>
              <w:t xml:space="preserve">ed </w:t>
            </w:r>
            <w:r w:rsidR="00FB3ECF" w:rsidRPr="00FB3ECF">
              <w:rPr>
                <w:rFonts w:ascii="Arial" w:hAnsi="Arial" w:cs="Arial"/>
                <w:szCs w:val="24"/>
              </w:rPr>
              <w:t>the need to purchase a large new va</w:t>
            </w:r>
            <w:r w:rsidR="00B505D6">
              <w:rPr>
                <w:rFonts w:ascii="Arial" w:hAnsi="Arial" w:cs="Arial"/>
                <w:szCs w:val="24"/>
              </w:rPr>
              <w:t>n</w:t>
            </w:r>
            <w:r w:rsidR="00222933">
              <w:rPr>
                <w:rFonts w:ascii="Arial" w:hAnsi="Arial" w:cs="Arial"/>
                <w:szCs w:val="24"/>
              </w:rPr>
              <w:t xml:space="preserve">, resulting in a </w:t>
            </w:r>
            <w:r w:rsidR="002F7D0E">
              <w:rPr>
                <w:rFonts w:ascii="Arial" w:hAnsi="Arial" w:cs="Arial"/>
                <w:szCs w:val="24"/>
              </w:rPr>
              <w:t>one-off</w:t>
            </w:r>
            <w:r w:rsidR="00222933">
              <w:rPr>
                <w:rFonts w:ascii="Arial" w:hAnsi="Arial" w:cs="Arial"/>
                <w:szCs w:val="24"/>
              </w:rPr>
              <w:t xml:space="preserve"> saving of £60</w:t>
            </w:r>
            <w:r w:rsidR="002F7D0E">
              <w:rPr>
                <w:rFonts w:ascii="Arial" w:hAnsi="Arial" w:cs="Arial"/>
                <w:szCs w:val="24"/>
              </w:rPr>
              <w:t>,000.</w:t>
            </w:r>
          </w:p>
        </w:tc>
      </w:tr>
    </w:tbl>
    <w:p w14:paraId="0F887F5E" w14:textId="77777777" w:rsidR="004620EC" w:rsidRPr="00AA3DE8" w:rsidRDefault="004620EC" w:rsidP="6218B4DB">
      <w:pPr>
        <w:rPr>
          <w:rFonts w:ascii="Arial" w:hAnsi="Arial" w:cs="Arial"/>
          <w:b/>
          <w:bCs/>
          <w:color w:val="000000" w:themeColor="text1"/>
          <w:szCs w:val="24"/>
        </w:rPr>
      </w:pPr>
    </w:p>
    <w:p w14:paraId="60633B6B" w14:textId="341E62F0" w:rsidR="00C334FD" w:rsidRPr="00AA3DE8" w:rsidRDefault="00C334FD" w:rsidP="6218B4DB">
      <w:pPr>
        <w:rPr>
          <w:rFonts w:ascii="Arial" w:hAnsi="Arial" w:cs="Arial"/>
          <w:b/>
          <w:bCs/>
          <w:color w:val="000000" w:themeColor="text1"/>
          <w:szCs w:val="24"/>
        </w:rPr>
      </w:pPr>
      <w:r w:rsidRPr="00AA3DE8">
        <w:rPr>
          <w:rFonts w:ascii="Arial" w:hAnsi="Arial" w:cs="Arial"/>
          <w:b/>
          <w:bCs/>
          <w:szCs w:val="24"/>
        </w:rPr>
        <w:t>Future Efficiencies</w:t>
      </w:r>
    </w:p>
    <w:p w14:paraId="59EB54AB" w14:textId="77777777" w:rsidR="00C334FD" w:rsidRPr="00AA3DE8" w:rsidRDefault="00C334FD" w:rsidP="6218B4DB">
      <w:pPr>
        <w:rPr>
          <w:rFonts w:ascii="Arial" w:hAnsi="Arial" w:cs="Arial"/>
          <w:b/>
          <w:bCs/>
          <w:color w:val="000000" w:themeColor="text1"/>
          <w:szCs w:val="24"/>
        </w:rPr>
      </w:pPr>
    </w:p>
    <w:tbl>
      <w:tblPr>
        <w:tblStyle w:val="TableGrid"/>
        <w:tblW w:w="0" w:type="auto"/>
        <w:tblLook w:val="04A0" w:firstRow="1" w:lastRow="0" w:firstColumn="1" w:lastColumn="0" w:noHBand="0" w:noVBand="1"/>
      </w:tblPr>
      <w:tblGrid>
        <w:gridCol w:w="8303"/>
      </w:tblGrid>
      <w:tr w:rsidR="00C334FD" w:rsidRPr="00AA3DE8" w14:paraId="3393D964" w14:textId="77777777" w:rsidTr="6218B4DB">
        <w:tc>
          <w:tcPr>
            <w:tcW w:w="8303" w:type="dxa"/>
            <w:shd w:val="clear" w:color="auto" w:fill="F2F2F2" w:themeFill="background1" w:themeFillShade="F2"/>
          </w:tcPr>
          <w:p w14:paraId="47ED0E28" w14:textId="4D8E3FA8" w:rsidR="003C7EBD" w:rsidRPr="00132219" w:rsidRDefault="00195798" w:rsidP="003C7EBD">
            <w:pPr>
              <w:rPr>
                <w:rFonts w:ascii="Arial" w:hAnsi="Arial" w:cs="Arial"/>
                <w:b/>
                <w:bCs/>
                <w:color w:val="000000" w:themeColor="text1"/>
                <w:szCs w:val="24"/>
              </w:rPr>
            </w:pPr>
            <w:r>
              <w:rPr>
                <w:rFonts w:ascii="Arial" w:hAnsi="Arial" w:cs="Arial"/>
                <w:b/>
                <w:bCs/>
                <w:color w:val="000000" w:themeColor="text1"/>
                <w:szCs w:val="24"/>
              </w:rPr>
              <w:t xml:space="preserve">Direct Employee: </w:t>
            </w:r>
            <w:r w:rsidR="003C7EBD" w:rsidRPr="00AA3DE8">
              <w:rPr>
                <w:rFonts w:ascii="Arial" w:hAnsi="Arial" w:cs="Arial"/>
                <w:b/>
                <w:bCs/>
                <w:color w:val="000000" w:themeColor="text1"/>
                <w:szCs w:val="24"/>
              </w:rPr>
              <w:t>£1,800,000 recurring cashable efficiency saving from 2026/27</w:t>
            </w:r>
            <w:r w:rsidR="00132219">
              <w:rPr>
                <w:rFonts w:ascii="Arial" w:hAnsi="Arial" w:cs="Arial"/>
                <w:b/>
                <w:bCs/>
                <w:color w:val="000000" w:themeColor="text1"/>
                <w:szCs w:val="24"/>
              </w:rPr>
              <w:t xml:space="preserve"> through </w:t>
            </w:r>
            <w:r w:rsidR="00132219" w:rsidRPr="00ED3676">
              <w:rPr>
                <w:rFonts w:ascii="Arial" w:hAnsi="Arial" w:cs="Arial"/>
                <w:b/>
                <w:bCs/>
                <w:szCs w:val="24"/>
              </w:rPr>
              <w:t>reducing wholetime crewing levels whilst maintaining response targets</w:t>
            </w:r>
          </w:p>
          <w:p w14:paraId="677DB998" w14:textId="77777777" w:rsidR="003C7EBD" w:rsidRPr="00AA3DE8" w:rsidRDefault="003C7EBD" w:rsidP="003C7EBD">
            <w:pPr>
              <w:rPr>
                <w:rFonts w:ascii="Arial" w:hAnsi="Arial" w:cs="Arial"/>
                <w:szCs w:val="24"/>
              </w:rPr>
            </w:pPr>
            <w:r w:rsidRPr="00AA3DE8">
              <w:rPr>
                <w:rFonts w:ascii="Arial" w:hAnsi="Arial" w:cs="Arial"/>
                <w:szCs w:val="24"/>
              </w:rPr>
              <w:t>In 2026/27 £1,800,000 of cashable efficiency savings will be realised from optimising crewing changes; reducing wholetime crewing levels from 13 to 12 (on 2 pump Wholetime, Flexible Day Crewed and Day Crewing Plus stations (excluding USAR units) whilst maintaining our emergency response performance across the county. The efficiency improvement will align Lancashire with sector</w:t>
            </w:r>
            <w:r w:rsidRPr="00AA3DE8">
              <w:rPr>
                <w:rFonts w:ascii="Cambria Math" w:hAnsi="Cambria Math" w:cs="Cambria Math"/>
                <w:szCs w:val="24"/>
              </w:rPr>
              <w:t>‑</w:t>
            </w:r>
            <w:r w:rsidRPr="00AA3DE8">
              <w:rPr>
                <w:rFonts w:ascii="Arial" w:hAnsi="Arial" w:cs="Arial"/>
                <w:szCs w:val="24"/>
              </w:rPr>
              <w:t>equivalent crewing models.</w:t>
            </w:r>
          </w:p>
          <w:p w14:paraId="463795D5" w14:textId="77777777" w:rsidR="00BD6BC4" w:rsidRDefault="00BD6BC4" w:rsidP="00857F34">
            <w:pPr>
              <w:rPr>
                <w:rFonts w:ascii="Arial" w:hAnsi="Arial" w:cs="Arial"/>
                <w:b/>
                <w:bCs/>
                <w:color w:val="000000" w:themeColor="text1"/>
                <w:szCs w:val="24"/>
              </w:rPr>
            </w:pPr>
          </w:p>
          <w:p w14:paraId="5F561E16" w14:textId="3FC01021" w:rsidR="00857F34" w:rsidRPr="00857F34" w:rsidRDefault="00195798" w:rsidP="00857F34">
            <w:pPr>
              <w:rPr>
                <w:rFonts w:ascii="Arial" w:hAnsi="Arial" w:cs="Arial"/>
                <w:b/>
                <w:bCs/>
                <w:color w:val="000000" w:themeColor="text1"/>
                <w:szCs w:val="24"/>
              </w:rPr>
            </w:pPr>
            <w:r>
              <w:rPr>
                <w:rFonts w:ascii="Arial" w:hAnsi="Arial" w:cs="Arial"/>
                <w:b/>
                <w:bCs/>
                <w:color w:val="000000" w:themeColor="text1"/>
                <w:szCs w:val="24"/>
              </w:rPr>
              <w:t xml:space="preserve">Direct Employee: </w:t>
            </w:r>
            <w:r w:rsidR="006A54B1">
              <w:rPr>
                <w:rFonts w:ascii="Arial" w:hAnsi="Arial" w:cs="Arial"/>
                <w:b/>
                <w:bCs/>
                <w:color w:val="000000" w:themeColor="text1"/>
                <w:szCs w:val="24"/>
              </w:rPr>
              <w:t>R</w:t>
            </w:r>
            <w:r w:rsidR="00857F34">
              <w:rPr>
                <w:rFonts w:ascii="Arial" w:hAnsi="Arial" w:cs="Arial"/>
                <w:b/>
                <w:bCs/>
                <w:color w:val="000000" w:themeColor="text1"/>
                <w:szCs w:val="24"/>
              </w:rPr>
              <w:t xml:space="preserve">eview of </w:t>
            </w:r>
            <w:r w:rsidR="00857F34" w:rsidRPr="00857F34">
              <w:rPr>
                <w:rFonts w:ascii="Arial" w:hAnsi="Arial" w:cs="Arial"/>
                <w:b/>
                <w:bCs/>
                <w:color w:val="000000" w:themeColor="text1"/>
                <w:szCs w:val="24"/>
              </w:rPr>
              <w:t>Protection Service Capacity and Regulatory Function</w:t>
            </w:r>
          </w:p>
          <w:p w14:paraId="296ED2A3" w14:textId="4228F8D6" w:rsidR="001F031F" w:rsidRDefault="001F031F">
            <w:pPr>
              <w:rPr>
                <w:kern w:val="0"/>
                <w:szCs w:val="24"/>
                <w14:ligatures w14:val="none"/>
              </w:rPr>
            </w:pPr>
            <w:r>
              <w:rPr>
                <w:rFonts w:ascii="Arial" w:hAnsi="Arial" w:cs="Arial"/>
                <w:color w:val="000000"/>
              </w:rPr>
              <w:t xml:space="preserve">The Service will undertake a review of the Protection operating model to ensure effective delivery of regulatory functions whilst enhancing affordability and resilience. </w:t>
            </w:r>
            <w:r w:rsidR="00E5131B" w:rsidRPr="00E5131B">
              <w:rPr>
                <w:rFonts w:ascii="Arial" w:hAnsi="Arial" w:cs="Arial"/>
                <w:color w:val="000000"/>
              </w:rPr>
              <w:t xml:space="preserve">A detailed proposal will be developed setting out </w:t>
            </w:r>
            <w:r w:rsidR="00E5131B">
              <w:rPr>
                <w:rFonts w:ascii="Arial" w:hAnsi="Arial" w:cs="Arial"/>
                <w:color w:val="000000"/>
              </w:rPr>
              <w:t>the future delivery model</w:t>
            </w:r>
            <w:r w:rsidR="001326CD">
              <w:rPr>
                <w:rFonts w:ascii="Arial" w:hAnsi="Arial" w:cs="Arial"/>
                <w:color w:val="000000"/>
              </w:rPr>
              <w:t xml:space="preserve"> s</w:t>
            </w:r>
            <w:r w:rsidR="00E5131B" w:rsidRPr="00E5131B">
              <w:rPr>
                <w:rFonts w:ascii="Arial" w:hAnsi="Arial" w:cs="Arial"/>
                <w:color w:val="000000"/>
              </w:rPr>
              <w:t>ubject to approval, staff and trade union consultation will commence, with Members briefed at an early stage</w:t>
            </w:r>
            <w:r>
              <w:rPr>
                <w:rFonts w:ascii="Arial" w:hAnsi="Arial" w:cs="Arial"/>
                <w:color w:val="000000"/>
              </w:rPr>
              <w:t xml:space="preserve">. </w:t>
            </w:r>
          </w:p>
          <w:p w14:paraId="232D8FFD" w14:textId="77777777" w:rsidR="00857F34" w:rsidRDefault="00857F34" w:rsidP="003C7EBD">
            <w:pPr>
              <w:rPr>
                <w:rFonts w:ascii="Arial" w:hAnsi="Arial" w:cs="Arial"/>
                <w:b/>
                <w:bCs/>
                <w:color w:val="000000" w:themeColor="text1"/>
                <w:szCs w:val="24"/>
              </w:rPr>
            </w:pPr>
          </w:p>
          <w:p w14:paraId="70C68831" w14:textId="6FEF762E" w:rsidR="00DE4CEE" w:rsidRPr="00DE4CEE" w:rsidRDefault="00195798" w:rsidP="00DE4CEE">
            <w:pPr>
              <w:rPr>
                <w:rFonts w:ascii="Arial" w:hAnsi="Arial" w:cs="Arial"/>
                <w:b/>
                <w:bCs/>
                <w:color w:val="000000" w:themeColor="text1"/>
                <w:szCs w:val="24"/>
              </w:rPr>
            </w:pPr>
            <w:r>
              <w:rPr>
                <w:rFonts w:ascii="Arial" w:hAnsi="Arial" w:cs="Arial"/>
                <w:b/>
                <w:bCs/>
                <w:color w:val="000000" w:themeColor="text1"/>
                <w:szCs w:val="24"/>
              </w:rPr>
              <w:t xml:space="preserve">Direct Employee: </w:t>
            </w:r>
            <w:r w:rsidR="00132219">
              <w:rPr>
                <w:rFonts w:ascii="Arial" w:hAnsi="Arial" w:cs="Arial"/>
                <w:b/>
                <w:bCs/>
                <w:color w:val="000000" w:themeColor="text1"/>
                <w:szCs w:val="24"/>
              </w:rPr>
              <w:t xml:space="preserve">Review of </w:t>
            </w:r>
            <w:r w:rsidR="00DE4CEE" w:rsidRPr="00DE4CEE">
              <w:rPr>
                <w:rFonts w:ascii="Arial" w:hAnsi="Arial" w:cs="Arial"/>
                <w:b/>
                <w:bCs/>
                <w:color w:val="000000" w:themeColor="text1"/>
                <w:szCs w:val="24"/>
              </w:rPr>
              <w:t xml:space="preserve">Prevention </w:t>
            </w:r>
            <w:r w:rsidR="00FE556A">
              <w:rPr>
                <w:rFonts w:ascii="Arial" w:hAnsi="Arial" w:cs="Arial"/>
                <w:b/>
                <w:bCs/>
                <w:color w:val="000000" w:themeColor="text1"/>
                <w:szCs w:val="24"/>
              </w:rPr>
              <w:t>Service</w:t>
            </w:r>
            <w:r w:rsidR="00DE4CEE" w:rsidRPr="00DE4CEE">
              <w:rPr>
                <w:rFonts w:ascii="Arial" w:hAnsi="Arial" w:cs="Arial"/>
                <w:b/>
                <w:bCs/>
                <w:color w:val="000000" w:themeColor="text1"/>
                <w:szCs w:val="24"/>
              </w:rPr>
              <w:t xml:space="preserve"> and Area</w:t>
            </w:r>
            <w:r w:rsidR="00DE4CEE" w:rsidRPr="00DE4CEE">
              <w:rPr>
                <w:rFonts w:ascii="Cambria Math" w:hAnsi="Cambria Math" w:cs="Cambria Math"/>
                <w:b/>
                <w:bCs/>
                <w:color w:val="000000" w:themeColor="text1"/>
                <w:szCs w:val="24"/>
              </w:rPr>
              <w:t>‑</w:t>
            </w:r>
            <w:r w:rsidR="00DE4CEE" w:rsidRPr="00DE4CEE">
              <w:rPr>
                <w:rFonts w:ascii="Arial" w:hAnsi="Arial" w:cs="Arial"/>
                <w:b/>
                <w:bCs/>
                <w:color w:val="000000" w:themeColor="text1"/>
                <w:szCs w:val="24"/>
              </w:rPr>
              <w:t>Based Operating Model</w:t>
            </w:r>
          </w:p>
          <w:p w14:paraId="6A534DFD" w14:textId="79A6A112" w:rsidR="00DE4CEE" w:rsidRPr="00DE4CEE" w:rsidRDefault="00DE4CEE" w:rsidP="00DE4CEE">
            <w:pPr>
              <w:rPr>
                <w:rFonts w:ascii="Arial" w:hAnsi="Arial" w:cs="Arial"/>
                <w:color w:val="000000" w:themeColor="text1"/>
                <w:szCs w:val="24"/>
              </w:rPr>
            </w:pPr>
            <w:r w:rsidRPr="00DE4CEE">
              <w:rPr>
                <w:rFonts w:ascii="Arial" w:hAnsi="Arial" w:cs="Arial"/>
                <w:color w:val="000000" w:themeColor="text1"/>
                <w:szCs w:val="24"/>
              </w:rPr>
              <w:t xml:space="preserve">The Service </w:t>
            </w:r>
            <w:r w:rsidR="00CA1EDF">
              <w:rPr>
                <w:rFonts w:ascii="Arial" w:hAnsi="Arial" w:cs="Arial"/>
                <w:color w:val="000000" w:themeColor="text1"/>
                <w:szCs w:val="24"/>
              </w:rPr>
              <w:t>will</w:t>
            </w:r>
            <w:r w:rsidRPr="00DE4CEE">
              <w:rPr>
                <w:rFonts w:ascii="Arial" w:hAnsi="Arial" w:cs="Arial"/>
                <w:color w:val="000000" w:themeColor="text1"/>
                <w:szCs w:val="24"/>
              </w:rPr>
              <w:t xml:space="preserve"> progress a </w:t>
            </w:r>
            <w:r w:rsidR="000C1EEB">
              <w:rPr>
                <w:rFonts w:ascii="Arial" w:hAnsi="Arial" w:cs="Arial"/>
                <w:color w:val="000000" w:themeColor="text1"/>
                <w:szCs w:val="24"/>
              </w:rPr>
              <w:t>review of the</w:t>
            </w:r>
            <w:r w:rsidRPr="00DE4CEE">
              <w:rPr>
                <w:rFonts w:ascii="Arial" w:hAnsi="Arial" w:cs="Arial"/>
                <w:color w:val="000000" w:themeColor="text1"/>
                <w:szCs w:val="24"/>
              </w:rPr>
              <w:t xml:space="preserve"> Prevention operating model designed to sustain effective risk management and engagement across the county while improving affordability and resilience. A detailed proposal will be </w:t>
            </w:r>
            <w:r w:rsidR="000C1EEB">
              <w:rPr>
                <w:rFonts w:ascii="Arial" w:hAnsi="Arial" w:cs="Arial"/>
                <w:color w:val="000000" w:themeColor="text1"/>
                <w:szCs w:val="24"/>
              </w:rPr>
              <w:t>developed</w:t>
            </w:r>
            <w:r w:rsidRPr="00DE4CEE">
              <w:rPr>
                <w:rFonts w:ascii="Arial" w:hAnsi="Arial" w:cs="Arial"/>
                <w:color w:val="000000" w:themeColor="text1"/>
                <w:szCs w:val="24"/>
              </w:rPr>
              <w:t xml:space="preserve"> setting out </w:t>
            </w:r>
            <w:r w:rsidR="000C1EEB">
              <w:rPr>
                <w:rFonts w:ascii="Arial" w:hAnsi="Arial" w:cs="Arial"/>
                <w:color w:val="000000" w:themeColor="text1"/>
                <w:szCs w:val="24"/>
              </w:rPr>
              <w:t xml:space="preserve">an </w:t>
            </w:r>
            <w:r w:rsidRPr="00DE4CEE">
              <w:rPr>
                <w:rFonts w:ascii="Arial" w:hAnsi="Arial" w:cs="Arial"/>
                <w:color w:val="000000" w:themeColor="text1"/>
                <w:szCs w:val="24"/>
              </w:rPr>
              <w:t>alternative three</w:t>
            </w:r>
            <w:r w:rsidRPr="00DE4CEE">
              <w:rPr>
                <w:rFonts w:ascii="Cambria Math" w:hAnsi="Cambria Math" w:cs="Cambria Math"/>
                <w:color w:val="000000" w:themeColor="text1"/>
                <w:szCs w:val="24"/>
              </w:rPr>
              <w:t>‑</w:t>
            </w:r>
            <w:r w:rsidRPr="00DE4CEE">
              <w:rPr>
                <w:rFonts w:ascii="Arial" w:hAnsi="Arial" w:cs="Arial"/>
                <w:color w:val="000000" w:themeColor="text1"/>
                <w:szCs w:val="24"/>
              </w:rPr>
              <w:t>area and four</w:t>
            </w:r>
            <w:r w:rsidRPr="00DE4CEE">
              <w:rPr>
                <w:rFonts w:ascii="Cambria Math" w:hAnsi="Cambria Math" w:cs="Cambria Math"/>
                <w:color w:val="000000" w:themeColor="text1"/>
                <w:szCs w:val="24"/>
              </w:rPr>
              <w:t>‑</w:t>
            </w:r>
            <w:r w:rsidRPr="00DE4CEE">
              <w:rPr>
                <w:rFonts w:ascii="Arial" w:hAnsi="Arial" w:cs="Arial"/>
                <w:color w:val="000000" w:themeColor="text1"/>
                <w:szCs w:val="24"/>
              </w:rPr>
              <w:t>area structures, reflecting potential Local Government Reorganisation outcomes and providing flexibility in implementation. Subject to approval, staff and trade union consultation will commence, with Members briefed at an early stage.</w:t>
            </w:r>
          </w:p>
          <w:p w14:paraId="75D80BE2" w14:textId="77777777" w:rsidR="00DE4CEE" w:rsidRDefault="00DE4CEE" w:rsidP="003C7EBD">
            <w:pPr>
              <w:rPr>
                <w:rFonts w:ascii="Arial" w:hAnsi="Arial" w:cs="Arial"/>
                <w:b/>
                <w:bCs/>
                <w:color w:val="000000" w:themeColor="text1"/>
                <w:szCs w:val="24"/>
              </w:rPr>
            </w:pPr>
          </w:p>
          <w:p w14:paraId="3DB02439" w14:textId="4F26DBEC" w:rsidR="00584B80" w:rsidRDefault="00584B80" w:rsidP="0086536E">
            <w:pPr>
              <w:rPr>
                <w:szCs w:val="24"/>
              </w:rPr>
            </w:pPr>
            <w:r>
              <w:rPr>
                <w:rFonts w:ascii="Arial" w:hAnsi="Arial" w:cs="Arial"/>
                <w:b/>
                <w:bCs/>
                <w:color w:val="000000"/>
              </w:rPr>
              <w:t>Direct Employee: £138,000 recurring cashable efficiency savings through deletion of posts in the On</w:t>
            </w:r>
            <w:r>
              <w:rPr>
                <w:rFonts w:ascii="Arial" w:hAnsi="Arial" w:cs="Arial"/>
                <w:b/>
                <w:bCs/>
                <w:color w:val="000000"/>
              </w:rPr>
              <w:noBreakHyphen/>
              <w:t>Call Support Officer (OCSO) establishment while strengthening development oversight</w:t>
            </w:r>
          </w:p>
          <w:p w14:paraId="58CC82C7" w14:textId="3194DAD9" w:rsidR="00584B80" w:rsidRDefault="00584B80">
            <w:pPr>
              <w:rPr>
                <w:szCs w:val="24"/>
              </w:rPr>
            </w:pPr>
            <w:r>
              <w:rPr>
                <w:rFonts w:ascii="Arial" w:hAnsi="Arial" w:cs="Arial"/>
                <w:color w:val="000000"/>
              </w:rPr>
              <w:t>As part of the review of the On</w:t>
            </w:r>
            <w:r>
              <w:rPr>
                <w:rFonts w:ascii="Arial" w:hAnsi="Arial" w:cs="Arial"/>
                <w:color w:val="000000"/>
              </w:rPr>
              <w:noBreakHyphen/>
              <w:t>Call Support Officer (OCSO) function, the Service has identified a recurring revenue saving achievable through a change to the OCSO structure that reduces the overall establishment while strengthening development oversight. The revised “stabilise and evolve” model includes five Crew Manager OCSO posts (rather than seven)</w:t>
            </w:r>
            <w:r w:rsidR="00DE3E81">
              <w:rPr>
                <w:rFonts w:ascii="Arial" w:hAnsi="Arial" w:cs="Arial"/>
                <w:color w:val="000000"/>
              </w:rPr>
              <w:t>.</w:t>
            </w:r>
            <w:r>
              <w:rPr>
                <w:rFonts w:ascii="Arial" w:hAnsi="Arial" w:cs="Arial"/>
                <w:color w:val="000000"/>
              </w:rPr>
              <w:t xml:space="preserve"> On this basis, approximately £138,000 per annum </w:t>
            </w:r>
            <w:r w:rsidR="007958BA">
              <w:rPr>
                <w:rFonts w:ascii="Arial" w:hAnsi="Arial" w:cs="Arial"/>
                <w:color w:val="000000"/>
              </w:rPr>
              <w:t xml:space="preserve">will be saved </w:t>
            </w:r>
            <w:r>
              <w:rPr>
                <w:rFonts w:ascii="Arial" w:hAnsi="Arial" w:cs="Arial"/>
                <w:color w:val="000000"/>
              </w:rPr>
              <w:t xml:space="preserve">compared to the </w:t>
            </w:r>
            <w:r>
              <w:rPr>
                <w:rFonts w:ascii="Arial" w:hAnsi="Arial" w:cs="Arial"/>
                <w:color w:val="000000"/>
              </w:rPr>
              <w:lastRenderedPageBreak/>
              <w:t>current model. The saving contributes to the wider savings programme while maintaining service resilience through a refocused model emphasising firefighter development, competence progression and on</w:t>
            </w:r>
            <w:r>
              <w:rPr>
                <w:rFonts w:ascii="Arial" w:hAnsi="Arial" w:cs="Arial"/>
                <w:color w:val="000000"/>
              </w:rPr>
              <w:noBreakHyphen/>
              <w:t>call stability.</w:t>
            </w:r>
          </w:p>
          <w:p w14:paraId="69B89151" w14:textId="77777777" w:rsidR="006E5CD7" w:rsidRPr="00314810" w:rsidRDefault="006E5CD7" w:rsidP="003C7EBD">
            <w:pPr>
              <w:rPr>
                <w:rFonts w:ascii="Arial" w:hAnsi="Arial" w:cs="Arial"/>
                <w:color w:val="000000" w:themeColor="text1"/>
                <w:szCs w:val="24"/>
              </w:rPr>
            </w:pPr>
          </w:p>
          <w:p w14:paraId="772FA575" w14:textId="77777777" w:rsidR="00584B80" w:rsidRDefault="00584B80">
            <w:pPr>
              <w:rPr>
                <w:szCs w:val="24"/>
              </w:rPr>
            </w:pPr>
            <w:r>
              <w:rPr>
                <w:rFonts w:ascii="Arial" w:hAnsi="Arial" w:cs="Arial"/>
                <w:b/>
                <w:bCs/>
                <w:color w:val="000000"/>
              </w:rPr>
              <w:t>Direct Employee: £66,000 recurring cashable efficiency savings from a review of Incident Intelligence Officer (IIO) roles while maintaining required performance and professional oversight</w:t>
            </w:r>
          </w:p>
          <w:p w14:paraId="5DF23B2A" w14:textId="42E11C0E" w:rsidR="00A74E27" w:rsidRDefault="00A74E27">
            <w:pPr>
              <w:rPr>
                <w:szCs w:val="24"/>
              </w:rPr>
            </w:pPr>
            <w:r>
              <w:rPr>
                <w:rFonts w:ascii="Arial" w:hAnsi="Arial" w:cs="Arial"/>
                <w:color w:val="000000"/>
              </w:rPr>
              <w:t>IIOs provide specialist support by gathering, assessing and sharing incident intelligence, supporting risk information and contributing to operational learning and assurance. A review of the IIO function identified opportunities to streamline the role profile and deployment model, reduce duplication and align capacity more closely to demand, while retaining the professional oversight required to maintain service performance. The resulting changes reduce the ongoing cost of the establishment and deliver a recurring cashable efficiency saving of £66,000 per annum. The revised arrangements retain access to incident intelligence expertise and maintain the required governance and quality assurance so there is no detriment to operational decision-making or statutory/assurance requirements.</w:t>
            </w:r>
          </w:p>
          <w:p w14:paraId="5436B38C" w14:textId="77777777" w:rsidR="00D17C25" w:rsidRDefault="00D17C25" w:rsidP="003C7EBD">
            <w:pPr>
              <w:rPr>
                <w:rFonts w:ascii="Arial" w:hAnsi="Arial" w:cs="Arial"/>
                <w:b/>
                <w:bCs/>
                <w:szCs w:val="24"/>
              </w:rPr>
            </w:pPr>
          </w:p>
          <w:p w14:paraId="05140F02" w14:textId="77777777" w:rsidR="00584B80" w:rsidRDefault="00584B80">
            <w:pPr>
              <w:rPr>
                <w:szCs w:val="24"/>
              </w:rPr>
            </w:pPr>
            <w:r>
              <w:rPr>
                <w:rFonts w:ascii="Arial" w:hAnsi="Arial" w:cs="Arial"/>
                <w:b/>
                <w:bCs/>
                <w:color w:val="000000"/>
              </w:rPr>
              <w:t>Reduced Capital Expenditure funded by Revenue: £500,000 one</w:t>
            </w:r>
            <w:r>
              <w:rPr>
                <w:rFonts w:ascii="Arial" w:hAnsi="Arial" w:cs="Arial"/>
                <w:b/>
                <w:bCs/>
                <w:color w:val="000000"/>
              </w:rPr>
              <w:noBreakHyphen/>
              <w:t>off cashable efficiency saving from replacing alerter masts and adopting an alternative paging</w:t>
            </w:r>
            <w:r>
              <w:rPr>
                <w:rFonts w:ascii="Arial" w:hAnsi="Arial" w:cs="Arial"/>
                <w:b/>
                <w:bCs/>
                <w:color w:val="000000"/>
              </w:rPr>
              <w:noBreakHyphen/>
              <w:t>based solution</w:t>
            </w:r>
          </w:p>
          <w:p w14:paraId="0CFA998F" w14:textId="77777777" w:rsidR="00561303" w:rsidRDefault="00561303">
            <w:pPr>
              <w:rPr>
                <w:szCs w:val="24"/>
              </w:rPr>
            </w:pPr>
            <w:r>
              <w:rPr>
                <w:rFonts w:ascii="Arial" w:hAnsi="Arial" w:cs="Arial"/>
                <w:color w:val="000000"/>
              </w:rPr>
              <w:t>From 2026/27 the Service will deliver a one</w:t>
            </w:r>
            <w:r>
              <w:rPr>
                <w:rFonts w:ascii="Arial" w:hAnsi="Arial" w:cs="Arial"/>
                <w:color w:val="000000"/>
              </w:rPr>
              <w:noBreakHyphen/>
              <w:t>off cashable efficiency saving of £500,000 by changing the way stations are alerted. Alerter masts are fixed installations (typically an external mast/antenna and associated power and cabling) used to transmit alerting signals to a station. Following a review of requirements and available technology, the Service will move away from the planned installation of new alerter masts and instead adopt an alternative paging</w:t>
            </w:r>
            <w:r>
              <w:rPr>
                <w:rFonts w:ascii="Arial" w:hAnsi="Arial" w:cs="Arial"/>
                <w:color w:val="000000"/>
              </w:rPr>
              <w:noBreakHyphen/>
              <w:t>based solution, using pagers (small, portable alerting devices carried by staff) to receive alert messages. This approach removes the need for mast construction, power supply and wider infrastructure works, avoiding a significant item of capital expenditure that would otherwise have been funded from revenue.</w:t>
            </w:r>
          </w:p>
          <w:p w14:paraId="3B7D0788" w14:textId="77777777" w:rsidR="007F6C6E" w:rsidRDefault="007F6C6E" w:rsidP="003C7EBD">
            <w:pPr>
              <w:rPr>
                <w:rFonts w:ascii="Arial" w:hAnsi="Arial" w:cs="Arial"/>
                <w:color w:val="000000"/>
              </w:rPr>
            </w:pPr>
          </w:p>
          <w:p w14:paraId="215C9A32" w14:textId="77777777" w:rsidR="0087762B" w:rsidRDefault="0087762B" w:rsidP="0087762B">
            <w:pPr>
              <w:rPr>
                <w:rFonts w:ascii="Arial" w:hAnsi="Arial" w:cs="Arial"/>
                <w:b/>
                <w:bCs/>
                <w:szCs w:val="24"/>
              </w:rPr>
            </w:pPr>
            <w:r>
              <w:rPr>
                <w:rFonts w:ascii="Arial" w:hAnsi="Arial" w:cs="Arial"/>
                <w:b/>
                <w:bCs/>
                <w:szCs w:val="24"/>
              </w:rPr>
              <w:t xml:space="preserve">Reduced Capital Expenditure funded by Revenue: </w:t>
            </w:r>
            <w:r w:rsidRPr="005362A1">
              <w:rPr>
                <w:rFonts w:ascii="Arial" w:hAnsi="Arial" w:cs="Arial"/>
                <w:b/>
                <w:bCs/>
                <w:szCs w:val="24"/>
              </w:rPr>
              <w:t xml:space="preserve">£32,000 recurring cashable efficiency saving </w:t>
            </w:r>
            <w:r>
              <w:rPr>
                <w:rFonts w:ascii="Arial" w:hAnsi="Arial" w:cs="Arial"/>
                <w:b/>
                <w:bCs/>
                <w:szCs w:val="24"/>
              </w:rPr>
              <w:t>from a review of light vehicles</w:t>
            </w:r>
          </w:p>
          <w:p w14:paraId="789423A3" w14:textId="77777777" w:rsidR="0087762B" w:rsidRDefault="0087762B" w:rsidP="0087762B">
            <w:pPr>
              <w:rPr>
                <w:szCs w:val="24"/>
              </w:rPr>
            </w:pPr>
            <w:r>
              <w:rPr>
                <w:rFonts w:ascii="Arial" w:hAnsi="Arial" w:cs="Arial"/>
                <w:color w:val="000000"/>
              </w:rPr>
              <w:t xml:space="preserve">Light vehicles are the Service’s non-emergency cars and small vans used for day-to-day travel and support activity (for example visits, inspections, training support and moving small items). During 2026/27 the Service will complete a Light Vehicle Review to confirm who needs access to a light vehicle and why, set consistent criteria across departments, and quantify the full cost of providing and running these vehicles. The review covers 132 vehicles and will consider practical options such as pooling and booking, using the right size/type of vehicle for the task, and moving to hybrid/electric vehicles where operationally suitable (subject to estate charging infrastructure). Better utilisation data will be developed to replace reliance on manual logbooks. Based on financial modelling and a prudent assumption that the fleet can be reduced by 10% with no detriment to operational response and no cost displacement, the estimated saving </w:t>
            </w:r>
            <w:r>
              <w:rPr>
                <w:rFonts w:ascii="Arial" w:hAnsi="Arial" w:cs="Arial"/>
                <w:color w:val="000000"/>
              </w:rPr>
              <w:lastRenderedPageBreak/>
              <w:t>potential is £31,724 (c. £32,000) per year. This will be confirmed and delivered once the review is completed and approved.</w:t>
            </w:r>
          </w:p>
          <w:p w14:paraId="66281C3F" w14:textId="77777777" w:rsidR="0087762B" w:rsidRDefault="0087762B" w:rsidP="0087762B">
            <w:pPr>
              <w:rPr>
                <w:rFonts w:ascii="Arial" w:hAnsi="Arial" w:cs="Arial"/>
                <w:b/>
                <w:bCs/>
                <w:szCs w:val="24"/>
              </w:rPr>
            </w:pPr>
          </w:p>
          <w:p w14:paraId="10183388" w14:textId="77777777" w:rsidR="00584B80" w:rsidRDefault="00584B80">
            <w:pPr>
              <w:rPr>
                <w:szCs w:val="24"/>
              </w:rPr>
            </w:pPr>
            <w:r>
              <w:rPr>
                <w:rFonts w:ascii="Arial" w:hAnsi="Arial" w:cs="Arial"/>
                <w:b/>
                <w:bCs/>
                <w:color w:val="000000"/>
              </w:rPr>
              <w:t>Reduced Capital Expenditure funded by Revenue: £490,000 recurring cashable saving for fleet replacement through extending vehicle asset lives</w:t>
            </w:r>
          </w:p>
          <w:p w14:paraId="7FA764FA" w14:textId="183C0687" w:rsidR="0094575C" w:rsidRPr="0094575C" w:rsidRDefault="0094575C" w:rsidP="00F95CA0">
            <w:pPr>
              <w:rPr>
                <w:rFonts w:ascii="Arial" w:hAnsi="Arial" w:cs="Arial"/>
                <w:color w:val="000000" w:themeColor="text1"/>
                <w:szCs w:val="24"/>
              </w:rPr>
            </w:pPr>
            <w:r w:rsidRPr="0094575C">
              <w:rPr>
                <w:rFonts w:ascii="Arial" w:hAnsi="Arial" w:cs="Arial"/>
                <w:color w:val="000000" w:themeColor="text1"/>
                <w:szCs w:val="24"/>
              </w:rPr>
              <w:t>During 2025/26 the Service completed a review of fleet asset lives and replacement assumptions to better reflect utilisation, condition and whole</w:t>
            </w:r>
            <w:r w:rsidRPr="0094575C">
              <w:rPr>
                <w:rFonts w:ascii="Cambria Math" w:hAnsi="Cambria Math" w:cs="Cambria Math"/>
                <w:color w:val="000000" w:themeColor="text1"/>
                <w:szCs w:val="24"/>
              </w:rPr>
              <w:t>‑</w:t>
            </w:r>
            <w:r w:rsidRPr="0094575C">
              <w:rPr>
                <w:rFonts w:ascii="Arial" w:hAnsi="Arial" w:cs="Arial"/>
                <w:color w:val="000000" w:themeColor="text1"/>
                <w:szCs w:val="24"/>
              </w:rPr>
              <w:t>life value, and to ensure the capital programme remains affordable while maintaining operational resilience (including updated assumptions such as a longer service life for newer appliances).  The outcome has been reflected in the updated 10</w:t>
            </w:r>
            <w:r w:rsidRPr="0094575C">
              <w:rPr>
                <w:rFonts w:ascii="Cambria Math" w:hAnsi="Cambria Math" w:cs="Cambria Math"/>
                <w:color w:val="000000" w:themeColor="text1"/>
                <w:szCs w:val="24"/>
              </w:rPr>
              <w:t>‑</w:t>
            </w:r>
            <w:r w:rsidRPr="0094575C">
              <w:rPr>
                <w:rFonts w:ascii="Arial" w:hAnsi="Arial" w:cs="Arial"/>
                <w:color w:val="000000" w:themeColor="text1"/>
                <w:szCs w:val="24"/>
              </w:rPr>
              <w:t xml:space="preserve">year fleet replacement programme and will be embedded through ongoing updates to the Fleet Asset Management Plan.  </w:t>
            </w:r>
            <w:r w:rsidR="00951A7B">
              <w:rPr>
                <w:rFonts w:ascii="Arial" w:hAnsi="Arial" w:cs="Arial"/>
                <w:color w:val="000000" w:themeColor="text1"/>
                <w:szCs w:val="24"/>
              </w:rPr>
              <w:t>Over a</w:t>
            </w:r>
            <w:r w:rsidRPr="0094575C">
              <w:rPr>
                <w:rFonts w:ascii="Arial" w:hAnsi="Arial" w:cs="Arial"/>
                <w:color w:val="000000" w:themeColor="text1"/>
                <w:szCs w:val="24"/>
              </w:rPr>
              <w:t xml:space="preserve"> 10</w:t>
            </w:r>
            <w:r w:rsidRPr="0094575C">
              <w:rPr>
                <w:rFonts w:ascii="Cambria Math" w:hAnsi="Cambria Math" w:cs="Cambria Math"/>
                <w:color w:val="000000" w:themeColor="text1"/>
                <w:szCs w:val="24"/>
              </w:rPr>
              <w:t>‑</w:t>
            </w:r>
            <w:r w:rsidRPr="0094575C">
              <w:rPr>
                <w:rFonts w:ascii="Arial" w:hAnsi="Arial" w:cs="Arial"/>
                <w:color w:val="000000" w:themeColor="text1"/>
                <w:szCs w:val="24"/>
              </w:rPr>
              <w:t xml:space="preserve">year capital programme, the total vehicles requirement reduced </w:t>
            </w:r>
            <w:r w:rsidR="00951A7B">
              <w:rPr>
                <w:rFonts w:ascii="Arial" w:hAnsi="Arial" w:cs="Arial"/>
                <w:color w:val="000000" w:themeColor="text1"/>
                <w:szCs w:val="24"/>
              </w:rPr>
              <w:t>by</w:t>
            </w:r>
            <w:r w:rsidRPr="0094575C">
              <w:rPr>
                <w:rFonts w:ascii="Arial" w:hAnsi="Arial" w:cs="Arial"/>
                <w:color w:val="000000" w:themeColor="text1"/>
                <w:szCs w:val="24"/>
              </w:rPr>
              <w:t xml:space="preserve"> </w:t>
            </w:r>
            <w:r w:rsidR="00951A7B">
              <w:rPr>
                <w:rFonts w:ascii="Arial" w:hAnsi="Arial" w:cs="Arial"/>
                <w:color w:val="000000" w:themeColor="text1"/>
                <w:szCs w:val="24"/>
              </w:rPr>
              <w:t>c</w:t>
            </w:r>
            <w:r w:rsidRPr="0094575C">
              <w:rPr>
                <w:rFonts w:ascii="Arial" w:hAnsi="Arial" w:cs="Arial"/>
                <w:color w:val="000000" w:themeColor="text1"/>
                <w:szCs w:val="24"/>
              </w:rPr>
              <w:t>£6</w:t>
            </w:r>
            <w:r w:rsidR="00951A7B">
              <w:rPr>
                <w:rFonts w:ascii="Arial" w:hAnsi="Arial" w:cs="Arial"/>
                <w:color w:val="000000" w:themeColor="text1"/>
                <w:szCs w:val="24"/>
              </w:rPr>
              <w:t>m</w:t>
            </w:r>
            <w:r w:rsidRPr="0094575C">
              <w:rPr>
                <w:rFonts w:ascii="Arial" w:hAnsi="Arial" w:cs="Arial"/>
                <w:color w:val="000000" w:themeColor="text1"/>
                <w:szCs w:val="24"/>
              </w:rPr>
              <w:t xml:space="preserve"> over the period.  </w:t>
            </w:r>
            <w:r w:rsidR="00951A7B">
              <w:rPr>
                <w:rFonts w:ascii="Arial" w:hAnsi="Arial" w:cs="Arial"/>
                <w:color w:val="000000" w:themeColor="text1"/>
                <w:szCs w:val="24"/>
              </w:rPr>
              <w:t>E</w:t>
            </w:r>
            <w:r w:rsidRPr="0094575C">
              <w:rPr>
                <w:rFonts w:ascii="Arial" w:hAnsi="Arial" w:cs="Arial"/>
                <w:color w:val="000000" w:themeColor="text1"/>
                <w:szCs w:val="24"/>
              </w:rPr>
              <w:t>xtending vehicle lives can increase exposure to in</w:t>
            </w:r>
            <w:r w:rsidRPr="0094575C">
              <w:rPr>
                <w:rFonts w:ascii="Cambria Math" w:hAnsi="Cambria Math" w:cs="Cambria Math"/>
                <w:color w:val="000000" w:themeColor="text1"/>
                <w:szCs w:val="24"/>
              </w:rPr>
              <w:t>‑</w:t>
            </w:r>
            <w:r w:rsidRPr="0094575C">
              <w:rPr>
                <w:rFonts w:ascii="Arial" w:hAnsi="Arial" w:cs="Arial"/>
                <w:color w:val="000000" w:themeColor="text1"/>
                <w:szCs w:val="24"/>
              </w:rPr>
              <w:t>life costs (e.g. maintenance and refurbishment), therefore a prudent 15% allowance has been applied to reflect potential additional in</w:t>
            </w:r>
            <w:r w:rsidRPr="0094575C">
              <w:rPr>
                <w:rFonts w:ascii="Cambria Math" w:hAnsi="Cambria Math" w:cs="Cambria Math"/>
                <w:color w:val="000000" w:themeColor="text1"/>
                <w:szCs w:val="24"/>
              </w:rPr>
              <w:t>‑</w:t>
            </w:r>
            <w:r w:rsidRPr="0094575C">
              <w:rPr>
                <w:rFonts w:ascii="Arial" w:hAnsi="Arial" w:cs="Arial"/>
                <w:color w:val="000000" w:themeColor="text1"/>
                <w:szCs w:val="24"/>
              </w:rPr>
              <w:t xml:space="preserve">service costs pending confirmation through budget monitoring and condition/performance data; on this basis the net annual </w:t>
            </w:r>
            <w:r w:rsidR="00F94A01">
              <w:rPr>
                <w:rFonts w:ascii="Arial" w:hAnsi="Arial" w:cs="Arial"/>
                <w:color w:val="000000" w:themeColor="text1"/>
                <w:szCs w:val="24"/>
              </w:rPr>
              <w:t>saving</w:t>
            </w:r>
            <w:r w:rsidRPr="0094575C">
              <w:rPr>
                <w:rFonts w:ascii="Arial" w:hAnsi="Arial" w:cs="Arial"/>
                <w:color w:val="000000" w:themeColor="text1"/>
                <w:szCs w:val="24"/>
              </w:rPr>
              <w:t xml:space="preserve"> is reported £</w:t>
            </w:r>
            <w:r w:rsidR="005630F0">
              <w:rPr>
                <w:rFonts w:ascii="Arial" w:hAnsi="Arial" w:cs="Arial"/>
                <w:color w:val="000000" w:themeColor="text1"/>
                <w:szCs w:val="24"/>
              </w:rPr>
              <w:t>490</w:t>
            </w:r>
            <w:r w:rsidR="00F94A01">
              <w:rPr>
                <w:rFonts w:ascii="Arial" w:hAnsi="Arial" w:cs="Arial"/>
                <w:color w:val="000000" w:themeColor="text1"/>
                <w:szCs w:val="24"/>
              </w:rPr>
              <w:t>,000</w:t>
            </w:r>
            <w:r w:rsidRPr="0094575C">
              <w:rPr>
                <w:rFonts w:ascii="Arial" w:hAnsi="Arial" w:cs="Arial"/>
                <w:color w:val="000000" w:themeColor="text1"/>
                <w:szCs w:val="24"/>
              </w:rPr>
              <w:t xml:space="preserve"> per annum</w:t>
            </w:r>
            <w:r w:rsidR="00436CC2">
              <w:rPr>
                <w:rFonts w:ascii="Arial" w:hAnsi="Arial" w:cs="Arial"/>
                <w:color w:val="000000" w:themeColor="text1"/>
                <w:szCs w:val="24"/>
              </w:rPr>
              <w:t xml:space="preserve"> reduced capital requirement</w:t>
            </w:r>
            <w:r w:rsidRPr="0094575C">
              <w:rPr>
                <w:rFonts w:ascii="Arial" w:hAnsi="Arial" w:cs="Arial"/>
                <w:color w:val="000000" w:themeColor="text1"/>
                <w:szCs w:val="24"/>
              </w:rPr>
              <w:t>.</w:t>
            </w:r>
          </w:p>
          <w:p w14:paraId="654E76ED" w14:textId="77777777" w:rsidR="0094575C" w:rsidRDefault="0094575C" w:rsidP="00F95CA0">
            <w:pPr>
              <w:rPr>
                <w:rFonts w:ascii="Arial" w:hAnsi="Arial" w:cs="Arial"/>
                <w:b/>
                <w:bCs/>
                <w:color w:val="000000" w:themeColor="text1"/>
                <w:szCs w:val="24"/>
              </w:rPr>
            </w:pPr>
          </w:p>
          <w:p w14:paraId="4268D33A" w14:textId="77777777" w:rsidR="00584B80" w:rsidRDefault="00584B80">
            <w:pPr>
              <w:rPr>
                <w:szCs w:val="24"/>
              </w:rPr>
            </w:pPr>
            <w:r>
              <w:rPr>
                <w:rFonts w:ascii="Arial" w:hAnsi="Arial" w:cs="Arial"/>
                <w:b/>
                <w:bCs/>
                <w:color w:val="000000"/>
              </w:rPr>
              <w:t>Electric Vehicles: Up to £40,000 recurring cashable efficiency savings from transitioning from petrol to electric vehicles (EVs)</w:t>
            </w:r>
          </w:p>
          <w:p w14:paraId="653817FC" w14:textId="73B9CE1A" w:rsidR="003C7EBD" w:rsidRPr="00AA3DE8" w:rsidRDefault="00F95CA0" w:rsidP="003C7EBD">
            <w:pPr>
              <w:rPr>
                <w:rFonts w:ascii="Arial" w:hAnsi="Arial" w:cs="Arial"/>
                <w:color w:val="000000"/>
                <w:szCs w:val="24"/>
              </w:rPr>
            </w:pPr>
            <w:r w:rsidRPr="00F95CA0">
              <w:rPr>
                <w:rFonts w:ascii="Arial" w:hAnsi="Arial" w:cs="Arial"/>
                <w:color w:val="000000"/>
                <w:szCs w:val="24"/>
              </w:rPr>
              <w:t>Analysis undertaken during 2025/26 indicates that full electric vehicles deliver average cashable revenue savings of around £1,100 per vehicle per annum compared with petrol equivalents, arising from lower fuel costs, reduced servicing and maintenance requirements, and zero Vehicle Excise Duty. Once the officer fleet is fully transitioned, this equates to an ongoing cashable saving of approximately £40,000–£45,000 per annum, based on current mileage and energy price assumptions. The transition is expected to be delivered over a period of up to seven years, aligned to normal vehicle replacement cycles, meaning that cashable savings will increase progressively each year as petrol vehicles are replaced, reaching a steady</w:t>
            </w:r>
            <w:r w:rsidRPr="00F95CA0">
              <w:rPr>
                <w:rFonts w:ascii="Cambria Math" w:hAnsi="Cambria Math" w:cs="Cambria Math"/>
                <w:color w:val="000000"/>
                <w:szCs w:val="24"/>
              </w:rPr>
              <w:t>‑</w:t>
            </w:r>
            <w:r w:rsidRPr="00F95CA0">
              <w:rPr>
                <w:rFonts w:ascii="Arial" w:hAnsi="Arial" w:cs="Arial"/>
                <w:color w:val="000000"/>
                <w:szCs w:val="24"/>
              </w:rPr>
              <w:t>state position once the transition is complete</w:t>
            </w:r>
            <w:r w:rsidR="003C7EBD" w:rsidRPr="00AA3DE8">
              <w:rPr>
                <w:rFonts w:ascii="Arial" w:hAnsi="Arial" w:cs="Arial"/>
                <w:color w:val="000000"/>
                <w:szCs w:val="24"/>
              </w:rPr>
              <w:t>.</w:t>
            </w:r>
          </w:p>
          <w:p w14:paraId="0C83CC1D" w14:textId="77777777" w:rsidR="003C7EBD" w:rsidRPr="00AA3DE8" w:rsidRDefault="003C7EBD" w:rsidP="003C7EBD">
            <w:pPr>
              <w:rPr>
                <w:rFonts w:ascii="Arial" w:hAnsi="Arial" w:cs="Arial"/>
                <w:b/>
                <w:bCs/>
                <w:szCs w:val="24"/>
              </w:rPr>
            </w:pPr>
          </w:p>
          <w:p w14:paraId="2B6ADDEC" w14:textId="6CA631E9" w:rsidR="008510B5" w:rsidRDefault="008510B5" w:rsidP="008510B5">
            <w:pPr>
              <w:rPr>
                <w:rFonts w:ascii="Arial" w:hAnsi="Arial" w:cs="Arial"/>
                <w:b/>
                <w:bCs/>
                <w:color w:val="000000"/>
              </w:rPr>
            </w:pPr>
            <w:r>
              <w:rPr>
                <w:rFonts w:ascii="Arial" w:hAnsi="Arial" w:cs="Arial"/>
                <w:b/>
                <w:bCs/>
                <w:szCs w:val="24"/>
              </w:rPr>
              <w:t xml:space="preserve">Reduced Capital Expenditure funded by Revenue: One off </w:t>
            </w:r>
            <w:r w:rsidRPr="00AA3DE8">
              <w:rPr>
                <w:rFonts w:ascii="Arial" w:hAnsi="Arial" w:cs="Arial"/>
                <w:b/>
                <w:bCs/>
                <w:szCs w:val="24"/>
              </w:rPr>
              <w:t>cashable efficiency saving</w:t>
            </w:r>
            <w:r>
              <w:rPr>
                <w:rFonts w:ascii="Arial" w:hAnsi="Arial" w:cs="Arial"/>
                <w:b/>
                <w:bCs/>
                <w:szCs w:val="24"/>
              </w:rPr>
              <w:t xml:space="preserve"> from replacing Drill Towers</w:t>
            </w:r>
          </w:p>
          <w:p w14:paraId="6F18DB71" w14:textId="77777777" w:rsidR="007900E5" w:rsidRDefault="008510B5" w:rsidP="00EB4A3F">
            <w:pPr>
              <w:rPr>
                <w:rFonts w:ascii="Arial" w:hAnsi="Arial" w:cs="Arial"/>
                <w:color w:val="000000"/>
              </w:rPr>
            </w:pPr>
            <w:r>
              <w:rPr>
                <w:rFonts w:ascii="Arial" w:hAnsi="Arial" w:cs="Arial"/>
                <w:color w:val="000000"/>
              </w:rPr>
              <w:t>In 2026/27 the Service will undertake a strategic review of Drill Towers to identify those requiring replacement and to move to a shared drill tower model where suitable stations can share infrastructure and thus avoid replacement costs. This hub</w:t>
            </w:r>
            <w:r>
              <w:rPr>
                <w:rFonts w:ascii="Arial" w:hAnsi="Arial" w:cs="Arial"/>
                <w:color w:val="000000"/>
              </w:rPr>
              <w:noBreakHyphen/>
              <w:t>and</w:t>
            </w:r>
            <w:r>
              <w:rPr>
                <w:rFonts w:ascii="Arial" w:hAnsi="Arial" w:cs="Arial"/>
                <w:color w:val="000000"/>
              </w:rPr>
              <w:noBreakHyphen/>
              <w:t>spoke approach reduces the number of individual towers and associated site works required, improves resilience through planned coverage and asset redundancy, and supports collaboration by enabling consistent training and operational alerting arrangements across locations. The resulting reduction in replacement volumes, maintenance contracts and lifecycle renewals will deliver a recurring cashable efficiency saving through lower annual revenue spend and reduced future capital requirements. The actual saving will be quantified on completion of the review.</w:t>
            </w:r>
          </w:p>
          <w:p w14:paraId="5DA96C1F" w14:textId="77777777" w:rsidR="00343199" w:rsidRDefault="00343199" w:rsidP="00EB4A3F">
            <w:pPr>
              <w:rPr>
                <w:rFonts w:ascii="Arial" w:hAnsi="Arial" w:cs="Arial"/>
                <w:color w:val="000000"/>
              </w:rPr>
            </w:pPr>
          </w:p>
          <w:p w14:paraId="73829D00" w14:textId="1D3AE43A" w:rsidR="00411A93" w:rsidRDefault="00411A93" w:rsidP="002C7E8D">
            <w:pPr>
              <w:rPr>
                <w:rFonts w:ascii="Arial" w:hAnsi="Arial" w:cs="Arial"/>
                <w:b/>
                <w:bCs/>
                <w:color w:val="000000"/>
              </w:rPr>
            </w:pPr>
            <w:r>
              <w:rPr>
                <w:rFonts w:ascii="Arial" w:hAnsi="Arial" w:cs="Arial"/>
                <w:b/>
                <w:bCs/>
                <w:color w:val="000000"/>
              </w:rPr>
              <w:lastRenderedPageBreak/>
              <w:t xml:space="preserve">ICT Supplies and Services: </w:t>
            </w:r>
            <w:r w:rsidRPr="00411A93">
              <w:rPr>
                <w:rFonts w:ascii="Arial" w:hAnsi="Arial" w:cs="Arial"/>
                <w:b/>
                <w:bCs/>
                <w:color w:val="000000"/>
              </w:rPr>
              <w:t>£</w:t>
            </w:r>
            <w:r>
              <w:rPr>
                <w:rFonts w:ascii="Arial" w:hAnsi="Arial" w:cs="Arial"/>
                <w:b/>
                <w:bCs/>
                <w:color w:val="000000"/>
              </w:rPr>
              <w:t>40</w:t>
            </w:r>
            <w:r w:rsidRPr="00411A93">
              <w:rPr>
                <w:rFonts w:ascii="Arial" w:hAnsi="Arial" w:cs="Arial"/>
                <w:b/>
                <w:bCs/>
                <w:color w:val="000000"/>
              </w:rPr>
              <w:t xml:space="preserve">,000 recurring cashable efficiency saving </w:t>
            </w:r>
            <w:r w:rsidR="004B05EA">
              <w:rPr>
                <w:rFonts w:ascii="Arial" w:hAnsi="Arial" w:cs="Arial"/>
                <w:b/>
                <w:bCs/>
                <w:color w:val="000000"/>
              </w:rPr>
              <w:t xml:space="preserve">from </w:t>
            </w:r>
            <w:r w:rsidR="005100DD" w:rsidRPr="00ED3676">
              <w:rPr>
                <w:rFonts w:ascii="Arial" w:hAnsi="Arial" w:cs="Arial"/>
                <w:b/>
                <w:bCs/>
                <w:color w:val="000000"/>
              </w:rPr>
              <w:t>replacing its Wide Area Network (WAN) with a modern, more flexible connectivity solution</w:t>
            </w:r>
            <w:r w:rsidRPr="00411A93">
              <w:rPr>
                <w:rFonts w:ascii="Arial" w:hAnsi="Arial" w:cs="Arial"/>
                <w:b/>
                <w:bCs/>
                <w:color w:val="000000"/>
              </w:rPr>
              <w:t xml:space="preserve"> </w:t>
            </w:r>
          </w:p>
          <w:p w14:paraId="201E756F" w14:textId="666F4C47" w:rsidR="00343199" w:rsidRDefault="002C7E8D" w:rsidP="002C7E8D">
            <w:pPr>
              <w:rPr>
                <w:rFonts w:ascii="Arial" w:hAnsi="Arial" w:cs="Arial"/>
                <w:color w:val="000000"/>
              </w:rPr>
            </w:pPr>
            <w:r w:rsidRPr="002C7E8D">
              <w:rPr>
                <w:rFonts w:ascii="Arial" w:hAnsi="Arial" w:cs="Arial"/>
                <w:color w:val="000000"/>
              </w:rPr>
              <w:t>The Service is replacing its Wide Area Network (WAN) with a modern, more flexible connectivity solution delivered through a collaborative procurement route, enabling better value for money through aggregated public</w:t>
            </w:r>
            <w:r w:rsidRPr="002C7E8D">
              <w:rPr>
                <w:rFonts w:ascii="Cambria Math" w:hAnsi="Cambria Math" w:cs="Cambria Math"/>
                <w:color w:val="000000"/>
              </w:rPr>
              <w:t>‑</w:t>
            </w:r>
            <w:r w:rsidRPr="002C7E8D">
              <w:rPr>
                <w:rFonts w:ascii="Arial" w:hAnsi="Arial" w:cs="Arial"/>
                <w:color w:val="000000"/>
              </w:rPr>
              <w:t>sector buying power. Based on prior Service estimates of the financial benefit from collaborative WAN procurement, the change is expected to deliver a net recurring cashable saving of circa £40,000 per annum once the solution is fully implemented and operating in steady state. Final savings will be confirmed as part of contract finalisation and will depend on the connectivity model adopted for different station types, including on</w:t>
            </w:r>
            <w:r w:rsidRPr="002C7E8D">
              <w:rPr>
                <w:rFonts w:ascii="Cambria Math" w:hAnsi="Cambria Math" w:cs="Cambria Math"/>
                <w:color w:val="000000"/>
              </w:rPr>
              <w:t>‑</w:t>
            </w:r>
            <w:r w:rsidRPr="002C7E8D">
              <w:rPr>
                <w:rFonts w:ascii="Arial" w:hAnsi="Arial" w:cs="Arial"/>
                <w:color w:val="000000"/>
              </w:rPr>
              <w:t>call only locations.</w:t>
            </w:r>
          </w:p>
          <w:p w14:paraId="58869057" w14:textId="77777777" w:rsidR="00D2035E" w:rsidRDefault="00D2035E" w:rsidP="002C7E8D">
            <w:pPr>
              <w:rPr>
                <w:rFonts w:ascii="Arial" w:hAnsi="Arial" w:cs="Arial"/>
                <w:color w:val="000000"/>
              </w:rPr>
            </w:pPr>
          </w:p>
          <w:p w14:paraId="3B1A431C" w14:textId="775245CE" w:rsidR="00751334" w:rsidRDefault="00030F3F" w:rsidP="00751334">
            <w:pPr>
              <w:rPr>
                <w:rFonts w:ascii="Arial" w:hAnsi="Arial" w:cs="Arial"/>
                <w:b/>
                <w:bCs/>
                <w:color w:val="000000"/>
              </w:rPr>
            </w:pPr>
            <w:r w:rsidRPr="2ABFA60F">
              <w:rPr>
                <w:rFonts w:ascii="Arial" w:hAnsi="Arial" w:cs="Arial"/>
                <w:b/>
                <w:color w:val="000000" w:themeColor="text1"/>
              </w:rPr>
              <w:t xml:space="preserve">ICT Supplies and Services: £50,000 recurring cashable efficiency saving </w:t>
            </w:r>
            <w:r w:rsidR="002C476B" w:rsidRPr="2ABFA60F">
              <w:rPr>
                <w:rFonts w:ascii="Arial" w:hAnsi="Arial" w:cs="Arial"/>
                <w:b/>
                <w:color w:val="000000" w:themeColor="text1"/>
              </w:rPr>
              <w:t>from utilising</w:t>
            </w:r>
            <w:r w:rsidR="00B96875" w:rsidRPr="2ABFA60F">
              <w:rPr>
                <w:rFonts w:ascii="Arial" w:hAnsi="Arial" w:cs="Arial"/>
                <w:b/>
                <w:color w:val="000000" w:themeColor="text1"/>
              </w:rPr>
              <w:t xml:space="preserve"> existing</w:t>
            </w:r>
            <w:r w:rsidRPr="2ABFA60F">
              <w:rPr>
                <w:rFonts w:ascii="Arial" w:hAnsi="Arial" w:cs="Arial"/>
                <w:b/>
                <w:color w:val="000000" w:themeColor="text1"/>
              </w:rPr>
              <w:t xml:space="preserve"> </w:t>
            </w:r>
            <w:r w:rsidR="00B96875" w:rsidRPr="2ABFA60F">
              <w:rPr>
                <w:rFonts w:ascii="Arial" w:hAnsi="Arial" w:cs="Arial"/>
                <w:b/>
                <w:color w:val="000000" w:themeColor="text1"/>
              </w:rPr>
              <w:t>Service Desk system</w:t>
            </w:r>
            <w:r w:rsidR="00E665DB" w:rsidRPr="2ABFA60F">
              <w:rPr>
                <w:rFonts w:ascii="Arial" w:hAnsi="Arial" w:cs="Arial"/>
                <w:b/>
                <w:color w:val="000000" w:themeColor="text1"/>
              </w:rPr>
              <w:t xml:space="preserve"> and removing the need to procure a standalone Computer</w:t>
            </w:r>
            <w:r w:rsidR="00E665DB" w:rsidRPr="2ABFA60F">
              <w:rPr>
                <w:rFonts w:ascii="Cambria Math" w:hAnsi="Cambria Math" w:cs="Cambria Math"/>
                <w:b/>
                <w:color w:val="000000" w:themeColor="text1"/>
              </w:rPr>
              <w:t>‑</w:t>
            </w:r>
            <w:r w:rsidR="00E665DB" w:rsidRPr="2ABFA60F">
              <w:rPr>
                <w:rFonts w:ascii="Arial" w:hAnsi="Arial" w:cs="Arial"/>
                <w:b/>
                <w:color w:val="000000" w:themeColor="text1"/>
              </w:rPr>
              <w:t>Aided Facilities Management (CAFM) system</w:t>
            </w:r>
          </w:p>
          <w:p w14:paraId="336CA465" w14:textId="77777777" w:rsidR="008510B5" w:rsidRDefault="00D2035E" w:rsidP="00C74C1E">
            <w:pPr>
              <w:rPr>
                <w:rFonts w:ascii="Arial" w:hAnsi="Arial" w:cs="Arial"/>
                <w:color w:val="000000"/>
              </w:rPr>
            </w:pPr>
            <w:r w:rsidRPr="00D2035E">
              <w:rPr>
                <w:rFonts w:ascii="Arial" w:hAnsi="Arial" w:cs="Arial"/>
                <w:color w:val="000000"/>
              </w:rPr>
              <w:t>Work has been undertaken to assess whether the Service’s existing Service Desk system, which includes asset management functionality, can be expanded and used as part of an Enterprise Service Management model. Following a number of demonstrations and evaluation activity, this solution has been agreed as suitable, removing the need to procure a standalone Computer</w:t>
            </w:r>
            <w:r w:rsidRPr="00D2035E">
              <w:rPr>
                <w:rFonts w:ascii="Cambria Math" w:hAnsi="Cambria Math" w:cs="Cambria Math"/>
                <w:color w:val="000000"/>
              </w:rPr>
              <w:t>‑</w:t>
            </w:r>
            <w:r w:rsidRPr="00D2035E">
              <w:rPr>
                <w:rFonts w:ascii="Arial" w:hAnsi="Arial" w:cs="Arial"/>
                <w:color w:val="000000"/>
              </w:rPr>
              <w:t>Aided Facilities Management (CAFM) system.</w:t>
            </w:r>
            <w:r w:rsidR="00C74C1E">
              <w:rPr>
                <w:rFonts w:ascii="Arial" w:hAnsi="Arial" w:cs="Arial"/>
                <w:color w:val="000000"/>
              </w:rPr>
              <w:t xml:space="preserve"> </w:t>
            </w:r>
            <w:r w:rsidRPr="00D2035E">
              <w:rPr>
                <w:rFonts w:ascii="Arial" w:hAnsi="Arial" w:cs="Arial"/>
                <w:color w:val="000000"/>
              </w:rPr>
              <w:t>As a result, the Service has avoided the procurement of a dedicated CAFM solution, delivering an estimated cashable revenue saving of approximately £50,000 per annum, while also improving integration and consistency across asset and service management processes.</w:t>
            </w:r>
          </w:p>
          <w:p w14:paraId="0E1177B3" w14:textId="77777777" w:rsidR="0087762B" w:rsidRDefault="0087762B" w:rsidP="00C74C1E">
            <w:pPr>
              <w:rPr>
                <w:rFonts w:ascii="Arial" w:hAnsi="Arial" w:cs="Arial"/>
                <w:color w:val="000000"/>
              </w:rPr>
            </w:pPr>
          </w:p>
          <w:p w14:paraId="4F29D608" w14:textId="77777777" w:rsidR="0087762B" w:rsidRPr="00AA3DE8" w:rsidRDefault="0087762B" w:rsidP="0087762B">
            <w:pPr>
              <w:rPr>
                <w:rFonts w:ascii="Arial" w:hAnsi="Arial" w:cs="Arial"/>
                <w:b/>
                <w:bCs/>
                <w:szCs w:val="24"/>
              </w:rPr>
            </w:pPr>
            <w:r>
              <w:rPr>
                <w:rFonts w:ascii="Arial" w:hAnsi="Arial" w:cs="Arial"/>
                <w:b/>
                <w:bCs/>
                <w:szCs w:val="24"/>
              </w:rPr>
              <w:t xml:space="preserve">Local Procurement Savings: </w:t>
            </w:r>
            <w:r w:rsidRPr="00AA3DE8">
              <w:rPr>
                <w:rFonts w:ascii="Arial" w:hAnsi="Arial" w:cs="Arial"/>
                <w:b/>
                <w:bCs/>
                <w:szCs w:val="24"/>
              </w:rPr>
              <w:t>£242,586</w:t>
            </w:r>
            <w:r>
              <w:rPr>
                <w:rFonts w:ascii="Arial" w:hAnsi="Arial" w:cs="Arial"/>
                <w:b/>
                <w:bCs/>
                <w:szCs w:val="24"/>
              </w:rPr>
              <w:t xml:space="preserve"> </w:t>
            </w:r>
            <w:r w:rsidRPr="00AA3DE8">
              <w:rPr>
                <w:rFonts w:ascii="Arial" w:hAnsi="Arial" w:cs="Arial"/>
                <w:b/>
                <w:bCs/>
                <w:szCs w:val="24"/>
              </w:rPr>
              <w:t>non-cashable procurement savings from 2026/27</w:t>
            </w:r>
          </w:p>
          <w:p w14:paraId="341C0FB8" w14:textId="08013F61" w:rsidR="0087762B" w:rsidRPr="0087762B" w:rsidRDefault="0087762B" w:rsidP="00C74C1E">
            <w:pPr>
              <w:rPr>
                <w:rFonts w:ascii="Arial" w:hAnsi="Arial" w:cs="Arial"/>
                <w:color w:val="000000"/>
                <w:szCs w:val="24"/>
              </w:rPr>
            </w:pPr>
            <w:r w:rsidRPr="00AA3DE8">
              <w:rPr>
                <w:rFonts w:ascii="Arial" w:hAnsi="Arial" w:cs="Arial"/>
                <w:color w:val="000000"/>
                <w:szCs w:val="24"/>
              </w:rPr>
              <w:t xml:space="preserve">Procurement initiatives in 2025/26 delivered non-cashable efficiency savings from 2026/27 to 2029/30 totalling £242,586 across a range of contracts. Procurement efficiency savings </w:t>
            </w:r>
            <w:r>
              <w:rPr>
                <w:rFonts w:ascii="Arial" w:hAnsi="Arial" w:cs="Arial"/>
                <w:color w:val="000000"/>
                <w:szCs w:val="24"/>
              </w:rPr>
              <w:t>of</w:t>
            </w:r>
            <w:r w:rsidRPr="00AA3DE8">
              <w:rPr>
                <w:rFonts w:ascii="Arial" w:hAnsi="Arial" w:cs="Arial"/>
                <w:color w:val="000000"/>
                <w:szCs w:val="24"/>
              </w:rPr>
              <w:t xml:space="preserve"> </w:t>
            </w:r>
            <w:r>
              <w:rPr>
                <w:rFonts w:ascii="Arial" w:hAnsi="Arial" w:cs="Arial"/>
                <w:color w:val="000000"/>
                <w:szCs w:val="24"/>
              </w:rPr>
              <w:t>c</w:t>
            </w:r>
            <w:r w:rsidRPr="00AA3DE8">
              <w:rPr>
                <w:rFonts w:ascii="Arial" w:hAnsi="Arial" w:cs="Arial"/>
                <w:color w:val="000000"/>
                <w:szCs w:val="24"/>
              </w:rPr>
              <w:t>£1m are reported separately to the Government.</w:t>
            </w:r>
          </w:p>
        </w:tc>
      </w:tr>
    </w:tbl>
    <w:p w14:paraId="62921099" w14:textId="77777777" w:rsidR="004620EC" w:rsidRPr="00AA3DE8" w:rsidRDefault="004620EC" w:rsidP="6218B4DB">
      <w:pPr>
        <w:rPr>
          <w:rFonts w:ascii="Arial" w:hAnsi="Arial" w:cs="Arial"/>
          <w:color w:val="000000" w:themeColor="text1"/>
          <w:szCs w:val="24"/>
        </w:rPr>
      </w:pPr>
    </w:p>
    <w:p w14:paraId="5B0400FC" w14:textId="412814CA" w:rsidR="00C334FD" w:rsidRPr="00AA3DE8" w:rsidRDefault="00261AF4" w:rsidP="6218B4DB">
      <w:pPr>
        <w:rPr>
          <w:rFonts w:ascii="Arial" w:hAnsi="Arial" w:cs="Arial"/>
          <w:b/>
          <w:bCs/>
          <w:color w:val="000000" w:themeColor="text1"/>
          <w:szCs w:val="24"/>
        </w:rPr>
      </w:pPr>
      <w:r w:rsidRPr="00AA3DE8">
        <w:rPr>
          <w:rFonts w:ascii="Arial" w:hAnsi="Arial" w:cs="Arial"/>
          <w:b/>
          <w:bCs/>
          <w:szCs w:val="24"/>
        </w:rPr>
        <w:t>Collaboration</w:t>
      </w:r>
    </w:p>
    <w:p w14:paraId="43A6AA93" w14:textId="77777777" w:rsidR="00C334FD" w:rsidRPr="00AA3DE8" w:rsidRDefault="00C334FD" w:rsidP="6218B4DB">
      <w:pPr>
        <w:rPr>
          <w:rFonts w:ascii="Arial" w:hAnsi="Arial" w:cs="Arial"/>
          <w:b/>
          <w:bCs/>
          <w:color w:val="000000" w:themeColor="text1"/>
          <w:szCs w:val="24"/>
        </w:rPr>
      </w:pPr>
    </w:p>
    <w:tbl>
      <w:tblPr>
        <w:tblStyle w:val="TableGrid"/>
        <w:tblW w:w="0" w:type="auto"/>
        <w:tblLook w:val="04A0" w:firstRow="1" w:lastRow="0" w:firstColumn="1" w:lastColumn="0" w:noHBand="0" w:noVBand="1"/>
      </w:tblPr>
      <w:tblGrid>
        <w:gridCol w:w="8303"/>
      </w:tblGrid>
      <w:tr w:rsidR="00C334FD" w:rsidRPr="00AA3DE8" w14:paraId="221E035D" w14:textId="77777777" w:rsidTr="44AC8DC3">
        <w:tc>
          <w:tcPr>
            <w:tcW w:w="8303" w:type="dxa"/>
            <w:shd w:val="clear" w:color="auto" w:fill="F2F2F2" w:themeFill="background1" w:themeFillShade="F2"/>
          </w:tcPr>
          <w:p w14:paraId="7D7CAB59" w14:textId="31B242EE" w:rsidR="00F96274" w:rsidRDefault="00F96274" w:rsidP="00F96274">
            <w:pPr>
              <w:rPr>
                <w:rFonts w:ascii="Arial" w:hAnsi="Arial" w:cs="Arial"/>
                <w:szCs w:val="24"/>
              </w:rPr>
            </w:pPr>
            <w:r>
              <w:rPr>
                <w:rFonts w:ascii="Arial" w:hAnsi="Arial" w:cs="Arial"/>
                <w:szCs w:val="24"/>
              </w:rPr>
              <w:t>Collab</w:t>
            </w:r>
            <w:r w:rsidRPr="00F96274">
              <w:rPr>
                <w:rFonts w:ascii="Arial" w:hAnsi="Arial" w:cs="Arial"/>
                <w:szCs w:val="24"/>
              </w:rPr>
              <w:t xml:space="preserve">oration continues to deliver clear financial and operational value for </w:t>
            </w:r>
            <w:r w:rsidR="00ED01C0">
              <w:rPr>
                <w:rFonts w:ascii="Arial" w:hAnsi="Arial" w:cs="Arial"/>
                <w:szCs w:val="24"/>
              </w:rPr>
              <w:t>the</w:t>
            </w:r>
            <w:r w:rsidRPr="00F96274">
              <w:rPr>
                <w:rFonts w:ascii="Arial" w:hAnsi="Arial" w:cs="Arial"/>
                <w:szCs w:val="24"/>
              </w:rPr>
              <w:t xml:space="preserve"> Service by reducing duplication, sharing assets and overheads, and enabling a “right responder” approach that improves outcomes without proportionate increases in cost. In </w:t>
            </w:r>
            <w:r>
              <w:rPr>
                <w:rFonts w:ascii="Arial" w:hAnsi="Arial" w:cs="Arial"/>
                <w:szCs w:val="24"/>
              </w:rPr>
              <w:t>20</w:t>
            </w:r>
            <w:r w:rsidRPr="00F96274">
              <w:rPr>
                <w:rFonts w:ascii="Arial" w:hAnsi="Arial" w:cs="Arial"/>
                <w:szCs w:val="24"/>
              </w:rPr>
              <w:t>25/26, the Service sustained and built upon established collaborations that deliver either direct savings, cost avoidance or income, while strengthening resilience. These include the North West Fire Control (NWFC) collaboration (shared control arrangements across multiple fire authorities) which realises annual savings of more than £1m p.a. and continues to deliver system-based improvements that support more efficient mobilisation and incident management.</w:t>
            </w:r>
          </w:p>
          <w:p w14:paraId="13B56A16" w14:textId="77777777" w:rsidR="00F96274" w:rsidRPr="00F96274" w:rsidRDefault="00F96274" w:rsidP="00ED3676">
            <w:pPr>
              <w:rPr>
                <w:rFonts w:ascii="Arial" w:hAnsi="Arial" w:cs="Arial"/>
                <w:szCs w:val="24"/>
              </w:rPr>
            </w:pPr>
          </w:p>
          <w:p w14:paraId="32C67A1B" w14:textId="46FC7EDE" w:rsidR="00F96274" w:rsidRDefault="00F96274" w:rsidP="00F96274">
            <w:pPr>
              <w:rPr>
                <w:rFonts w:ascii="Arial" w:hAnsi="Arial" w:cs="Arial"/>
                <w:szCs w:val="24"/>
              </w:rPr>
            </w:pPr>
            <w:r w:rsidRPr="00F96274">
              <w:rPr>
                <w:rFonts w:ascii="Arial" w:hAnsi="Arial" w:cs="Arial"/>
                <w:szCs w:val="24"/>
              </w:rPr>
              <w:t xml:space="preserve">The Service also benefits financially from shared premises and co-location arrangements that make better use of public assets and reduce the need for </w:t>
            </w:r>
            <w:r w:rsidRPr="00F96274">
              <w:rPr>
                <w:rFonts w:ascii="Arial" w:hAnsi="Arial" w:cs="Arial"/>
                <w:szCs w:val="24"/>
              </w:rPr>
              <w:lastRenderedPageBreak/>
              <w:t>partners to invest in separate facilities; for example, combined fire and ambulance stations generate c.£50,000 p.a. rental income and help avoid wider public sector capital costs</w:t>
            </w:r>
            <w:r w:rsidR="001103B4">
              <w:rPr>
                <w:rFonts w:ascii="Arial" w:hAnsi="Arial" w:cs="Arial"/>
                <w:szCs w:val="24"/>
              </w:rPr>
              <w:t>; the Service has this arrangement in place at Lancaster</w:t>
            </w:r>
            <w:r w:rsidR="003E21ED">
              <w:rPr>
                <w:rFonts w:ascii="Arial" w:hAnsi="Arial" w:cs="Arial"/>
                <w:szCs w:val="24"/>
              </w:rPr>
              <w:t xml:space="preserve">. </w:t>
            </w:r>
            <w:r w:rsidRPr="00F96274">
              <w:rPr>
                <w:rFonts w:ascii="Arial" w:hAnsi="Arial" w:cs="Arial"/>
                <w:szCs w:val="24"/>
              </w:rPr>
              <w:t>Beyond direct financial benefit, collaboration improves operational productivity and service outcomes through joint working across Lancashire’s blue light partners: e.g., co-responding arrangements and specialist support capabilities (including drones/</w:t>
            </w:r>
            <w:r w:rsidR="001C6577">
              <w:rPr>
                <w:rFonts w:ascii="Arial" w:hAnsi="Arial" w:cs="Arial"/>
                <w:szCs w:val="24"/>
              </w:rPr>
              <w:t>Remote Operated Vehicles (</w:t>
            </w:r>
            <w:r w:rsidRPr="00F96274">
              <w:rPr>
                <w:rFonts w:ascii="Arial" w:hAnsi="Arial" w:cs="Arial"/>
                <w:szCs w:val="24"/>
              </w:rPr>
              <w:t>ROV</w:t>
            </w:r>
            <w:r w:rsidR="001C6577">
              <w:rPr>
                <w:rFonts w:ascii="Arial" w:hAnsi="Arial" w:cs="Arial"/>
                <w:szCs w:val="24"/>
              </w:rPr>
              <w:t>)</w:t>
            </w:r>
            <w:r w:rsidRPr="00F96274">
              <w:rPr>
                <w:rFonts w:ascii="Arial" w:hAnsi="Arial" w:cs="Arial"/>
                <w:szCs w:val="24"/>
              </w:rPr>
              <w:t xml:space="preserve"> deployments and shared training initiatives) help to resolve incidents more quickly, reduce multi-agency time on scene, and improve the quality of outcomes for communities.</w:t>
            </w:r>
          </w:p>
          <w:p w14:paraId="391C2070" w14:textId="77777777" w:rsidR="00F519EF" w:rsidRPr="00F96274" w:rsidRDefault="00F519EF" w:rsidP="00ED3676">
            <w:pPr>
              <w:rPr>
                <w:rFonts w:ascii="Arial" w:hAnsi="Arial" w:cs="Arial"/>
                <w:szCs w:val="24"/>
              </w:rPr>
            </w:pPr>
          </w:p>
          <w:p w14:paraId="6BEA99DF" w14:textId="635ED72F" w:rsidR="00C334FD" w:rsidRPr="00AA3DE8" w:rsidRDefault="00F96274" w:rsidP="00ED3676">
            <w:pPr>
              <w:rPr>
                <w:rFonts w:ascii="Arial" w:hAnsi="Arial" w:cs="Arial"/>
                <w:color w:val="000000" w:themeColor="text1"/>
                <w:szCs w:val="24"/>
              </w:rPr>
            </w:pPr>
            <w:r w:rsidRPr="00F96274">
              <w:rPr>
                <w:rFonts w:ascii="Arial" w:hAnsi="Arial" w:cs="Arial"/>
                <w:szCs w:val="24"/>
              </w:rPr>
              <w:t xml:space="preserve">Overall, collaboration in </w:t>
            </w:r>
            <w:r w:rsidR="00F519EF">
              <w:rPr>
                <w:rFonts w:ascii="Arial" w:hAnsi="Arial" w:cs="Arial"/>
                <w:szCs w:val="24"/>
              </w:rPr>
              <w:t>20</w:t>
            </w:r>
            <w:r w:rsidRPr="00F96274">
              <w:rPr>
                <w:rFonts w:ascii="Arial" w:hAnsi="Arial" w:cs="Arial"/>
                <w:szCs w:val="24"/>
              </w:rPr>
              <w:t>25/26 has delivered a combined benefit of cashable savings/income, public sector cost avoidance, and operational efficiency, while improving resilience and maintaining effective county-wide response arrangements.</w:t>
            </w:r>
          </w:p>
        </w:tc>
      </w:tr>
    </w:tbl>
    <w:p w14:paraId="2089A176" w14:textId="77777777" w:rsidR="00C334FD" w:rsidRPr="00AA3DE8" w:rsidRDefault="00C334FD" w:rsidP="6218B4DB">
      <w:pPr>
        <w:rPr>
          <w:rFonts w:ascii="Arial" w:hAnsi="Arial" w:cs="Arial"/>
          <w:color w:val="000000" w:themeColor="text1"/>
          <w:szCs w:val="24"/>
        </w:rPr>
      </w:pPr>
    </w:p>
    <w:p w14:paraId="7473CA4B" w14:textId="53D484A4" w:rsidR="00C334FD" w:rsidRPr="00AA3DE8" w:rsidRDefault="001D3C82" w:rsidP="6218B4DB">
      <w:pPr>
        <w:rPr>
          <w:rFonts w:ascii="Arial" w:hAnsi="Arial" w:cs="Arial"/>
          <w:b/>
          <w:bCs/>
          <w:color w:val="000000" w:themeColor="text1"/>
          <w:szCs w:val="24"/>
        </w:rPr>
      </w:pPr>
      <w:r w:rsidRPr="00AA3DE8">
        <w:rPr>
          <w:rFonts w:ascii="Arial" w:hAnsi="Arial" w:cs="Arial"/>
          <w:b/>
          <w:bCs/>
          <w:szCs w:val="24"/>
        </w:rPr>
        <w:t>Assessment of Efficiencies</w:t>
      </w:r>
    </w:p>
    <w:p w14:paraId="19249257" w14:textId="77777777" w:rsidR="00C334FD" w:rsidRPr="00AA3DE8" w:rsidRDefault="00C334FD" w:rsidP="6218B4DB">
      <w:pPr>
        <w:rPr>
          <w:rFonts w:ascii="Arial" w:hAnsi="Arial" w:cs="Arial"/>
          <w:b/>
          <w:bCs/>
          <w:color w:val="000000" w:themeColor="text1"/>
          <w:szCs w:val="24"/>
        </w:rPr>
      </w:pPr>
    </w:p>
    <w:tbl>
      <w:tblPr>
        <w:tblStyle w:val="TableGrid"/>
        <w:tblW w:w="0" w:type="auto"/>
        <w:tblLook w:val="04A0" w:firstRow="1" w:lastRow="0" w:firstColumn="1" w:lastColumn="0" w:noHBand="0" w:noVBand="1"/>
      </w:tblPr>
      <w:tblGrid>
        <w:gridCol w:w="8303"/>
      </w:tblGrid>
      <w:tr w:rsidR="00C334FD" w:rsidRPr="00AA3DE8" w14:paraId="70F8424C" w14:textId="77777777" w:rsidTr="44AC8DC3">
        <w:tc>
          <w:tcPr>
            <w:tcW w:w="8303" w:type="dxa"/>
            <w:shd w:val="clear" w:color="auto" w:fill="F2F2F2" w:themeFill="background1" w:themeFillShade="F2"/>
          </w:tcPr>
          <w:p w14:paraId="1A159A77" w14:textId="13D2A71E" w:rsidR="007D75E6" w:rsidRDefault="00722C96" w:rsidP="00722C96">
            <w:pPr>
              <w:rPr>
                <w:rFonts w:ascii="Arial" w:hAnsi="Arial" w:cs="Arial"/>
                <w:szCs w:val="24"/>
              </w:rPr>
            </w:pPr>
            <w:r w:rsidRPr="00722C96">
              <w:rPr>
                <w:rFonts w:ascii="Arial" w:hAnsi="Arial" w:cs="Arial"/>
                <w:szCs w:val="24"/>
              </w:rPr>
              <w:t xml:space="preserve">In </w:t>
            </w:r>
            <w:r>
              <w:rPr>
                <w:rFonts w:ascii="Arial" w:hAnsi="Arial" w:cs="Arial"/>
                <w:szCs w:val="24"/>
              </w:rPr>
              <w:t>20</w:t>
            </w:r>
            <w:r w:rsidRPr="00722C96">
              <w:rPr>
                <w:rFonts w:ascii="Arial" w:hAnsi="Arial" w:cs="Arial"/>
                <w:szCs w:val="24"/>
              </w:rPr>
              <w:t xml:space="preserve">25/26 the Service achieved efficiencies through a combination of cashable budget reductions, and operational changes that reduce the need for premium-cost activity (e.g., overtime/standby movements) while maintaining service delivery. The most material evidenced saving in-year was delivered through improved resource deployment and overtime management: Dynamic Resource Management (DRM) was introduced in July 2025 to provide an additional staffing option that reduces reliance on overtime, and a recurrent saving of £500,000 was removed from the budget from </w:t>
            </w:r>
            <w:r w:rsidR="00934E71">
              <w:rPr>
                <w:rFonts w:ascii="Arial" w:hAnsi="Arial" w:cs="Arial"/>
                <w:szCs w:val="24"/>
              </w:rPr>
              <w:t>20</w:t>
            </w:r>
            <w:r w:rsidRPr="00722C96">
              <w:rPr>
                <w:rFonts w:ascii="Arial" w:hAnsi="Arial" w:cs="Arial"/>
                <w:szCs w:val="24"/>
              </w:rPr>
              <w:t xml:space="preserve">25/26; in-year delivery was £627,789. </w:t>
            </w:r>
          </w:p>
          <w:p w14:paraId="7F89C850" w14:textId="76D58C0A" w:rsidR="007D75E6" w:rsidRDefault="007D75E6" w:rsidP="00722C96">
            <w:pPr>
              <w:rPr>
                <w:rFonts w:ascii="Arial" w:hAnsi="Arial" w:cs="Arial"/>
                <w:szCs w:val="24"/>
              </w:rPr>
            </w:pPr>
          </w:p>
          <w:p w14:paraId="63D6A44A" w14:textId="3FAE3FE0" w:rsidR="00722C96" w:rsidRDefault="00722C96" w:rsidP="00722C96">
            <w:pPr>
              <w:rPr>
                <w:rFonts w:ascii="Arial" w:hAnsi="Arial" w:cs="Arial"/>
                <w:szCs w:val="24"/>
              </w:rPr>
            </w:pPr>
            <w:r w:rsidRPr="00722C96">
              <w:rPr>
                <w:rFonts w:ascii="Arial" w:hAnsi="Arial" w:cs="Arial"/>
                <w:szCs w:val="24"/>
              </w:rPr>
              <w:t xml:space="preserve">In addition, the embedded use of the Dynamic Cover Tool (DCT) supports more efficient standby arrangements and reduces disruption to crews. The plan evidences a marked reduction in standby demand when comparing 2024/25 to 2025/26, including on-call standby moves reducing from 979 to 653 (a 33% reduction) with associated estimated cost reducing from £127,270 to £84,890 (saving £42,380). The reduction is mirrored across all standby moves, decreasing from 1,613 to 1,026 (a 36% reduction), supporting both financial efficiency and reduced operational disruption (and therefore less need for recovery periods). </w:t>
            </w:r>
          </w:p>
          <w:p w14:paraId="67DC6DA9" w14:textId="77777777" w:rsidR="003C2F1A" w:rsidRPr="00722C96" w:rsidRDefault="003C2F1A" w:rsidP="00ED3676">
            <w:pPr>
              <w:rPr>
                <w:rFonts w:ascii="Arial" w:hAnsi="Arial" w:cs="Arial"/>
                <w:szCs w:val="24"/>
              </w:rPr>
            </w:pPr>
          </w:p>
          <w:p w14:paraId="0041F1A8" w14:textId="77777777" w:rsidR="00584B80" w:rsidRDefault="00584B80">
            <w:pPr>
              <w:rPr>
                <w:rFonts w:ascii="Arial" w:hAnsi="Arial" w:cs="Arial"/>
                <w:color w:val="000000"/>
              </w:rPr>
            </w:pPr>
            <w:r>
              <w:rPr>
                <w:rFonts w:ascii="Arial" w:hAnsi="Arial" w:cs="Arial"/>
                <w:color w:val="000000"/>
              </w:rPr>
              <w:t>Further efficiencies in 2025/26 include reduced lifecycle and support costs (e.g., rationalisation of PPE/specialist equipment and procurement requirements) and corporate changes that reduce avoidable spend (e.g., switching to digital-only publication of some corporate materials, and using existing Microsoft tools where appropriate). In line with the 2026/27 guidance, it is also recognised that Direct Employee savings are no longer included in the overall efficiency calculation, but they may still exist as genuine savings within the wider financial strategy.</w:t>
            </w:r>
          </w:p>
          <w:p w14:paraId="1A4BFCCF" w14:textId="77777777" w:rsidR="009C7A93" w:rsidRDefault="009C7A93">
            <w:pPr>
              <w:rPr>
                <w:rFonts w:ascii="Arial" w:hAnsi="Arial" w:cs="Arial"/>
                <w:color w:val="000000"/>
              </w:rPr>
            </w:pPr>
          </w:p>
          <w:p w14:paraId="2B0EC715" w14:textId="3039D392" w:rsidR="00C334FD" w:rsidRPr="009C7A93" w:rsidRDefault="000867F7" w:rsidP="00ED3676">
            <w:pPr>
              <w:rPr>
                <w:szCs w:val="24"/>
              </w:rPr>
            </w:pPr>
            <w:r>
              <w:rPr>
                <w:rFonts w:ascii="Arial" w:hAnsi="Arial" w:cs="Arial"/>
                <w:color w:val="000000"/>
              </w:rPr>
              <w:t>Overall</w:t>
            </w:r>
            <w:r w:rsidRPr="00E722E8">
              <w:rPr>
                <w:rFonts w:ascii="Arial" w:hAnsi="Arial" w:cs="Arial"/>
                <w:color w:val="000000"/>
              </w:rPr>
              <w:t xml:space="preserve">, </w:t>
            </w:r>
            <w:r w:rsidRPr="00EB52E2">
              <w:rPr>
                <w:rFonts w:ascii="Arial" w:hAnsi="Arial" w:cs="Arial"/>
                <w:color w:val="000000"/>
              </w:rPr>
              <w:t>£1.</w:t>
            </w:r>
            <w:r w:rsidR="00AD108B" w:rsidRPr="00EB52E2">
              <w:rPr>
                <w:rFonts w:ascii="Arial" w:hAnsi="Arial" w:cs="Arial"/>
                <w:color w:val="000000"/>
              </w:rPr>
              <w:t>6</w:t>
            </w:r>
            <w:r w:rsidRPr="00EB52E2">
              <w:rPr>
                <w:rFonts w:ascii="Arial" w:hAnsi="Arial" w:cs="Arial"/>
                <w:color w:val="000000"/>
              </w:rPr>
              <w:t>m (</w:t>
            </w:r>
            <w:r w:rsidR="00147408" w:rsidRPr="00EB52E2">
              <w:rPr>
                <w:rFonts w:ascii="Arial" w:hAnsi="Arial" w:cs="Arial"/>
                <w:color w:val="000000"/>
              </w:rPr>
              <w:t>6</w:t>
            </w:r>
            <w:r w:rsidR="001318C4" w:rsidRPr="00EB52E2">
              <w:rPr>
                <w:rFonts w:ascii="Arial" w:hAnsi="Arial" w:cs="Arial"/>
                <w:color w:val="000000"/>
              </w:rPr>
              <w:t>.79</w:t>
            </w:r>
            <w:r w:rsidRPr="00EB52E2">
              <w:rPr>
                <w:rFonts w:ascii="Arial" w:hAnsi="Arial" w:cs="Arial"/>
                <w:color w:val="000000"/>
              </w:rPr>
              <w:t>%)</w:t>
            </w:r>
            <w:r>
              <w:rPr>
                <w:rFonts w:ascii="Arial" w:hAnsi="Arial" w:cs="Arial"/>
                <w:color w:val="000000"/>
              </w:rPr>
              <w:t xml:space="preserve"> of non-pay efficiencies were delivered in 2025/26, with a significant proportion of these savings recurring and therefore reducing ongoing budget pressure in future years. The Service has clear, </w:t>
            </w:r>
            <w:r>
              <w:rPr>
                <w:rFonts w:ascii="Arial" w:hAnsi="Arial" w:cs="Arial"/>
                <w:color w:val="000000"/>
              </w:rPr>
              <w:lastRenderedPageBreak/>
              <w:t>costed plans to deliver further non-pay efficiencies and pay-related savings over 2026/27 onwards, with delivery gated through operational assurance and monitoring to ensure that changes do not create additional risk or detriment to emergency response, prevention, protection or wider service performance.</w:t>
            </w:r>
          </w:p>
        </w:tc>
      </w:tr>
    </w:tbl>
    <w:p w14:paraId="604CB746" w14:textId="77777777" w:rsidR="004620EC" w:rsidRPr="00AA3DE8" w:rsidRDefault="004620EC" w:rsidP="6218B4DB">
      <w:pPr>
        <w:rPr>
          <w:rFonts w:ascii="Arial" w:hAnsi="Arial" w:cs="Arial"/>
          <w:color w:val="000000" w:themeColor="text1"/>
          <w:szCs w:val="24"/>
        </w:rPr>
      </w:pPr>
    </w:p>
    <w:p w14:paraId="325EF064" w14:textId="77777777" w:rsidR="004620EC" w:rsidRPr="00AA3DE8" w:rsidRDefault="004620EC" w:rsidP="6218B4DB">
      <w:pPr>
        <w:rPr>
          <w:rFonts w:ascii="Arial" w:hAnsi="Arial" w:cs="Arial"/>
          <w:color w:val="000000" w:themeColor="text1"/>
          <w:szCs w:val="24"/>
        </w:rPr>
      </w:pPr>
    </w:p>
    <w:p w14:paraId="05FFF708" w14:textId="77777777" w:rsidR="00AA3DE8" w:rsidRDefault="00AA3DE8">
      <w:pPr>
        <w:rPr>
          <w:rFonts w:ascii="Arial" w:hAnsi="Arial" w:cs="Arial"/>
          <w:b/>
          <w:bCs/>
          <w:sz w:val="28"/>
          <w:szCs w:val="28"/>
        </w:rPr>
      </w:pPr>
      <w:r>
        <w:rPr>
          <w:rFonts w:ascii="Arial" w:hAnsi="Arial" w:cs="Arial"/>
          <w:b/>
          <w:bCs/>
          <w:sz w:val="28"/>
          <w:szCs w:val="28"/>
        </w:rPr>
        <w:br w:type="page"/>
      </w:r>
    </w:p>
    <w:p w14:paraId="1E068E6E" w14:textId="74F21441" w:rsidR="004620EC" w:rsidRPr="00AA3DE8" w:rsidRDefault="004620EC" w:rsidP="44AC8DC3">
      <w:pPr>
        <w:rPr>
          <w:rFonts w:ascii="Arial" w:hAnsi="Arial" w:cs="Arial"/>
          <w:b/>
          <w:bCs/>
          <w:sz w:val="28"/>
          <w:szCs w:val="28"/>
        </w:rPr>
      </w:pPr>
      <w:r w:rsidRPr="00AA3DE8">
        <w:rPr>
          <w:rFonts w:ascii="Arial" w:hAnsi="Arial" w:cs="Arial"/>
          <w:b/>
          <w:bCs/>
          <w:sz w:val="28"/>
          <w:szCs w:val="28"/>
        </w:rPr>
        <w:lastRenderedPageBreak/>
        <w:t xml:space="preserve">Productivity </w:t>
      </w:r>
    </w:p>
    <w:p w14:paraId="2CAF723F" w14:textId="77777777" w:rsidR="0062718B" w:rsidRDefault="0062718B" w:rsidP="6218B4DB">
      <w:pPr>
        <w:rPr>
          <w:rFonts w:ascii="Arial" w:hAnsi="Arial" w:cs="Arial"/>
          <w:b/>
          <w:bCs/>
          <w:color w:val="000000" w:themeColor="text1"/>
          <w:szCs w:val="24"/>
        </w:rPr>
      </w:pPr>
    </w:p>
    <w:p w14:paraId="5261A289" w14:textId="563BB9C5" w:rsidR="004620EC" w:rsidRPr="00AA3DE8" w:rsidRDefault="004620EC" w:rsidP="6218B4DB">
      <w:pPr>
        <w:rPr>
          <w:rFonts w:ascii="Arial" w:hAnsi="Arial" w:cs="Arial"/>
          <w:b/>
          <w:bCs/>
          <w:color w:val="000000" w:themeColor="text1"/>
          <w:szCs w:val="24"/>
          <w:highlight w:val="yellow"/>
        </w:rPr>
      </w:pPr>
      <w:r w:rsidRPr="00AA3DE8">
        <w:rPr>
          <w:rFonts w:ascii="Arial" w:hAnsi="Arial" w:cs="Arial"/>
          <w:b/>
          <w:bCs/>
          <w:szCs w:val="24"/>
        </w:rPr>
        <w:t>Collaboration</w:t>
      </w:r>
    </w:p>
    <w:p w14:paraId="67106C43" w14:textId="77777777" w:rsidR="0062718B" w:rsidRPr="00AA3DE8" w:rsidRDefault="0062718B" w:rsidP="6218B4DB">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4620EC" w:rsidRPr="00AA3DE8" w14:paraId="0B35D412" w14:textId="77777777" w:rsidTr="31D34A27">
        <w:tc>
          <w:tcPr>
            <w:tcW w:w="8303" w:type="dxa"/>
            <w:shd w:val="clear" w:color="auto" w:fill="F2F2F2" w:themeFill="background1" w:themeFillShade="F2"/>
          </w:tcPr>
          <w:p w14:paraId="224DE15F" w14:textId="60AF15EB" w:rsidR="001F5FE9" w:rsidRDefault="00B04440" w:rsidP="001F5FE9">
            <w:pPr>
              <w:rPr>
                <w:rFonts w:ascii="Arial" w:hAnsi="Arial" w:cs="Arial"/>
                <w:szCs w:val="24"/>
              </w:rPr>
            </w:pPr>
            <w:r w:rsidRPr="00ED3676">
              <w:rPr>
                <w:rFonts w:ascii="Arial" w:hAnsi="Arial" w:cs="Arial"/>
                <w:szCs w:val="24"/>
              </w:rPr>
              <w:t xml:space="preserve">In 2025/26 </w:t>
            </w:r>
            <w:r w:rsidR="00E26813">
              <w:rPr>
                <w:rFonts w:ascii="Arial" w:hAnsi="Arial" w:cs="Arial"/>
                <w:szCs w:val="24"/>
              </w:rPr>
              <w:t xml:space="preserve">and </w:t>
            </w:r>
            <w:r w:rsidRPr="00ED3676">
              <w:rPr>
                <w:rFonts w:ascii="Arial" w:hAnsi="Arial" w:cs="Arial"/>
                <w:szCs w:val="24"/>
              </w:rPr>
              <w:t xml:space="preserve">onwards, the Service’s collaboration activity is specifically directed towards achieving the key priorities outlined in our Community Risk Management Plan (CRMP). These priorities include: reducing risk to life and property, improving community safety, enhancing operational preparedness, ensuring effective response to emergencies, and strengthening resilience across Lancashire. To fulfil these </w:t>
            </w:r>
            <w:r w:rsidR="00176008">
              <w:rPr>
                <w:rFonts w:ascii="Arial" w:hAnsi="Arial" w:cs="Arial"/>
                <w:szCs w:val="24"/>
              </w:rPr>
              <w:t>priorities</w:t>
            </w:r>
            <w:r w:rsidRPr="00ED3676">
              <w:rPr>
                <w:rFonts w:ascii="Arial" w:hAnsi="Arial" w:cs="Arial"/>
                <w:szCs w:val="24"/>
              </w:rPr>
              <w:t xml:space="preserve">, we are leveraging shared systems, establishing co-response arrangements with partner agencies, and developing specialist capabilities that minimise duplication and enable faster, more effective incident resolution. </w:t>
            </w:r>
            <w:r w:rsidR="00CA28FF" w:rsidRPr="00ED3676">
              <w:rPr>
                <w:rFonts w:ascii="Arial" w:hAnsi="Arial" w:cs="Arial"/>
                <w:szCs w:val="24"/>
              </w:rPr>
              <w:t xml:space="preserve"> </w:t>
            </w:r>
            <w:r w:rsidR="001F5FE9" w:rsidRPr="001F5FE9">
              <w:rPr>
                <w:rFonts w:ascii="Arial" w:hAnsi="Arial" w:cs="Arial"/>
                <w:szCs w:val="24"/>
              </w:rPr>
              <w:t xml:space="preserve"> A key example is the continuing development of collaboration through North West Fire Control (NWFC) and associated system improvements. During </w:t>
            </w:r>
            <w:r w:rsidR="00CA28FF">
              <w:rPr>
                <w:rFonts w:ascii="Arial" w:hAnsi="Arial" w:cs="Arial"/>
                <w:szCs w:val="24"/>
              </w:rPr>
              <w:t>20</w:t>
            </w:r>
            <w:r w:rsidR="001F5FE9" w:rsidRPr="001F5FE9">
              <w:rPr>
                <w:rFonts w:ascii="Arial" w:hAnsi="Arial" w:cs="Arial"/>
                <w:szCs w:val="24"/>
              </w:rPr>
              <w:t xml:space="preserve">25/26 the Service progressed control-room capability and mobilising resilience improvements, including the collaborative introduction/embedding of dynamic cover software within NWFC, which supports more efficient resource disposition and reduces reliance on traditional static/notional cover arrangements as the approach embeds. This improves productivity by enabling better real-time decision-making and reducing unnecessary disruption to crews, thereby releasing time for prevention, protection and preparedness activity. </w:t>
            </w:r>
          </w:p>
          <w:p w14:paraId="70679C21" w14:textId="77777777" w:rsidR="00CA28FF" w:rsidRPr="001F5FE9" w:rsidRDefault="00CA28FF" w:rsidP="001F5FE9">
            <w:pPr>
              <w:rPr>
                <w:rFonts w:ascii="Arial" w:hAnsi="Arial" w:cs="Arial"/>
                <w:szCs w:val="24"/>
              </w:rPr>
            </w:pPr>
          </w:p>
          <w:p w14:paraId="20CBAC04" w14:textId="41DB22CB" w:rsidR="001F5FE9" w:rsidRDefault="001F5FE9" w:rsidP="001F5FE9">
            <w:pPr>
              <w:rPr>
                <w:rFonts w:ascii="Arial" w:hAnsi="Arial" w:cs="Arial"/>
                <w:szCs w:val="24"/>
              </w:rPr>
            </w:pPr>
            <w:r w:rsidRPr="001F5FE9">
              <w:rPr>
                <w:rFonts w:ascii="Arial" w:hAnsi="Arial" w:cs="Arial"/>
                <w:szCs w:val="24"/>
              </w:rPr>
              <w:t>Collaboration also improves productivity through “right resource/right place” operating models with partners. For example, the Service’s collaborative activity with blue light partners (including specialist support such as drone</w:t>
            </w:r>
            <w:r w:rsidR="00493EE3">
              <w:rPr>
                <w:rFonts w:ascii="Arial" w:hAnsi="Arial" w:cs="Arial"/>
                <w:szCs w:val="24"/>
              </w:rPr>
              <w:t xml:space="preserve"> and canine</w:t>
            </w:r>
            <w:r w:rsidRPr="001F5FE9">
              <w:rPr>
                <w:rFonts w:ascii="Arial" w:hAnsi="Arial" w:cs="Arial"/>
                <w:szCs w:val="24"/>
              </w:rPr>
              <w:t xml:space="preserve"> capability) improves public value by achieving faster, more targeted resolutions</w:t>
            </w:r>
            <w:r w:rsidR="00AF6A17">
              <w:rPr>
                <w:rFonts w:ascii="Arial" w:hAnsi="Arial" w:cs="Arial"/>
                <w:szCs w:val="24"/>
              </w:rPr>
              <w:t xml:space="preserve">; </w:t>
            </w:r>
            <w:r w:rsidRPr="001F5FE9">
              <w:rPr>
                <w:rFonts w:ascii="Arial" w:hAnsi="Arial" w:cs="Arial"/>
                <w:szCs w:val="24"/>
              </w:rPr>
              <w:t>reducing total multi-agency time commitment at incidents and enabling the wider system to maintain availability for other demand. Where collaboration includes shared premises or shared assets, the productivity mechanism is both financial and operational: shared accommodation/overheads reduce duplication, while co-location improves multi-agency coordination and responsiveness.</w:t>
            </w:r>
          </w:p>
          <w:p w14:paraId="7068E3E1" w14:textId="77777777" w:rsidR="00AF6A17" w:rsidRPr="001F5FE9" w:rsidRDefault="00AF6A17" w:rsidP="001F5FE9">
            <w:pPr>
              <w:rPr>
                <w:rFonts w:ascii="Arial" w:hAnsi="Arial" w:cs="Arial"/>
                <w:szCs w:val="24"/>
              </w:rPr>
            </w:pPr>
          </w:p>
          <w:p w14:paraId="42066AA3" w14:textId="1733A473" w:rsidR="004620EC" w:rsidRPr="00AA3DE8" w:rsidRDefault="001F5FE9" w:rsidP="00ED3676">
            <w:pPr>
              <w:rPr>
                <w:rFonts w:ascii="Arial" w:hAnsi="Arial" w:cs="Arial"/>
                <w:color w:val="000000" w:themeColor="text1"/>
                <w:szCs w:val="24"/>
                <w:highlight w:val="yellow"/>
              </w:rPr>
            </w:pPr>
            <w:r w:rsidRPr="001F5FE9">
              <w:rPr>
                <w:rFonts w:ascii="Arial" w:hAnsi="Arial" w:cs="Arial"/>
                <w:szCs w:val="24"/>
              </w:rPr>
              <w:t xml:space="preserve">Overall, these collaboration initiatives (active in </w:t>
            </w:r>
            <w:r w:rsidR="00AF6A17">
              <w:rPr>
                <w:rFonts w:ascii="Arial" w:hAnsi="Arial" w:cs="Arial"/>
                <w:szCs w:val="24"/>
              </w:rPr>
              <w:t>20</w:t>
            </w:r>
            <w:r w:rsidRPr="001F5FE9">
              <w:rPr>
                <w:rFonts w:ascii="Arial" w:hAnsi="Arial" w:cs="Arial"/>
                <w:szCs w:val="24"/>
              </w:rPr>
              <w:t xml:space="preserve">25/26 and continuing into </w:t>
            </w:r>
            <w:r w:rsidR="00AF6A17">
              <w:rPr>
                <w:rFonts w:ascii="Arial" w:hAnsi="Arial" w:cs="Arial"/>
                <w:szCs w:val="24"/>
              </w:rPr>
              <w:t>20</w:t>
            </w:r>
            <w:r w:rsidRPr="001F5FE9">
              <w:rPr>
                <w:rFonts w:ascii="Arial" w:hAnsi="Arial" w:cs="Arial"/>
                <w:szCs w:val="24"/>
              </w:rPr>
              <w:t>26/27 onwards) demonstrate productivity by improving mobilisation and deployment decisions, reducing disruption and non-productive movements, and enabling improved outcomes and faster resolution through integrated partner working</w:t>
            </w:r>
            <w:r w:rsidR="001147CB">
              <w:rPr>
                <w:rFonts w:ascii="Arial" w:hAnsi="Arial" w:cs="Arial"/>
                <w:szCs w:val="24"/>
              </w:rPr>
              <w:t>.</w:t>
            </w:r>
          </w:p>
        </w:tc>
      </w:tr>
    </w:tbl>
    <w:p w14:paraId="2B157CC0" w14:textId="77777777" w:rsidR="004620EC" w:rsidRPr="00AA3DE8" w:rsidRDefault="004620EC" w:rsidP="6218B4DB">
      <w:pPr>
        <w:rPr>
          <w:rFonts w:ascii="Arial" w:hAnsi="Arial" w:cs="Arial"/>
          <w:color w:val="000000" w:themeColor="text1"/>
          <w:szCs w:val="24"/>
          <w:highlight w:val="yellow"/>
        </w:rPr>
      </w:pPr>
    </w:p>
    <w:p w14:paraId="72D10414" w14:textId="375EEBDB" w:rsidR="004620EC" w:rsidRPr="00AA3DE8" w:rsidRDefault="004620EC" w:rsidP="6218B4DB">
      <w:pPr>
        <w:rPr>
          <w:rFonts w:ascii="Arial" w:hAnsi="Arial" w:cs="Arial"/>
          <w:b/>
          <w:bCs/>
          <w:color w:val="000000" w:themeColor="text1"/>
          <w:szCs w:val="24"/>
          <w:highlight w:val="yellow"/>
        </w:rPr>
      </w:pPr>
      <w:r w:rsidRPr="00AA3DE8">
        <w:rPr>
          <w:rFonts w:ascii="Arial" w:hAnsi="Arial" w:cs="Arial"/>
          <w:b/>
          <w:bCs/>
          <w:szCs w:val="24"/>
        </w:rPr>
        <w:t>Asset Management and IT Investment</w:t>
      </w:r>
    </w:p>
    <w:p w14:paraId="7C3E63F1" w14:textId="77777777" w:rsidR="0062718B" w:rsidRPr="00AA3DE8" w:rsidRDefault="0062718B" w:rsidP="6218B4DB">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4620EC" w:rsidRPr="00AA3DE8" w14:paraId="6336F888" w14:textId="77777777" w:rsidTr="009067A9">
        <w:tc>
          <w:tcPr>
            <w:tcW w:w="8303" w:type="dxa"/>
            <w:shd w:val="clear" w:color="auto" w:fill="F2F2F2" w:themeFill="background1" w:themeFillShade="F2"/>
          </w:tcPr>
          <w:p w14:paraId="72240BA0" w14:textId="3BB5A213" w:rsidR="00AB1123" w:rsidRPr="00AB1123" w:rsidRDefault="0073705B" w:rsidP="00AB1123">
            <w:pPr>
              <w:rPr>
                <w:rFonts w:ascii="Arial" w:hAnsi="Arial" w:cs="Arial"/>
                <w:b/>
                <w:bCs/>
                <w:color w:val="000000" w:themeColor="text1"/>
                <w:szCs w:val="24"/>
              </w:rPr>
            </w:pPr>
            <w:r w:rsidRPr="00443072">
              <w:rPr>
                <w:rFonts w:ascii="Arial" w:hAnsi="Arial" w:cs="Arial"/>
                <w:b/>
                <w:bCs/>
                <w:color w:val="000000" w:themeColor="text1"/>
                <w:szCs w:val="24"/>
              </w:rPr>
              <w:t>£</w:t>
            </w:r>
            <w:r w:rsidR="00DF3F06" w:rsidRPr="00443072">
              <w:rPr>
                <w:rFonts w:ascii="Arial" w:hAnsi="Arial" w:cs="Arial"/>
                <w:b/>
                <w:bCs/>
                <w:color w:val="000000" w:themeColor="text1"/>
                <w:szCs w:val="24"/>
              </w:rPr>
              <w:t>33,000</w:t>
            </w:r>
            <w:r w:rsidRPr="00443072">
              <w:rPr>
                <w:rFonts w:ascii="Arial" w:hAnsi="Arial" w:cs="Arial"/>
                <w:b/>
                <w:bCs/>
                <w:color w:val="000000" w:themeColor="text1"/>
                <w:szCs w:val="24"/>
              </w:rPr>
              <w:t xml:space="preserve"> </w:t>
            </w:r>
            <w:r w:rsidR="00920598">
              <w:rPr>
                <w:rFonts w:ascii="Arial" w:hAnsi="Arial" w:cs="Arial"/>
                <w:b/>
                <w:bCs/>
                <w:color w:val="000000" w:themeColor="text1"/>
                <w:szCs w:val="24"/>
              </w:rPr>
              <w:t>Productivity</w:t>
            </w:r>
            <w:r w:rsidR="00793A27">
              <w:rPr>
                <w:rFonts w:ascii="Arial" w:hAnsi="Arial" w:cs="Arial"/>
                <w:b/>
                <w:bCs/>
                <w:color w:val="000000" w:themeColor="text1"/>
                <w:szCs w:val="24"/>
              </w:rPr>
              <w:t xml:space="preserve"> Gains </w:t>
            </w:r>
            <w:r w:rsidR="005E0629">
              <w:rPr>
                <w:rFonts w:ascii="Arial" w:hAnsi="Arial" w:cs="Arial"/>
                <w:b/>
                <w:bCs/>
                <w:color w:val="000000" w:themeColor="text1"/>
                <w:szCs w:val="24"/>
              </w:rPr>
              <w:t xml:space="preserve">by </w:t>
            </w:r>
            <w:r w:rsidR="00F96A9C">
              <w:rPr>
                <w:rFonts w:ascii="Arial" w:hAnsi="Arial" w:cs="Arial"/>
                <w:b/>
                <w:bCs/>
                <w:color w:val="000000" w:themeColor="text1"/>
                <w:szCs w:val="24"/>
              </w:rPr>
              <w:t xml:space="preserve">moving </w:t>
            </w:r>
            <w:r w:rsidR="00AB1123" w:rsidRPr="00AB1123">
              <w:rPr>
                <w:rFonts w:ascii="Arial" w:hAnsi="Arial" w:cs="Arial"/>
                <w:b/>
                <w:bCs/>
                <w:color w:val="000000" w:themeColor="text1"/>
                <w:szCs w:val="24"/>
              </w:rPr>
              <w:t>On</w:t>
            </w:r>
            <w:r w:rsidR="00AB1123" w:rsidRPr="00AB1123">
              <w:rPr>
                <w:rFonts w:ascii="Arial" w:hAnsi="Arial" w:cs="Arial"/>
                <w:b/>
                <w:bCs/>
                <w:color w:val="000000" w:themeColor="text1"/>
                <w:szCs w:val="24"/>
              </w:rPr>
              <w:noBreakHyphen/>
              <w:t xml:space="preserve">Call Assessments </w:t>
            </w:r>
            <w:r w:rsidR="00920598">
              <w:rPr>
                <w:rFonts w:ascii="Arial" w:hAnsi="Arial" w:cs="Arial"/>
                <w:b/>
                <w:bCs/>
                <w:color w:val="000000" w:themeColor="text1"/>
                <w:szCs w:val="24"/>
              </w:rPr>
              <w:t xml:space="preserve">to a </w:t>
            </w:r>
            <w:r w:rsidR="00AB1123" w:rsidRPr="00AB1123">
              <w:rPr>
                <w:rFonts w:ascii="Arial" w:hAnsi="Arial" w:cs="Arial"/>
                <w:b/>
                <w:bCs/>
                <w:color w:val="000000" w:themeColor="text1"/>
                <w:szCs w:val="24"/>
              </w:rPr>
              <w:t>Centralised Assessment Model</w:t>
            </w:r>
          </w:p>
          <w:p w14:paraId="00EE6550" w14:textId="0FAEDBB1" w:rsidR="00AB1123" w:rsidRPr="00443072" w:rsidRDefault="00C57CBD" w:rsidP="00AA3DE8">
            <w:pPr>
              <w:rPr>
                <w:rFonts w:ascii="Arial" w:hAnsi="Arial" w:cs="Arial"/>
                <w:color w:val="000000" w:themeColor="text1"/>
                <w:szCs w:val="24"/>
              </w:rPr>
            </w:pPr>
            <w:r w:rsidRPr="00443072">
              <w:rPr>
                <w:rFonts w:ascii="Arial" w:hAnsi="Arial" w:cs="Arial"/>
                <w:color w:val="000000" w:themeColor="text1"/>
                <w:szCs w:val="24"/>
              </w:rPr>
              <w:t>Centralising on</w:t>
            </w:r>
            <w:r w:rsidRPr="00443072">
              <w:rPr>
                <w:rFonts w:ascii="Cambria Math" w:hAnsi="Cambria Math" w:cs="Cambria Math"/>
                <w:color w:val="000000" w:themeColor="text1"/>
                <w:szCs w:val="24"/>
              </w:rPr>
              <w:t>‑</w:t>
            </w:r>
            <w:r w:rsidRPr="00443072">
              <w:rPr>
                <w:rFonts w:ascii="Arial" w:hAnsi="Arial" w:cs="Arial"/>
                <w:color w:val="000000" w:themeColor="text1"/>
                <w:szCs w:val="24"/>
              </w:rPr>
              <w:t xml:space="preserve">call development assessments (assessing groups of four at </w:t>
            </w:r>
            <w:r w:rsidR="00A97587">
              <w:rPr>
                <w:rFonts w:ascii="Arial" w:hAnsi="Arial" w:cs="Arial"/>
                <w:color w:val="000000" w:themeColor="text1"/>
                <w:szCs w:val="24"/>
              </w:rPr>
              <w:t>our Learning and Development Centre (</w:t>
            </w:r>
            <w:r w:rsidRPr="00443072">
              <w:rPr>
                <w:rFonts w:ascii="Arial" w:hAnsi="Arial" w:cs="Arial"/>
                <w:color w:val="000000" w:themeColor="text1"/>
                <w:szCs w:val="24"/>
              </w:rPr>
              <w:t>LDC</w:t>
            </w:r>
            <w:r w:rsidR="00A97587">
              <w:rPr>
                <w:rFonts w:ascii="Arial" w:hAnsi="Arial" w:cs="Arial"/>
                <w:color w:val="000000" w:themeColor="text1"/>
                <w:szCs w:val="24"/>
              </w:rPr>
              <w:t>)</w:t>
            </w:r>
            <w:r w:rsidRPr="00443072">
              <w:rPr>
                <w:rFonts w:ascii="Arial" w:hAnsi="Arial" w:cs="Arial"/>
                <w:color w:val="000000" w:themeColor="text1"/>
                <w:szCs w:val="24"/>
              </w:rPr>
              <w:t xml:space="preserve"> or a neighbouring station rather than individually at home stations) reduces the need to bring in additional competent crew to form a crew for local assessments. </w:t>
            </w:r>
            <w:r w:rsidR="00AB2AF0">
              <w:rPr>
                <w:rFonts w:ascii="Arial" w:hAnsi="Arial" w:cs="Arial"/>
                <w:color w:val="000000" w:themeColor="text1"/>
                <w:szCs w:val="24"/>
              </w:rPr>
              <w:t>An estimated cost of</w:t>
            </w:r>
            <w:r w:rsidRPr="00443072">
              <w:rPr>
                <w:rFonts w:ascii="Arial" w:hAnsi="Arial" w:cs="Arial"/>
                <w:color w:val="000000" w:themeColor="text1"/>
                <w:szCs w:val="24"/>
              </w:rPr>
              <w:t xml:space="preserve"> approximately £3,300 per four firefighters assessed, with </w:t>
            </w:r>
            <w:r w:rsidRPr="00443072">
              <w:rPr>
                <w:rFonts w:ascii="Arial" w:hAnsi="Arial" w:cs="Arial"/>
                <w:color w:val="000000" w:themeColor="text1"/>
                <w:szCs w:val="24"/>
              </w:rPr>
              <w:lastRenderedPageBreak/>
              <w:t>scalability to deliver savings exceeding £33,000 where circa 40 on</w:t>
            </w:r>
            <w:r w:rsidRPr="00443072">
              <w:rPr>
                <w:rFonts w:ascii="Cambria Math" w:hAnsi="Cambria Math" w:cs="Cambria Math"/>
                <w:color w:val="000000" w:themeColor="text1"/>
                <w:szCs w:val="24"/>
              </w:rPr>
              <w:t>‑</w:t>
            </w:r>
            <w:r w:rsidRPr="00443072">
              <w:rPr>
                <w:rFonts w:ascii="Arial" w:hAnsi="Arial" w:cs="Arial"/>
                <w:color w:val="000000" w:themeColor="text1"/>
                <w:szCs w:val="24"/>
              </w:rPr>
              <w:t>call firefighters are assessed in a single month. The approach uses existing facilities and assessor teams and can be coordinated through established scheduling arrangements.</w:t>
            </w:r>
          </w:p>
          <w:p w14:paraId="67B54DFC" w14:textId="77777777" w:rsidR="00AB1123" w:rsidRPr="00443072" w:rsidRDefault="00AB1123" w:rsidP="00AA3DE8">
            <w:pPr>
              <w:rPr>
                <w:rFonts w:ascii="Arial" w:hAnsi="Arial" w:cs="Arial"/>
                <w:color w:val="000000" w:themeColor="text1"/>
                <w:szCs w:val="24"/>
              </w:rPr>
            </w:pPr>
          </w:p>
          <w:p w14:paraId="074CE719" w14:textId="4D623CA7" w:rsidR="00DE008A" w:rsidRPr="00443072" w:rsidRDefault="000932B0" w:rsidP="00AA3DE8">
            <w:pPr>
              <w:rPr>
                <w:rFonts w:ascii="Arial" w:hAnsi="Arial" w:cs="Arial"/>
                <w:b/>
                <w:bCs/>
                <w:color w:val="000000" w:themeColor="text1"/>
                <w:szCs w:val="24"/>
              </w:rPr>
            </w:pPr>
            <w:r w:rsidRPr="00443072">
              <w:rPr>
                <w:rFonts w:ascii="Arial" w:hAnsi="Arial" w:cs="Arial"/>
                <w:b/>
                <w:bCs/>
                <w:color w:val="000000" w:themeColor="text1"/>
                <w:szCs w:val="24"/>
              </w:rPr>
              <w:t xml:space="preserve">£175,000 </w:t>
            </w:r>
            <w:r w:rsidR="00920598">
              <w:rPr>
                <w:rFonts w:ascii="Arial" w:hAnsi="Arial" w:cs="Arial"/>
                <w:b/>
                <w:bCs/>
                <w:color w:val="000000" w:themeColor="text1"/>
                <w:szCs w:val="24"/>
              </w:rPr>
              <w:t xml:space="preserve">Productivity Gains </w:t>
            </w:r>
            <w:r w:rsidR="00E2619E">
              <w:rPr>
                <w:rFonts w:ascii="Arial" w:hAnsi="Arial" w:cs="Arial"/>
                <w:b/>
                <w:bCs/>
                <w:color w:val="000000" w:themeColor="text1"/>
                <w:szCs w:val="24"/>
              </w:rPr>
              <w:t xml:space="preserve">by </w:t>
            </w:r>
            <w:r w:rsidR="00A645F1">
              <w:rPr>
                <w:rFonts w:ascii="Arial" w:hAnsi="Arial" w:cs="Arial"/>
                <w:b/>
                <w:bCs/>
                <w:color w:val="000000" w:themeColor="text1"/>
                <w:szCs w:val="24"/>
              </w:rPr>
              <w:t>d</w:t>
            </w:r>
            <w:r w:rsidR="008702BD" w:rsidRPr="008702BD">
              <w:rPr>
                <w:rFonts w:ascii="Arial" w:hAnsi="Arial" w:cs="Arial"/>
                <w:b/>
                <w:bCs/>
                <w:color w:val="000000" w:themeColor="text1"/>
                <w:szCs w:val="24"/>
              </w:rPr>
              <w:t>igit</w:t>
            </w:r>
            <w:r w:rsidR="00E2619E">
              <w:rPr>
                <w:rFonts w:ascii="Arial" w:hAnsi="Arial" w:cs="Arial"/>
                <w:b/>
                <w:bCs/>
                <w:color w:val="000000" w:themeColor="text1"/>
                <w:szCs w:val="24"/>
              </w:rPr>
              <w:t>ising</w:t>
            </w:r>
            <w:r w:rsidR="008702BD" w:rsidRPr="008702BD">
              <w:rPr>
                <w:rFonts w:ascii="Arial" w:hAnsi="Arial" w:cs="Arial"/>
                <w:b/>
                <w:bCs/>
                <w:color w:val="000000" w:themeColor="text1"/>
                <w:szCs w:val="24"/>
              </w:rPr>
              <w:t xml:space="preserve"> the incident command process through mobile incident command systems</w:t>
            </w:r>
          </w:p>
          <w:p w14:paraId="509DF863" w14:textId="7CCED0BD" w:rsidR="00DF3F06" w:rsidRPr="00443072" w:rsidRDefault="00630E86" w:rsidP="00AA3DE8">
            <w:pPr>
              <w:rPr>
                <w:rFonts w:ascii="Arial" w:hAnsi="Arial" w:cs="Arial"/>
                <w:color w:val="000000" w:themeColor="text1"/>
                <w:szCs w:val="24"/>
              </w:rPr>
            </w:pPr>
            <w:r w:rsidRPr="00443072">
              <w:rPr>
                <w:rFonts w:ascii="Arial" w:hAnsi="Arial" w:cs="Arial"/>
                <w:color w:val="000000" w:themeColor="text1"/>
                <w:szCs w:val="24"/>
              </w:rPr>
              <w:t xml:space="preserve">Enabling </w:t>
            </w:r>
            <w:r w:rsidR="0026745F" w:rsidRPr="0026745F">
              <w:rPr>
                <w:rFonts w:ascii="Arial" w:hAnsi="Arial" w:cs="Arial"/>
                <w:color w:val="000000" w:themeColor="text1"/>
                <w:szCs w:val="24"/>
              </w:rPr>
              <w:t>mobile data / incident command support system</w:t>
            </w:r>
            <w:r w:rsidR="0026745F">
              <w:rPr>
                <w:rFonts w:ascii="Arial" w:hAnsi="Arial" w:cs="Arial"/>
                <w:color w:val="000000" w:themeColor="text1"/>
                <w:szCs w:val="24"/>
              </w:rPr>
              <w:t xml:space="preserve"> </w:t>
            </w:r>
            <w:r w:rsidRPr="00443072">
              <w:rPr>
                <w:rFonts w:ascii="Arial" w:hAnsi="Arial" w:cs="Arial"/>
                <w:color w:val="000000" w:themeColor="text1"/>
                <w:szCs w:val="24"/>
              </w:rPr>
              <w:t>on appliance iPads and rear</w:t>
            </w:r>
            <w:r w:rsidRPr="00443072">
              <w:rPr>
                <w:rFonts w:ascii="Cambria Math" w:hAnsi="Cambria Math" w:cs="Cambria Math"/>
                <w:color w:val="000000" w:themeColor="text1"/>
                <w:szCs w:val="24"/>
              </w:rPr>
              <w:t>‑</w:t>
            </w:r>
            <w:r w:rsidRPr="00443072">
              <w:rPr>
                <w:rFonts w:ascii="Arial" w:hAnsi="Arial" w:cs="Arial"/>
                <w:color w:val="000000" w:themeColor="text1"/>
                <w:szCs w:val="24"/>
              </w:rPr>
              <w:t xml:space="preserve">mounted </w:t>
            </w:r>
            <w:r w:rsidR="00247F19" w:rsidRPr="00247F19">
              <w:rPr>
                <w:rFonts w:ascii="Arial" w:hAnsi="Arial" w:cs="Arial"/>
                <w:color w:val="000000" w:themeColor="text1"/>
                <w:szCs w:val="24"/>
              </w:rPr>
              <w:t>Mobile Data Terminal</w:t>
            </w:r>
            <w:r w:rsidR="00247F19">
              <w:rPr>
                <w:rFonts w:ascii="Arial" w:hAnsi="Arial" w:cs="Arial"/>
                <w:color w:val="000000" w:themeColor="text1"/>
                <w:szCs w:val="24"/>
              </w:rPr>
              <w:t>s (</w:t>
            </w:r>
            <w:r w:rsidRPr="00443072">
              <w:rPr>
                <w:rFonts w:ascii="Arial" w:hAnsi="Arial" w:cs="Arial"/>
                <w:color w:val="000000" w:themeColor="text1"/>
                <w:szCs w:val="24"/>
              </w:rPr>
              <w:t>MDT</w:t>
            </w:r>
            <w:r w:rsidR="00247F19">
              <w:rPr>
                <w:rFonts w:ascii="Arial" w:hAnsi="Arial" w:cs="Arial"/>
                <w:color w:val="000000" w:themeColor="text1"/>
                <w:szCs w:val="24"/>
              </w:rPr>
              <w:t>)</w:t>
            </w:r>
            <w:r w:rsidRPr="00443072">
              <w:rPr>
                <w:rFonts w:ascii="Arial" w:hAnsi="Arial" w:cs="Arial"/>
                <w:color w:val="000000" w:themeColor="text1"/>
                <w:szCs w:val="24"/>
              </w:rPr>
              <w:t xml:space="preserve"> allows incident command support functions to be completed digitally at the scene, replacing paper command packs and eliminating duplication and post</w:t>
            </w:r>
            <w:r w:rsidRPr="00443072">
              <w:rPr>
                <w:rFonts w:ascii="Cambria Math" w:hAnsi="Cambria Math" w:cs="Cambria Math"/>
                <w:color w:val="000000" w:themeColor="text1"/>
                <w:szCs w:val="24"/>
              </w:rPr>
              <w:t>‑</w:t>
            </w:r>
            <w:r w:rsidRPr="00443072">
              <w:rPr>
                <w:rFonts w:ascii="Arial" w:hAnsi="Arial" w:cs="Arial"/>
                <w:color w:val="000000" w:themeColor="text1"/>
                <w:szCs w:val="24"/>
              </w:rPr>
              <w:t>incident re</w:t>
            </w:r>
            <w:r w:rsidRPr="00443072">
              <w:rPr>
                <w:rFonts w:ascii="Cambria Math" w:hAnsi="Cambria Math" w:cs="Cambria Math"/>
                <w:color w:val="000000" w:themeColor="text1"/>
                <w:szCs w:val="24"/>
              </w:rPr>
              <w:t>‑</w:t>
            </w:r>
            <w:r w:rsidRPr="00443072">
              <w:rPr>
                <w:rFonts w:ascii="Arial" w:hAnsi="Arial" w:cs="Arial"/>
                <w:color w:val="000000" w:themeColor="text1"/>
                <w:szCs w:val="24"/>
              </w:rPr>
              <w:t>keying. This is estimated to save approximately 30 minutes of administrative time per incident</w:t>
            </w:r>
            <w:r w:rsidR="006249E2">
              <w:rPr>
                <w:rFonts w:ascii="Arial" w:hAnsi="Arial" w:cs="Arial"/>
                <w:color w:val="000000" w:themeColor="text1"/>
                <w:szCs w:val="24"/>
              </w:rPr>
              <w:t>,</w:t>
            </w:r>
            <w:r w:rsidRPr="00443072">
              <w:rPr>
                <w:rFonts w:ascii="Arial" w:hAnsi="Arial" w:cs="Arial"/>
                <w:color w:val="000000" w:themeColor="text1"/>
                <w:szCs w:val="24"/>
              </w:rPr>
              <w:t xml:space="preserve"> equat</w:t>
            </w:r>
            <w:r w:rsidR="006249E2">
              <w:rPr>
                <w:rFonts w:ascii="Arial" w:hAnsi="Arial" w:cs="Arial"/>
                <w:color w:val="000000" w:themeColor="text1"/>
                <w:szCs w:val="24"/>
              </w:rPr>
              <w:t>ing</w:t>
            </w:r>
            <w:r w:rsidRPr="00443072">
              <w:rPr>
                <w:rFonts w:ascii="Arial" w:hAnsi="Arial" w:cs="Arial"/>
                <w:color w:val="000000" w:themeColor="text1"/>
                <w:szCs w:val="24"/>
              </w:rPr>
              <w:t xml:space="preserve"> to an estimated £175,000 per annum productivity gain</w:t>
            </w:r>
            <w:r w:rsidR="00191C0B">
              <w:rPr>
                <w:rFonts w:ascii="Arial" w:hAnsi="Arial" w:cs="Arial"/>
                <w:color w:val="000000" w:themeColor="text1"/>
                <w:szCs w:val="24"/>
              </w:rPr>
              <w:t>s</w:t>
            </w:r>
            <w:r w:rsidRPr="00443072">
              <w:rPr>
                <w:rFonts w:ascii="Arial" w:hAnsi="Arial" w:cs="Arial"/>
                <w:color w:val="000000" w:themeColor="text1"/>
                <w:szCs w:val="24"/>
              </w:rPr>
              <w:t>, achieved through improved command support and redeployment of existing capacity</w:t>
            </w:r>
            <w:r w:rsidR="00DF3F06" w:rsidRPr="00443072">
              <w:rPr>
                <w:rFonts w:ascii="Arial" w:hAnsi="Arial" w:cs="Arial"/>
                <w:color w:val="000000" w:themeColor="text1"/>
                <w:szCs w:val="24"/>
              </w:rPr>
              <w:t>.</w:t>
            </w:r>
          </w:p>
          <w:p w14:paraId="06E63DE5" w14:textId="77777777" w:rsidR="00BD0DF2" w:rsidRPr="00443072" w:rsidRDefault="00BD0DF2" w:rsidP="00AA3DE8">
            <w:pPr>
              <w:rPr>
                <w:rFonts w:ascii="Arial" w:hAnsi="Arial" w:cs="Arial"/>
                <w:color w:val="000000" w:themeColor="text1"/>
                <w:szCs w:val="24"/>
              </w:rPr>
            </w:pPr>
          </w:p>
          <w:p w14:paraId="7A65BFB8" w14:textId="08806C89" w:rsidR="000F7B03" w:rsidRPr="000F7B03" w:rsidRDefault="00B71ADD" w:rsidP="000F7B03">
            <w:pPr>
              <w:rPr>
                <w:rFonts w:ascii="Arial" w:hAnsi="Arial" w:cs="Arial"/>
                <w:b/>
                <w:bCs/>
                <w:color w:val="000000" w:themeColor="text1"/>
                <w:szCs w:val="24"/>
              </w:rPr>
            </w:pPr>
            <w:r w:rsidRPr="00443072">
              <w:rPr>
                <w:rFonts w:ascii="Arial" w:hAnsi="Arial" w:cs="Arial"/>
                <w:b/>
                <w:bCs/>
                <w:color w:val="000000" w:themeColor="text1"/>
                <w:szCs w:val="24"/>
              </w:rPr>
              <w:t>£8,000</w:t>
            </w:r>
            <w:r w:rsidR="00151F29" w:rsidRPr="00443072">
              <w:rPr>
                <w:rFonts w:ascii="Arial" w:hAnsi="Arial" w:cs="Arial"/>
                <w:b/>
                <w:bCs/>
                <w:color w:val="000000" w:themeColor="text1"/>
                <w:szCs w:val="24"/>
              </w:rPr>
              <w:t xml:space="preserve"> </w:t>
            </w:r>
            <w:r w:rsidR="001D0DA3">
              <w:rPr>
                <w:rFonts w:ascii="Arial" w:hAnsi="Arial" w:cs="Arial"/>
                <w:b/>
                <w:bCs/>
                <w:color w:val="000000" w:themeColor="text1"/>
                <w:szCs w:val="24"/>
              </w:rPr>
              <w:t>Productivity Gains by d</w:t>
            </w:r>
            <w:r w:rsidR="005D0AF1" w:rsidRPr="005D0AF1">
              <w:rPr>
                <w:rFonts w:ascii="Arial" w:hAnsi="Arial" w:cs="Arial"/>
                <w:b/>
                <w:bCs/>
                <w:color w:val="000000" w:themeColor="text1"/>
                <w:szCs w:val="24"/>
              </w:rPr>
              <w:t>igitalis</w:t>
            </w:r>
            <w:r w:rsidR="001D0DA3">
              <w:rPr>
                <w:rFonts w:ascii="Arial" w:hAnsi="Arial" w:cs="Arial"/>
                <w:b/>
                <w:bCs/>
                <w:color w:val="000000" w:themeColor="text1"/>
                <w:szCs w:val="24"/>
              </w:rPr>
              <w:t>ing</w:t>
            </w:r>
            <w:r w:rsidR="005D0AF1" w:rsidRPr="005D0AF1">
              <w:rPr>
                <w:rFonts w:ascii="Arial" w:hAnsi="Arial" w:cs="Arial"/>
                <w:b/>
                <w:bCs/>
                <w:color w:val="000000" w:themeColor="text1"/>
                <w:szCs w:val="24"/>
              </w:rPr>
              <w:t xml:space="preserve"> operational command competence assessment and assurance</w:t>
            </w:r>
          </w:p>
          <w:p w14:paraId="01E850D7" w14:textId="33D2CFD2" w:rsidR="00BD0DF2" w:rsidRPr="00443072" w:rsidRDefault="00B71ADD" w:rsidP="00AA3DE8">
            <w:pPr>
              <w:rPr>
                <w:rFonts w:ascii="Arial" w:hAnsi="Arial" w:cs="Arial"/>
                <w:color w:val="000000" w:themeColor="text1"/>
                <w:szCs w:val="24"/>
              </w:rPr>
            </w:pPr>
            <w:r w:rsidRPr="00443072">
              <w:rPr>
                <w:rFonts w:ascii="Arial" w:hAnsi="Arial" w:cs="Arial"/>
                <w:color w:val="000000" w:themeColor="text1"/>
                <w:szCs w:val="24"/>
              </w:rPr>
              <w:t>Digitising the Incident Command Assessment Form enables real</w:t>
            </w:r>
            <w:r w:rsidRPr="00443072">
              <w:rPr>
                <w:rFonts w:ascii="Cambria Math" w:hAnsi="Cambria Math" w:cs="Cambria Math"/>
                <w:color w:val="000000" w:themeColor="text1"/>
                <w:szCs w:val="24"/>
              </w:rPr>
              <w:t>‑</w:t>
            </w:r>
            <w:r w:rsidRPr="00443072">
              <w:rPr>
                <w:rFonts w:ascii="Arial" w:hAnsi="Arial" w:cs="Arial"/>
                <w:color w:val="000000" w:themeColor="text1"/>
                <w:szCs w:val="24"/>
              </w:rPr>
              <w:t>time electronic completion</w:t>
            </w:r>
            <w:r w:rsidR="00915A46">
              <w:rPr>
                <w:rFonts w:ascii="Arial" w:hAnsi="Arial" w:cs="Arial"/>
                <w:color w:val="000000" w:themeColor="text1"/>
                <w:szCs w:val="24"/>
              </w:rPr>
              <w:t xml:space="preserve"> </w:t>
            </w:r>
            <w:r w:rsidRPr="00443072">
              <w:rPr>
                <w:rFonts w:ascii="Arial" w:hAnsi="Arial" w:cs="Arial"/>
                <w:color w:val="000000" w:themeColor="text1"/>
                <w:szCs w:val="24"/>
              </w:rPr>
              <w:t>and immediate inclusion in personnel competence records. This removes reliance on paper forms and repeated follow</w:t>
            </w:r>
            <w:r w:rsidRPr="00443072">
              <w:rPr>
                <w:rFonts w:ascii="Cambria Math" w:hAnsi="Cambria Math" w:cs="Cambria Math"/>
                <w:color w:val="000000" w:themeColor="text1"/>
                <w:szCs w:val="24"/>
              </w:rPr>
              <w:t>‑</w:t>
            </w:r>
            <w:r w:rsidRPr="00443072">
              <w:rPr>
                <w:rFonts w:ascii="Arial" w:hAnsi="Arial" w:cs="Arial"/>
                <w:color w:val="000000" w:themeColor="text1"/>
                <w:szCs w:val="24"/>
              </w:rPr>
              <w:t>up between assessors and candidates, improving timeliness, data quality and operational assurance. This is estimated to release approximately 200 assessor hours per annum, this equates to an indicative £8</w:t>
            </w:r>
            <w:r w:rsidR="00915A46">
              <w:rPr>
                <w:rFonts w:ascii="Arial" w:hAnsi="Arial" w:cs="Arial"/>
                <w:color w:val="000000" w:themeColor="text1"/>
                <w:szCs w:val="24"/>
              </w:rPr>
              <w:t>,000</w:t>
            </w:r>
            <w:r w:rsidRPr="00443072">
              <w:rPr>
                <w:rFonts w:ascii="Arial" w:hAnsi="Arial" w:cs="Arial"/>
                <w:color w:val="000000" w:themeColor="text1"/>
                <w:szCs w:val="24"/>
              </w:rPr>
              <w:t xml:space="preserve"> per annum productivity gain</w:t>
            </w:r>
            <w:r w:rsidR="00915A46">
              <w:rPr>
                <w:rFonts w:ascii="Arial" w:hAnsi="Arial" w:cs="Arial"/>
                <w:color w:val="000000" w:themeColor="text1"/>
                <w:szCs w:val="24"/>
              </w:rPr>
              <w:t>s</w:t>
            </w:r>
            <w:r w:rsidRPr="00443072">
              <w:rPr>
                <w:rFonts w:ascii="Arial" w:hAnsi="Arial" w:cs="Arial"/>
                <w:color w:val="000000" w:themeColor="text1"/>
                <w:szCs w:val="24"/>
              </w:rPr>
              <w:t>, representing capacity redeployed to assurance and training activity rather than a direct financial saving.</w:t>
            </w:r>
          </w:p>
          <w:p w14:paraId="5A2339E7" w14:textId="77777777" w:rsidR="00151F29" w:rsidRPr="00443072" w:rsidRDefault="00151F29" w:rsidP="00AA3DE8">
            <w:pPr>
              <w:rPr>
                <w:rFonts w:ascii="Arial" w:hAnsi="Arial" w:cs="Arial"/>
                <w:color w:val="000000" w:themeColor="text1"/>
                <w:szCs w:val="24"/>
              </w:rPr>
            </w:pPr>
          </w:p>
          <w:p w14:paraId="27E79623" w14:textId="4FCF35C4" w:rsidR="005841F8" w:rsidRPr="00B7724E" w:rsidRDefault="005841F8" w:rsidP="00AA3DE8">
            <w:pPr>
              <w:rPr>
                <w:rFonts w:ascii="Arial" w:hAnsi="Arial" w:cs="Arial"/>
                <w:b/>
                <w:bCs/>
                <w:color w:val="000000" w:themeColor="text1"/>
              </w:rPr>
            </w:pPr>
            <w:r w:rsidRPr="00443072">
              <w:rPr>
                <w:rFonts w:ascii="Arial" w:hAnsi="Arial" w:cs="Arial"/>
                <w:b/>
                <w:bCs/>
                <w:color w:val="000000" w:themeColor="text1"/>
                <w:szCs w:val="24"/>
              </w:rPr>
              <w:t>£</w:t>
            </w:r>
            <w:r w:rsidR="00194DD7">
              <w:rPr>
                <w:rFonts w:ascii="Arial" w:hAnsi="Arial" w:cs="Arial"/>
                <w:b/>
                <w:bCs/>
                <w:color w:val="000000" w:themeColor="text1"/>
                <w:szCs w:val="24"/>
              </w:rPr>
              <w:t>15,000</w:t>
            </w:r>
            <w:r w:rsidRPr="00443072">
              <w:rPr>
                <w:rFonts w:ascii="Arial" w:hAnsi="Arial" w:cs="Arial"/>
                <w:b/>
                <w:bCs/>
                <w:color w:val="000000" w:themeColor="text1"/>
                <w:szCs w:val="24"/>
              </w:rPr>
              <w:t xml:space="preserve"> </w:t>
            </w:r>
            <w:r w:rsidR="00BE4D9E">
              <w:rPr>
                <w:rFonts w:ascii="Arial" w:hAnsi="Arial" w:cs="Arial"/>
                <w:b/>
                <w:bCs/>
                <w:color w:val="000000" w:themeColor="text1"/>
                <w:szCs w:val="24"/>
              </w:rPr>
              <w:t xml:space="preserve">Productivity Gains by </w:t>
            </w:r>
            <w:r w:rsidR="00915A46">
              <w:rPr>
                <w:rFonts w:ascii="Arial" w:hAnsi="Arial" w:cs="Arial"/>
                <w:b/>
                <w:bCs/>
                <w:color w:val="000000" w:themeColor="text1"/>
                <w:szCs w:val="24"/>
              </w:rPr>
              <w:t>d</w:t>
            </w:r>
            <w:r w:rsidR="00B7724E" w:rsidRPr="00B7724E">
              <w:rPr>
                <w:rFonts w:ascii="Arial" w:hAnsi="Arial" w:cs="Arial"/>
                <w:b/>
                <w:bCs/>
                <w:color w:val="000000" w:themeColor="text1"/>
              </w:rPr>
              <w:t>igitalis</w:t>
            </w:r>
            <w:r w:rsidR="00BE4D9E">
              <w:rPr>
                <w:rFonts w:ascii="Arial" w:hAnsi="Arial" w:cs="Arial"/>
                <w:b/>
                <w:bCs/>
                <w:color w:val="000000" w:themeColor="text1"/>
              </w:rPr>
              <w:t>ing</w:t>
            </w:r>
            <w:r w:rsidR="00B7724E" w:rsidRPr="00B7724E">
              <w:rPr>
                <w:rFonts w:ascii="Arial" w:hAnsi="Arial" w:cs="Arial"/>
                <w:b/>
                <w:bCs/>
                <w:color w:val="000000" w:themeColor="text1"/>
              </w:rPr>
              <w:t xml:space="preserve"> workforce fitness assessment and assurance processes</w:t>
            </w:r>
          </w:p>
          <w:p w14:paraId="5893670A" w14:textId="297B1AE7" w:rsidR="005D1F51" w:rsidRDefault="00194DD7" w:rsidP="00AA3DE8">
            <w:pPr>
              <w:rPr>
                <w:rFonts w:ascii="Arial" w:hAnsi="Arial" w:cs="Arial"/>
                <w:color w:val="000000" w:themeColor="text1"/>
                <w:szCs w:val="24"/>
              </w:rPr>
            </w:pPr>
            <w:r w:rsidRPr="00194DD7">
              <w:rPr>
                <w:rFonts w:ascii="Arial" w:hAnsi="Arial" w:cs="Arial"/>
                <w:color w:val="000000" w:themeColor="text1"/>
                <w:szCs w:val="24"/>
              </w:rPr>
              <w:t xml:space="preserve">Digitisation of fitness assessment forms </w:t>
            </w:r>
            <w:r w:rsidR="00A36515">
              <w:rPr>
                <w:rFonts w:ascii="Arial" w:hAnsi="Arial" w:cs="Arial"/>
                <w:color w:val="000000" w:themeColor="text1"/>
                <w:szCs w:val="24"/>
              </w:rPr>
              <w:t>is planned for 20</w:t>
            </w:r>
            <w:r w:rsidR="006D1FD2">
              <w:rPr>
                <w:rFonts w:ascii="Arial" w:hAnsi="Arial" w:cs="Arial"/>
                <w:color w:val="000000" w:themeColor="text1"/>
                <w:szCs w:val="24"/>
              </w:rPr>
              <w:t xml:space="preserve">26/27, it </w:t>
            </w:r>
            <w:r w:rsidRPr="00194DD7">
              <w:rPr>
                <w:rFonts w:ascii="Arial" w:hAnsi="Arial" w:cs="Arial"/>
                <w:color w:val="000000" w:themeColor="text1"/>
                <w:szCs w:val="24"/>
              </w:rPr>
              <w:t>removes a paper</w:t>
            </w:r>
            <w:r w:rsidRPr="00194DD7">
              <w:rPr>
                <w:rFonts w:ascii="Cambria Math" w:hAnsi="Cambria Math" w:cs="Cambria Math"/>
                <w:color w:val="000000" w:themeColor="text1"/>
                <w:szCs w:val="24"/>
              </w:rPr>
              <w:t>‑</w:t>
            </w:r>
            <w:r w:rsidRPr="00194DD7">
              <w:rPr>
                <w:rFonts w:ascii="Arial" w:hAnsi="Arial" w:cs="Arial"/>
                <w:color w:val="000000" w:themeColor="text1"/>
                <w:szCs w:val="24"/>
              </w:rPr>
              <w:t xml:space="preserve">heavy process involving printing, posting, scanning and manual data handling. </w:t>
            </w:r>
            <w:r w:rsidR="007E3D58">
              <w:rPr>
                <w:rFonts w:ascii="Arial" w:hAnsi="Arial" w:cs="Arial"/>
                <w:color w:val="000000" w:themeColor="text1"/>
                <w:szCs w:val="24"/>
              </w:rPr>
              <w:t>A</w:t>
            </w:r>
            <w:r w:rsidRPr="00194DD7">
              <w:rPr>
                <w:rFonts w:ascii="Arial" w:hAnsi="Arial" w:cs="Arial"/>
                <w:color w:val="000000" w:themeColor="text1"/>
                <w:szCs w:val="24"/>
              </w:rPr>
              <w:t>ssessment</w:t>
            </w:r>
            <w:r w:rsidR="007E3D58">
              <w:rPr>
                <w:rFonts w:ascii="Arial" w:hAnsi="Arial" w:cs="Arial"/>
                <w:color w:val="000000" w:themeColor="text1"/>
                <w:szCs w:val="24"/>
              </w:rPr>
              <w:t>s</w:t>
            </w:r>
            <w:r w:rsidRPr="00194DD7">
              <w:rPr>
                <w:rFonts w:ascii="Arial" w:hAnsi="Arial" w:cs="Arial"/>
                <w:color w:val="000000" w:themeColor="text1"/>
                <w:szCs w:val="24"/>
              </w:rPr>
              <w:t xml:space="preserve"> </w:t>
            </w:r>
            <w:r w:rsidR="007E3D58">
              <w:rPr>
                <w:rFonts w:ascii="Arial" w:hAnsi="Arial" w:cs="Arial"/>
                <w:color w:val="000000" w:themeColor="text1"/>
                <w:szCs w:val="24"/>
              </w:rPr>
              <w:t xml:space="preserve">can be </w:t>
            </w:r>
            <w:r w:rsidRPr="00194DD7">
              <w:rPr>
                <w:rFonts w:ascii="Arial" w:hAnsi="Arial" w:cs="Arial"/>
                <w:color w:val="000000" w:themeColor="text1"/>
                <w:szCs w:val="24"/>
              </w:rPr>
              <w:t xml:space="preserve">digitally </w:t>
            </w:r>
            <w:r w:rsidR="007E3D58">
              <w:rPr>
                <w:rFonts w:ascii="Arial" w:hAnsi="Arial" w:cs="Arial"/>
                <w:color w:val="000000" w:themeColor="text1"/>
                <w:szCs w:val="24"/>
              </w:rPr>
              <w:t xml:space="preserve">submitted </w:t>
            </w:r>
            <w:r w:rsidRPr="00194DD7">
              <w:rPr>
                <w:rFonts w:ascii="Arial" w:hAnsi="Arial" w:cs="Arial"/>
                <w:color w:val="000000" w:themeColor="text1"/>
                <w:szCs w:val="24"/>
              </w:rPr>
              <w:t xml:space="preserve">at the point of completion, with data flowing directly to </w:t>
            </w:r>
            <w:r w:rsidR="007E3D58">
              <w:rPr>
                <w:rFonts w:ascii="Arial" w:hAnsi="Arial" w:cs="Arial"/>
                <w:color w:val="000000" w:themeColor="text1"/>
                <w:szCs w:val="24"/>
              </w:rPr>
              <w:t>relevant systems</w:t>
            </w:r>
            <w:r w:rsidRPr="00194DD7">
              <w:rPr>
                <w:rFonts w:ascii="Arial" w:hAnsi="Arial" w:cs="Arial"/>
                <w:color w:val="000000" w:themeColor="text1"/>
                <w:szCs w:val="24"/>
              </w:rPr>
              <w:t xml:space="preserve">. This is estimated to release approximately 500 hours of </w:t>
            </w:r>
            <w:r w:rsidR="004C202F" w:rsidRPr="004C202F">
              <w:rPr>
                <w:rFonts w:ascii="Arial" w:hAnsi="Arial" w:cs="Arial"/>
                <w:color w:val="000000" w:themeColor="text1"/>
                <w:szCs w:val="24"/>
              </w:rPr>
              <w:t>Physical Training Instructors</w:t>
            </w:r>
            <w:r w:rsidR="004C202F">
              <w:rPr>
                <w:rFonts w:ascii="Arial" w:hAnsi="Arial" w:cs="Arial"/>
                <w:color w:val="000000" w:themeColor="text1"/>
                <w:szCs w:val="24"/>
              </w:rPr>
              <w:t xml:space="preserve"> a</w:t>
            </w:r>
            <w:r w:rsidRPr="00194DD7">
              <w:rPr>
                <w:rFonts w:ascii="Arial" w:hAnsi="Arial" w:cs="Arial"/>
                <w:color w:val="000000" w:themeColor="text1"/>
                <w:szCs w:val="24"/>
              </w:rPr>
              <w:t>nd</w:t>
            </w:r>
            <w:r w:rsidR="004C202F">
              <w:rPr>
                <w:rFonts w:ascii="Arial" w:hAnsi="Arial" w:cs="Arial"/>
                <w:color w:val="000000" w:themeColor="text1"/>
                <w:szCs w:val="24"/>
              </w:rPr>
              <w:t xml:space="preserve"> </w:t>
            </w:r>
            <w:r w:rsidRPr="00194DD7">
              <w:rPr>
                <w:rFonts w:ascii="Arial" w:hAnsi="Arial" w:cs="Arial"/>
                <w:color w:val="000000" w:themeColor="text1"/>
                <w:szCs w:val="24"/>
              </w:rPr>
              <w:t>administrative time per annum</w:t>
            </w:r>
            <w:r w:rsidR="008A35E6">
              <w:rPr>
                <w:rFonts w:ascii="Arial" w:hAnsi="Arial" w:cs="Arial"/>
                <w:color w:val="000000" w:themeColor="text1"/>
                <w:szCs w:val="24"/>
              </w:rPr>
              <w:t xml:space="preserve">, </w:t>
            </w:r>
            <w:r w:rsidRPr="00194DD7">
              <w:rPr>
                <w:rFonts w:ascii="Arial" w:hAnsi="Arial" w:cs="Arial"/>
                <w:color w:val="000000" w:themeColor="text1"/>
                <w:szCs w:val="24"/>
              </w:rPr>
              <w:t>this equates to an indicative £15</w:t>
            </w:r>
            <w:r w:rsidR="004C202F">
              <w:rPr>
                <w:rFonts w:ascii="Arial" w:hAnsi="Arial" w:cs="Arial"/>
                <w:color w:val="000000" w:themeColor="text1"/>
                <w:szCs w:val="24"/>
              </w:rPr>
              <w:t>,000</w:t>
            </w:r>
            <w:r w:rsidRPr="00194DD7">
              <w:rPr>
                <w:rFonts w:ascii="Arial" w:hAnsi="Arial" w:cs="Arial"/>
                <w:color w:val="000000" w:themeColor="text1"/>
                <w:szCs w:val="24"/>
              </w:rPr>
              <w:t xml:space="preserve"> per annum productivity gain, representing capacity redeployed to fitness oversight and operational support rather than a direct financial saving</w:t>
            </w:r>
            <w:r w:rsidR="00DC5260" w:rsidRPr="00443072">
              <w:rPr>
                <w:rFonts w:ascii="Arial" w:hAnsi="Arial" w:cs="Arial"/>
                <w:color w:val="000000" w:themeColor="text1"/>
                <w:szCs w:val="24"/>
              </w:rPr>
              <w:t>.</w:t>
            </w:r>
          </w:p>
          <w:p w14:paraId="495A9BBB" w14:textId="77777777" w:rsidR="00F613A5" w:rsidRDefault="00F613A5" w:rsidP="00AA3DE8">
            <w:pPr>
              <w:rPr>
                <w:rFonts w:ascii="Arial" w:hAnsi="Arial" w:cs="Arial"/>
                <w:color w:val="000000" w:themeColor="text1"/>
                <w:szCs w:val="24"/>
              </w:rPr>
            </w:pPr>
          </w:p>
          <w:p w14:paraId="68BC9934" w14:textId="365613D8" w:rsidR="00F66587" w:rsidRDefault="00CF3920" w:rsidP="00F613A5">
            <w:pPr>
              <w:rPr>
                <w:rFonts w:ascii="Arial" w:hAnsi="Arial" w:cs="Arial"/>
                <w:color w:val="000000" w:themeColor="text1"/>
                <w:szCs w:val="24"/>
              </w:rPr>
            </w:pPr>
            <w:r>
              <w:rPr>
                <w:rFonts w:ascii="Arial" w:hAnsi="Arial" w:cs="Arial"/>
                <w:b/>
                <w:bCs/>
                <w:color w:val="000000" w:themeColor="text1"/>
                <w:szCs w:val="24"/>
              </w:rPr>
              <w:t xml:space="preserve">Productivity Gains </w:t>
            </w:r>
            <w:r w:rsidR="00923A0F">
              <w:rPr>
                <w:rFonts w:ascii="Arial" w:hAnsi="Arial" w:cs="Arial"/>
                <w:b/>
                <w:bCs/>
                <w:color w:val="000000" w:themeColor="text1"/>
                <w:szCs w:val="24"/>
              </w:rPr>
              <w:t xml:space="preserve">from the </w:t>
            </w:r>
            <w:r w:rsidR="004C202F">
              <w:rPr>
                <w:rFonts w:ascii="Arial" w:hAnsi="Arial" w:cs="Arial"/>
                <w:b/>
                <w:bCs/>
                <w:color w:val="000000" w:themeColor="text1"/>
                <w:szCs w:val="24"/>
              </w:rPr>
              <w:t>i</w:t>
            </w:r>
            <w:r w:rsidR="00F66587" w:rsidRPr="00F613A5">
              <w:rPr>
                <w:rFonts w:ascii="Arial" w:hAnsi="Arial" w:cs="Arial"/>
                <w:b/>
                <w:bCs/>
                <w:color w:val="000000" w:themeColor="text1"/>
                <w:szCs w:val="24"/>
              </w:rPr>
              <w:t>nvestment in two Water Tower dual</w:t>
            </w:r>
            <w:r w:rsidR="00F66587" w:rsidRPr="00F613A5">
              <w:rPr>
                <w:rFonts w:ascii="Arial" w:hAnsi="Arial" w:cs="Arial"/>
                <w:b/>
                <w:bCs/>
                <w:color w:val="000000" w:themeColor="text1"/>
                <w:szCs w:val="24"/>
              </w:rPr>
              <w:noBreakHyphen/>
              <w:t>purpose fire appliances</w:t>
            </w:r>
            <w:r w:rsidR="00F66587" w:rsidRPr="00F613A5">
              <w:rPr>
                <w:rFonts w:ascii="Arial" w:hAnsi="Arial" w:cs="Arial"/>
                <w:color w:val="000000" w:themeColor="text1"/>
                <w:szCs w:val="24"/>
              </w:rPr>
              <w:t xml:space="preserve"> </w:t>
            </w:r>
          </w:p>
          <w:p w14:paraId="10AE8347" w14:textId="6ACCEE2C" w:rsidR="00F613A5" w:rsidRPr="00F613A5" w:rsidRDefault="00F613A5" w:rsidP="00F613A5">
            <w:pPr>
              <w:rPr>
                <w:rFonts w:ascii="Arial" w:hAnsi="Arial" w:cs="Arial"/>
                <w:color w:val="000000" w:themeColor="text1"/>
                <w:szCs w:val="24"/>
              </w:rPr>
            </w:pPr>
            <w:r w:rsidRPr="00F613A5">
              <w:rPr>
                <w:rFonts w:ascii="Arial" w:hAnsi="Arial" w:cs="Arial"/>
                <w:color w:val="000000" w:themeColor="text1"/>
                <w:szCs w:val="24"/>
              </w:rPr>
              <w:t>During 2025/26 the Service completed a significant capital investment in two Water Tower dual</w:t>
            </w:r>
            <w:r w:rsidRPr="00F613A5">
              <w:rPr>
                <w:rFonts w:ascii="Arial" w:hAnsi="Arial" w:cs="Arial"/>
                <w:color w:val="000000" w:themeColor="text1"/>
                <w:szCs w:val="24"/>
              </w:rPr>
              <w:noBreakHyphen/>
              <w:t>purpose fire appliances (high</w:t>
            </w:r>
            <w:r w:rsidRPr="00F613A5">
              <w:rPr>
                <w:rFonts w:ascii="Arial" w:hAnsi="Arial" w:cs="Arial"/>
                <w:color w:val="000000" w:themeColor="text1"/>
                <w:szCs w:val="24"/>
              </w:rPr>
              <w:noBreakHyphen/>
              <w:t>reach, high</w:t>
            </w:r>
            <w:r w:rsidRPr="00F613A5">
              <w:rPr>
                <w:rFonts w:ascii="Arial" w:hAnsi="Arial" w:cs="Arial"/>
                <w:color w:val="000000" w:themeColor="text1"/>
                <w:szCs w:val="24"/>
              </w:rPr>
              <w:noBreakHyphen/>
              <w:t>volume water delivery with a 20</w:t>
            </w:r>
            <w:r w:rsidRPr="00F613A5">
              <w:rPr>
                <w:rFonts w:ascii="Arial" w:hAnsi="Arial" w:cs="Arial"/>
                <w:color w:val="000000" w:themeColor="text1"/>
                <w:szCs w:val="24"/>
              </w:rPr>
              <w:noBreakHyphen/>
              <w:t>metre boom), strategically located at St Anne’s and Lancaster to strengthen county</w:t>
            </w:r>
            <w:r w:rsidRPr="00F613A5">
              <w:rPr>
                <w:rFonts w:ascii="Arial" w:hAnsi="Arial" w:cs="Arial"/>
                <w:color w:val="000000" w:themeColor="text1"/>
                <w:szCs w:val="24"/>
              </w:rPr>
              <w:noBreakHyphen/>
              <w:t xml:space="preserve">wide aerial water delivery </w:t>
            </w:r>
            <w:r w:rsidR="006B5825" w:rsidRPr="00F613A5">
              <w:rPr>
                <w:rFonts w:ascii="Arial" w:hAnsi="Arial" w:cs="Arial"/>
                <w:color w:val="000000" w:themeColor="text1"/>
                <w:szCs w:val="24"/>
              </w:rPr>
              <w:t>and</w:t>
            </w:r>
            <w:r w:rsidRPr="00F613A5">
              <w:rPr>
                <w:rFonts w:ascii="Arial" w:hAnsi="Arial" w:cs="Arial"/>
                <w:color w:val="000000" w:themeColor="text1"/>
                <w:szCs w:val="24"/>
              </w:rPr>
              <w:t xml:space="preserve"> provide frontline pumping capability. The efficiency mechanism is that Water Towers can deliver sustained elevated water attack earlier and more effectively at protracted incidents, which can reduce the number of appliances required and the time crews are committed on scene, improving overall appliance availability for other calls. In addition, the </w:t>
            </w:r>
            <w:r w:rsidR="006B5825" w:rsidRPr="006B5825">
              <w:rPr>
                <w:rFonts w:ascii="Arial" w:hAnsi="Arial" w:cs="Arial"/>
                <w:color w:val="000000" w:themeColor="text1"/>
                <w:szCs w:val="24"/>
              </w:rPr>
              <w:t>Water Tower</w:t>
            </w:r>
            <w:r w:rsidR="006B5825">
              <w:rPr>
                <w:rFonts w:ascii="Arial" w:hAnsi="Arial" w:cs="Arial"/>
                <w:color w:val="000000" w:themeColor="text1"/>
                <w:szCs w:val="24"/>
              </w:rPr>
              <w:t>s</w:t>
            </w:r>
            <w:r w:rsidR="006B5825" w:rsidRPr="006B5825">
              <w:rPr>
                <w:rFonts w:ascii="Arial" w:hAnsi="Arial" w:cs="Arial"/>
                <w:color w:val="000000" w:themeColor="text1"/>
                <w:szCs w:val="24"/>
              </w:rPr>
              <w:t xml:space="preserve"> </w:t>
            </w:r>
            <w:r w:rsidRPr="00F613A5">
              <w:rPr>
                <w:rFonts w:ascii="Arial" w:hAnsi="Arial" w:cs="Arial"/>
                <w:color w:val="000000" w:themeColor="text1"/>
                <w:szCs w:val="24"/>
              </w:rPr>
              <w:t xml:space="preserve">deliver important qualitative benefits, including enhanced firefighter safety through greater </w:t>
            </w:r>
            <w:r w:rsidRPr="00F613A5">
              <w:rPr>
                <w:rFonts w:ascii="Arial" w:hAnsi="Arial" w:cs="Arial"/>
                <w:color w:val="000000" w:themeColor="text1"/>
                <w:szCs w:val="24"/>
              </w:rPr>
              <w:lastRenderedPageBreak/>
              <w:t>stand</w:t>
            </w:r>
            <w:r w:rsidRPr="00F613A5">
              <w:rPr>
                <w:rFonts w:ascii="Arial" w:hAnsi="Arial" w:cs="Arial"/>
                <w:color w:val="000000" w:themeColor="text1"/>
                <w:szCs w:val="24"/>
              </w:rPr>
              <w:noBreakHyphen/>
              <w:t xml:space="preserve">off distance, improved resilience when </w:t>
            </w:r>
            <w:r w:rsidR="006A07C1">
              <w:rPr>
                <w:rFonts w:ascii="Arial" w:hAnsi="Arial" w:cs="Arial"/>
                <w:color w:val="000000" w:themeColor="text1"/>
                <w:szCs w:val="24"/>
              </w:rPr>
              <w:t>A</w:t>
            </w:r>
            <w:r w:rsidR="00FF261D">
              <w:rPr>
                <w:rFonts w:ascii="Arial" w:hAnsi="Arial" w:cs="Arial"/>
                <w:color w:val="000000" w:themeColor="text1"/>
                <w:szCs w:val="24"/>
              </w:rPr>
              <w:t>e</w:t>
            </w:r>
            <w:r w:rsidR="006A07C1">
              <w:rPr>
                <w:rFonts w:ascii="Arial" w:hAnsi="Arial" w:cs="Arial"/>
                <w:color w:val="000000" w:themeColor="text1"/>
                <w:szCs w:val="24"/>
              </w:rPr>
              <w:t>rial Ladder Platforms (</w:t>
            </w:r>
            <w:r w:rsidRPr="00F613A5">
              <w:rPr>
                <w:rFonts w:ascii="Arial" w:hAnsi="Arial" w:cs="Arial"/>
                <w:color w:val="000000" w:themeColor="text1"/>
                <w:szCs w:val="24"/>
              </w:rPr>
              <w:t>ALP</w:t>
            </w:r>
            <w:r w:rsidR="006A07C1">
              <w:rPr>
                <w:rFonts w:ascii="Arial" w:hAnsi="Arial" w:cs="Arial"/>
                <w:color w:val="000000" w:themeColor="text1"/>
                <w:szCs w:val="24"/>
              </w:rPr>
              <w:t>)</w:t>
            </w:r>
            <w:r w:rsidRPr="00F613A5">
              <w:rPr>
                <w:rFonts w:ascii="Arial" w:hAnsi="Arial" w:cs="Arial"/>
                <w:color w:val="000000" w:themeColor="text1"/>
                <w:szCs w:val="24"/>
              </w:rPr>
              <w:t xml:space="preserve"> are unavailable, faster deployment than ALPs in some scenarios, strengthened geographic coverage and operational flexibility, and reduced reliance on neighbouring services for high</w:t>
            </w:r>
            <w:r w:rsidRPr="00F613A5">
              <w:rPr>
                <w:rFonts w:ascii="Arial" w:hAnsi="Arial" w:cs="Arial"/>
                <w:color w:val="000000" w:themeColor="text1"/>
                <w:szCs w:val="24"/>
              </w:rPr>
              <w:noBreakHyphen/>
              <w:t>reach support; it also supports workforce upskilling through driver/operator training (including on</w:t>
            </w:r>
            <w:r w:rsidRPr="00F613A5">
              <w:rPr>
                <w:rFonts w:ascii="Arial" w:hAnsi="Arial" w:cs="Arial"/>
                <w:color w:val="000000" w:themeColor="text1"/>
                <w:szCs w:val="24"/>
              </w:rPr>
              <w:noBreakHyphen/>
              <w:t>call and dual</w:t>
            </w:r>
            <w:r w:rsidRPr="00F613A5">
              <w:rPr>
                <w:rFonts w:ascii="Arial" w:hAnsi="Arial" w:cs="Arial"/>
                <w:color w:val="000000" w:themeColor="text1"/>
                <w:szCs w:val="24"/>
              </w:rPr>
              <w:noBreakHyphen/>
              <w:t>contract staff) and contributes to public confidence through visible enhanced capability</w:t>
            </w:r>
            <w:r w:rsidR="00B9791F">
              <w:rPr>
                <w:rFonts w:ascii="Arial" w:hAnsi="Arial" w:cs="Arial"/>
                <w:color w:val="000000" w:themeColor="text1"/>
                <w:szCs w:val="24"/>
              </w:rPr>
              <w:t>.</w:t>
            </w:r>
          </w:p>
          <w:p w14:paraId="4ABC55DD" w14:textId="77777777" w:rsidR="00F613A5" w:rsidRDefault="00F613A5" w:rsidP="00AA3DE8">
            <w:pPr>
              <w:rPr>
                <w:rFonts w:ascii="Arial" w:hAnsi="Arial" w:cs="Arial"/>
                <w:color w:val="000000" w:themeColor="text1"/>
                <w:szCs w:val="24"/>
              </w:rPr>
            </w:pPr>
          </w:p>
          <w:p w14:paraId="2A8FE3B7" w14:textId="27436B3A" w:rsidR="001E724B" w:rsidRDefault="001E724B" w:rsidP="00A22143">
            <w:pPr>
              <w:rPr>
                <w:rFonts w:ascii="Arial" w:hAnsi="Arial" w:cs="Arial"/>
                <w:b/>
                <w:color w:val="000000"/>
              </w:rPr>
            </w:pPr>
            <w:r w:rsidRPr="001E724B">
              <w:rPr>
                <w:rFonts w:ascii="Arial" w:hAnsi="Arial" w:cs="Arial"/>
                <w:b/>
                <w:color w:val="000000"/>
              </w:rPr>
              <w:t xml:space="preserve">£12,000 productivity </w:t>
            </w:r>
            <w:r w:rsidR="0098489E">
              <w:rPr>
                <w:rFonts w:ascii="Arial" w:hAnsi="Arial" w:cs="Arial"/>
                <w:b/>
                <w:color w:val="000000"/>
              </w:rPr>
              <w:t>gain</w:t>
            </w:r>
            <w:r w:rsidR="00923A0F">
              <w:rPr>
                <w:rFonts w:ascii="Arial" w:hAnsi="Arial" w:cs="Arial"/>
                <w:b/>
                <w:color w:val="000000"/>
              </w:rPr>
              <w:t>s</w:t>
            </w:r>
            <w:r w:rsidRPr="001E724B">
              <w:rPr>
                <w:rFonts w:ascii="Arial" w:hAnsi="Arial" w:cs="Arial"/>
                <w:b/>
                <w:color w:val="000000"/>
              </w:rPr>
              <w:t xml:space="preserve"> from digitisation of the </w:t>
            </w:r>
            <w:r w:rsidR="00373401">
              <w:rPr>
                <w:rFonts w:ascii="Arial" w:hAnsi="Arial" w:cs="Arial"/>
                <w:b/>
                <w:color w:val="000000"/>
              </w:rPr>
              <w:t xml:space="preserve">on scene </w:t>
            </w:r>
            <w:r w:rsidR="00373401" w:rsidRPr="00373401">
              <w:rPr>
                <w:rFonts w:ascii="Arial" w:hAnsi="Arial" w:cs="Arial"/>
                <w:b/>
                <w:color w:val="000000"/>
              </w:rPr>
              <w:t xml:space="preserve">incident reporting </w:t>
            </w:r>
            <w:r w:rsidRPr="001E724B">
              <w:rPr>
                <w:rFonts w:ascii="Arial" w:hAnsi="Arial" w:cs="Arial"/>
                <w:b/>
                <w:color w:val="000000"/>
              </w:rPr>
              <w:t>form</w:t>
            </w:r>
          </w:p>
          <w:p w14:paraId="1BF2F50F" w14:textId="7993A530" w:rsidR="00C006C0" w:rsidRDefault="00C006C0">
            <w:pPr>
              <w:rPr>
                <w:szCs w:val="24"/>
              </w:rPr>
            </w:pPr>
            <w:r>
              <w:rPr>
                <w:rFonts w:ascii="Arial" w:hAnsi="Arial" w:cs="Arial"/>
                <w:color w:val="000000"/>
              </w:rPr>
              <w:t>Moving the incident reporting form from paper to a simple electronic version that can be completed at the scene reduces repeat work and avoids missing information. It also means the information can be sent straight to the staff who review and investigate incidents, without needing follow-up calls or re-entering details later. This is estimated to release around 330 hours per year of operational and investigation time, which can be redeployed to assurance and prevention activity. Using a conservative hourly rate, this equates to an indicative £12,000 per year productivity gain, reflecting capacity released rather than a direct reduction in spend.</w:t>
            </w:r>
          </w:p>
          <w:p w14:paraId="35F64406" w14:textId="77777777" w:rsidR="00A22143" w:rsidRDefault="00A22143" w:rsidP="00A22143">
            <w:pPr>
              <w:rPr>
                <w:rFonts w:ascii="Arial" w:hAnsi="Arial" w:cs="Arial"/>
                <w:color w:val="000000"/>
                <w:szCs w:val="24"/>
              </w:rPr>
            </w:pPr>
          </w:p>
          <w:p w14:paraId="439C6C3B" w14:textId="697691EA" w:rsidR="00A22143" w:rsidRDefault="00A22143" w:rsidP="00A22143">
            <w:pPr>
              <w:rPr>
                <w:szCs w:val="24"/>
              </w:rPr>
            </w:pPr>
            <w:r>
              <w:rPr>
                <w:rFonts w:ascii="Arial" w:hAnsi="Arial" w:cs="Arial"/>
                <w:b/>
                <w:color w:val="000000"/>
              </w:rPr>
              <w:t xml:space="preserve">£9,000 </w:t>
            </w:r>
            <w:r w:rsidR="0098489E">
              <w:rPr>
                <w:rFonts w:ascii="Arial" w:hAnsi="Arial" w:cs="Arial"/>
                <w:b/>
                <w:color w:val="000000"/>
              </w:rPr>
              <w:t>productivity gain</w:t>
            </w:r>
            <w:r w:rsidR="00923A0F">
              <w:rPr>
                <w:rFonts w:ascii="Arial" w:hAnsi="Arial" w:cs="Arial"/>
                <w:b/>
                <w:color w:val="000000"/>
              </w:rPr>
              <w:t>s</w:t>
            </w:r>
            <w:r w:rsidR="0098489E">
              <w:rPr>
                <w:rFonts w:ascii="Arial" w:hAnsi="Arial" w:cs="Arial"/>
                <w:b/>
                <w:color w:val="000000"/>
              </w:rPr>
              <w:t xml:space="preserve"> from </w:t>
            </w:r>
            <w:r w:rsidR="0092203C" w:rsidRPr="001E724B">
              <w:rPr>
                <w:rFonts w:ascii="Arial" w:hAnsi="Arial" w:cs="Arial"/>
                <w:b/>
                <w:color w:val="000000"/>
              </w:rPr>
              <w:t xml:space="preserve">digitisation of </w:t>
            </w:r>
            <w:r w:rsidR="00BA28DA">
              <w:rPr>
                <w:rFonts w:ascii="Arial" w:hAnsi="Arial" w:cs="Arial"/>
                <w:b/>
                <w:color w:val="000000"/>
              </w:rPr>
              <w:t>Learning and Development Centre (</w:t>
            </w:r>
            <w:r w:rsidR="0092203C" w:rsidRPr="0092203C">
              <w:rPr>
                <w:rFonts w:ascii="Arial" w:hAnsi="Arial" w:cs="Arial"/>
                <w:b/>
                <w:color w:val="000000"/>
              </w:rPr>
              <w:t>LDC</w:t>
            </w:r>
            <w:r w:rsidR="00BA28DA">
              <w:rPr>
                <w:rFonts w:ascii="Arial" w:hAnsi="Arial" w:cs="Arial"/>
                <w:b/>
                <w:color w:val="000000"/>
              </w:rPr>
              <w:t>)</w:t>
            </w:r>
            <w:r w:rsidR="0092203C" w:rsidRPr="0092203C">
              <w:rPr>
                <w:rFonts w:ascii="Arial" w:hAnsi="Arial" w:cs="Arial"/>
                <w:b/>
                <w:color w:val="000000"/>
              </w:rPr>
              <w:t xml:space="preserve"> facilities</w:t>
            </w:r>
            <w:r w:rsidR="00087372">
              <w:rPr>
                <w:rFonts w:ascii="Arial" w:hAnsi="Arial" w:cs="Arial"/>
                <w:b/>
                <w:color w:val="000000"/>
              </w:rPr>
              <w:t xml:space="preserve"> bookings</w:t>
            </w:r>
          </w:p>
          <w:p w14:paraId="75EEBF8A" w14:textId="09B7FE43" w:rsidR="007E0AC1" w:rsidRPr="00C943ED" w:rsidRDefault="00B700FC" w:rsidP="00AA3DE8">
            <w:pPr>
              <w:rPr>
                <w:szCs w:val="24"/>
              </w:rPr>
            </w:pPr>
            <w:r w:rsidRPr="00B700FC">
              <w:rPr>
                <w:rFonts w:ascii="Arial" w:hAnsi="Arial" w:cs="Arial"/>
                <w:color w:val="000000"/>
              </w:rPr>
              <w:t>Introducing an online booking system for the Learning and Development Centre’s training facilities replaces emails, spreadsheets and manual coordination with one simple process. This reduces the time staff spend arranging rooms and equipment, and makes it easier to see what is booked and when. This is estimated to release around 300 hours of administrative time each year, which can be redeployed to higher</w:t>
            </w:r>
            <w:r w:rsidRPr="00B700FC">
              <w:rPr>
                <w:rFonts w:ascii="Cambria Math" w:hAnsi="Cambria Math" w:cs="Cambria Math"/>
                <w:color w:val="000000"/>
              </w:rPr>
              <w:t>‑</w:t>
            </w:r>
            <w:r w:rsidRPr="00B700FC">
              <w:rPr>
                <w:rFonts w:ascii="Arial" w:hAnsi="Arial" w:cs="Arial"/>
                <w:color w:val="000000"/>
              </w:rPr>
              <w:t>value training support. Using a conservative hourly rate, this equates to an indicative £9,000 per year productivity gain, reflecting capacity released rather than a direct reduction in spend.</w:t>
            </w:r>
          </w:p>
        </w:tc>
      </w:tr>
    </w:tbl>
    <w:p w14:paraId="1F3C1A00" w14:textId="77777777" w:rsidR="004620EC" w:rsidRPr="00AA3DE8" w:rsidRDefault="004620EC" w:rsidP="6218B4DB">
      <w:pPr>
        <w:rPr>
          <w:rFonts w:ascii="Arial" w:hAnsi="Arial" w:cs="Arial"/>
          <w:b/>
          <w:bCs/>
          <w:color w:val="000000" w:themeColor="text1"/>
          <w:szCs w:val="24"/>
          <w:highlight w:val="yellow"/>
        </w:rPr>
      </w:pPr>
    </w:p>
    <w:p w14:paraId="4467D691" w14:textId="220BFCEF" w:rsidR="004620EC" w:rsidRPr="00AA3DE8" w:rsidRDefault="004620EC" w:rsidP="6218B4DB">
      <w:pPr>
        <w:rPr>
          <w:rFonts w:ascii="Arial" w:hAnsi="Arial" w:cs="Arial"/>
          <w:b/>
          <w:bCs/>
          <w:color w:val="000000" w:themeColor="text1"/>
          <w:szCs w:val="24"/>
          <w:highlight w:val="yellow"/>
        </w:rPr>
      </w:pPr>
      <w:r w:rsidRPr="00AA3DE8">
        <w:rPr>
          <w:rFonts w:ascii="Arial" w:hAnsi="Arial" w:cs="Arial"/>
          <w:b/>
          <w:bCs/>
          <w:szCs w:val="24"/>
        </w:rPr>
        <w:t>Resourcing</w:t>
      </w:r>
    </w:p>
    <w:p w14:paraId="3FEBFBA7" w14:textId="77777777" w:rsidR="0062718B" w:rsidRPr="00AA3DE8" w:rsidRDefault="0062718B" w:rsidP="6218B4DB">
      <w:pPr>
        <w:rPr>
          <w:rFonts w:ascii="Arial" w:hAnsi="Arial" w:cs="Arial"/>
          <w:b/>
          <w:bCs/>
          <w:color w:val="000000" w:themeColor="text1"/>
          <w:szCs w:val="24"/>
          <w:highlight w:val="yellow"/>
        </w:rPr>
      </w:pPr>
    </w:p>
    <w:tbl>
      <w:tblPr>
        <w:tblStyle w:val="TableGrid"/>
        <w:tblW w:w="0" w:type="auto"/>
        <w:jc w:val="center"/>
        <w:tblLook w:val="04A0" w:firstRow="1" w:lastRow="0" w:firstColumn="1" w:lastColumn="0" w:noHBand="0" w:noVBand="1"/>
      </w:tblPr>
      <w:tblGrid>
        <w:gridCol w:w="8303"/>
      </w:tblGrid>
      <w:tr w:rsidR="004620EC" w:rsidRPr="008A7A79" w14:paraId="5A020F2A" w14:textId="77777777" w:rsidTr="31D34A27">
        <w:trPr>
          <w:jc w:val="center"/>
        </w:trPr>
        <w:tc>
          <w:tcPr>
            <w:tcW w:w="8303" w:type="dxa"/>
            <w:shd w:val="clear" w:color="auto" w:fill="F2F2F2" w:themeFill="background1" w:themeFillShade="F2"/>
          </w:tcPr>
          <w:p w14:paraId="3649E1D4" w14:textId="77777777" w:rsidR="004620EC" w:rsidRDefault="000266F6" w:rsidP="000266F6">
            <w:pPr>
              <w:rPr>
                <w:rFonts w:ascii="Arial" w:hAnsi="Arial" w:cs="Arial"/>
                <w:b/>
                <w:bCs/>
                <w:color w:val="000000" w:themeColor="text1"/>
              </w:rPr>
            </w:pPr>
            <w:r w:rsidRPr="008A7A79">
              <w:rPr>
                <w:rFonts w:ascii="Arial" w:hAnsi="Arial" w:cs="Arial"/>
                <w:b/>
                <w:bCs/>
                <w:color w:val="000000" w:themeColor="text1"/>
              </w:rPr>
              <w:t>Training staff in new skills</w:t>
            </w:r>
          </w:p>
          <w:p w14:paraId="11024EDA" w14:textId="5FC2321D" w:rsidR="003A769E" w:rsidRPr="003A769E" w:rsidRDefault="003A769E" w:rsidP="000266F6">
            <w:pPr>
              <w:rPr>
                <w:rFonts w:ascii="Arial" w:hAnsi="Arial" w:cs="Arial"/>
                <w:color w:val="000000" w:themeColor="text1"/>
              </w:rPr>
            </w:pPr>
            <w:r>
              <w:rPr>
                <w:rFonts w:ascii="Arial" w:hAnsi="Arial" w:cs="Arial"/>
                <w:color w:val="000000" w:themeColor="text1"/>
              </w:rPr>
              <w:t>T</w:t>
            </w:r>
            <w:r w:rsidRPr="003A769E">
              <w:rPr>
                <w:rFonts w:ascii="Arial" w:hAnsi="Arial" w:cs="Arial"/>
                <w:color w:val="000000" w:themeColor="text1"/>
              </w:rPr>
              <w:t>he fol</w:t>
            </w:r>
            <w:r w:rsidRPr="007D0A88">
              <w:rPr>
                <w:rFonts w:ascii="Arial" w:hAnsi="Arial" w:cs="Arial"/>
                <w:color w:val="000000" w:themeColor="text1"/>
              </w:rPr>
              <w:t xml:space="preserve">lowing initiatives demonstrate how </w:t>
            </w:r>
            <w:r w:rsidR="002F7540">
              <w:rPr>
                <w:rFonts w:ascii="Arial" w:hAnsi="Arial" w:cs="Arial"/>
                <w:color w:val="000000" w:themeColor="text1"/>
              </w:rPr>
              <w:t>the Service</w:t>
            </w:r>
            <w:r w:rsidRPr="007D0A88">
              <w:rPr>
                <w:rFonts w:ascii="Arial" w:hAnsi="Arial" w:cs="Arial"/>
                <w:color w:val="000000" w:themeColor="text1"/>
              </w:rPr>
              <w:t xml:space="preserve"> has </w:t>
            </w:r>
            <w:r w:rsidR="007D0A88" w:rsidRPr="007D0A88">
              <w:rPr>
                <w:rFonts w:ascii="Arial" w:hAnsi="Arial" w:cs="Arial"/>
                <w:color w:val="000000" w:themeColor="text1"/>
              </w:rPr>
              <w:t xml:space="preserve">provided </w:t>
            </w:r>
            <w:r w:rsidR="007D0A88" w:rsidRPr="00ED3676">
              <w:rPr>
                <w:rFonts w:ascii="Arial" w:hAnsi="Arial" w:cs="Arial"/>
                <w:color w:val="000000" w:themeColor="text1"/>
                <w:szCs w:val="24"/>
              </w:rPr>
              <w:t xml:space="preserve">Productivity Gains </w:t>
            </w:r>
            <w:r w:rsidRPr="003A769E">
              <w:rPr>
                <w:rFonts w:ascii="Arial" w:hAnsi="Arial" w:cs="Arial"/>
                <w:color w:val="000000" w:themeColor="text1"/>
              </w:rPr>
              <w:t>increased workforce capability and flexibility</w:t>
            </w:r>
            <w:r w:rsidR="00A369D7">
              <w:rPr>
                <w:rFonts w:ascii="Arial" w:hAnsi="Arial" w:cs="Arial"/>
                <w:color w:val="000000" w:themeColor="text1"/>
              </w:rPr>
              <w:t xml:space="preserve"> during 2025/26</w:t>
            </w:r>
            <w:r w:rsidR="00E553CC">
              <w:rPr>
                <w:rFonts w:ascii="Arial" w:hAnsi="Arial" w:cs="Arial"/>
                <w:color w:val="000000" w:themeColor="text1"/>
              </w:rPr>
              <w:t xml:space="preserve">, </w:t>
            </w:r>
            <w:r w:rsidRPr="003A769E">
              <w:rPr>
                <w:rFonts w:ascii="Arial" w:hAnsi="Arial" w:cs="Arial"/>
                <w:color w:val="000000" w:themeColor="text1"/>
              </w:rPr>
              <w:t>enabling staff to undertake a wider range of outcome</w:t>
            </w:r>
            <w:r w:rsidRPr="003A769E">
              <w:rPr>
                <w:rFonts w:ascii="Cambria Math" w:hAnsi="Cambria Math" w:cs="Cambria Math"/>
                <w:color w:val="000000" w:themeColor="text1"/>
              </w:rPr>
              <w:t>‑</w:t>
            </w:r>
            <w:r w:rsidRPr="003A769E">
              <w:rPr>
                <w:rFonts w:ascii="Arial" w:hAnsi="Arial" w:cs="Arial"/>
                <w:color w:val="000000" w:themeColor="text1"/>
              </w:rPr>
              <w:t>based activities and release capacity for prevention, protection and response without increasing overall inputs.</w:t>
            </w:r>
          </w:p>
          <w:p w14:paraId="630D4412" w14:textId="08003152" w:rsidR="005666E1" w:rsidRDefault="008A7A79" w:rsidP="00B45AC3">
            <w:pPr>
              <w:pStyle w:val="ListParagraph"/>
              <w:numPr>
                <w:ilvl w:val="0"/>
                <w:numId w:val="5"/>
              </w:numPr>
              <w:rPr>
                <w:rFonts w:ascii="Arial" w:hAnsi="Arial" w:cs="Arial"/>
                <w:color w:val="000000" w:themeColor="text1"/>
              </w:rPr>
            </w:pPr>
            <w:r w:rsidRPr="005666E1">
              <w:rPr>
                <w:rFonts w:ascii="Arial" w:hAnsi="Arial" w:cs="Arial"/>
                <w:b/>
                <w:bCs/>
                <w:color w:val="000000" w:themeColor="text1"/>
              </w:rPr>
              <w:t>Local incident command workshops</w:t>
            </w:r>
            <w:r w:rsidR="007D624D" w:rsidRPr="005666E1">
              <w:rPr>
                <w:rFonts w:ascii="Arial" w:hAnsi="Arial" w:cs="Arial"/>
                <w:b/>
                <w:bCs/>
                <w:color w:val="000000" w:themeColor="text1"/>
              </w:rPr>
              <w:t xml:space="preserve">: </w:t>
            </w:r>
            <w:r w:rsidRPr="005666E1">
              <w:rPr>
                <w:rFonts w:ascii="Arial" w:hAnsi="Arial" w:cs="Arial"/>
                <w:color w:val="000000" w:themeColor="text1"/>
              </w:rPr>
              <w:t>Incident command workshops are now held locally for on</w:t>
            </w:r>
            <w:r w:rsidRPr="005666E1">
              <w:rPr>
                <w:rFonts w:ascii="Cambria Math" w:hAnsi="Cambria Math" w:cs="Cambria Math"/>
                <w:color w:val="000000" w:themeColor="text1"/>
              </w:rPr>
              <w:t>‑</w:t>
            </w:r>
            <w:r w:rsidRPr="005666E1">
              <w:rPr>
                <w:rFonts w:ascii="Arial" w:hAnsi="Arial" w:cs="Arial"/>
                <w:color w:val="000000" w:themeColor="text1"/>
              </w:rPr>
              <w:t>call crews, reducing travel and time commitments. Between April 2024 and February 2025, 14 sessions were delivered at on</w:t>
            </w:r>
            <w:r w:rsidRPr="005666E1">
              <w:rPr>
                <w:rFonts w:ascii="Cambria Math" w:hAnsi="Cambria Math" w:cs="Cambria Math"/>
                <w:color w:val="000000" w:themeColor="text1"/>
              </w:rPr>
              <w:t>‑</w:t>
            </w:r>
            <w:r w:rsidRPr="005666E1">
              <w:rPr>
                <w:rFonts w:ascii="Arial" w:hAnsi="Arial" w:cs="Arial"/>
                <w:color w:val="000000" w:themeColor="text1"/>
              </w:rPr>
              <w:t>call stations and supported 59 staff. Based on conservative travel time assumptions, this releases approximately 148 hours per annum (c. £</w:t>
            </w:r>
            <w:r w:rsidR="002F7540">
              <w:rPr>
                <w:rFonts w:ascii="Arial" w:hAnsi="Arial" w:cs="Arial"/>
                <w:color w:val="000000" w:themeColor="text1"/>
              </w:rPr>
              <w:t>4,400</w:t>
            </w:r>
            <w:r w:rsidRPr="005666E1">
              <w:rPr>
                <w:rFonts w:ascii="Arial" w:hAnsi="Arial" w:cs="Arial"/>
                <w:color w:val="000000" w:themeColor="text1"/>
              </w:rPr>
              <w:t xml:space="preserve"> productivity</w:t>
            </w:r>
            <w:r w:rsidR="00BC08B0">
              <w:rPr>
                <w:rFonts w:ascii="Arial" w:hAnsi="Arial" w:cs="Arial"/>
                <w:color w:val="000000" w:themeColor="text1"/>
              </w:rPr>
              <w:t xml:space="preserve"> gain</w:t>
            </w:r>
            <w:r w:rsidRPr="005666E1">
              <w:rPr>
                <w:rFonts w:ascii="Arial" w:hAnsi="Arial" w:cs="Arial"/>
                <w:color w:val="000000" w:themeColor="text1"/>
              </w:rPr>
              <w:t xml:space="preserve">), which is being redirected to operational competence and assurance activity. </w:t>
            </w:r>
          </w:p>
          <w:p w14:paraId="1A2D3A0D" w14:textId="57A819B9" w:rsidR="00AC5628" w:rsidRDefault="008A7A79" w:rsidP="00B45AC3">
            <w:pPr>
              <w:pStyle w:val="ListParagraph"/>
              <w:numPr>
                <w:ilvl w:val="0"/>
                <w:numId w:val="5"/>
              </w:numPr>
              <w:rPr>
                <w:rFonts w:ascii="Arial" w:hAnsi="Arial" w:cs="Arial"/>
                <w:color w:val="000000" w:themeColor="text1"/>
              </w:rPr>
            </w:pPr>
            <w:r w:rsidRPr="00AC5628">
              <w:rPr>
                <w:rFonts w:ascii="Arial" w:hAnsi="Arial" w:cs="Arial"/>
                <w:b/>
                <w:bCs/>
                <w:color w:val="000000" w:themeColor="text1"/>
              </w:rPr>
              <w:lastRenderedPageBreak/>
              <w:t>Revised incident command training model</w:t>
            </w:r>
            <w:r w:rsidR="00AC5628" w:rsidRPr="00AC5628">
              <w:rPr>
                <w:rFonts w:ascii="Arial" w:hAnsi="Arial" w:cs="Arial"/>
                <w:b/>
                <w:bCs/>
                <w:color w:val="000000" w:themeColor="text1"/>
              </w:rPr>
              <w:t>:</w:t>
            </w:r>
            <w:r w:rsidRPr="00AC5628">
              <w:rPr>
                <w:rFonts w:ascii="Arial" w:hAnsi="Arial" w:cs="Arial"/>
                <w:b/>
                <w:bCs/>
                <w:color w:val="000000" w:themeColor="text1"/>
              </w:rPr>
              <w:t xml:space="preserve"> </w:t>
            </w:r>
            <w:r w:rsidRPr="00AC5628">
              <w:rPr>
                <w:rFonts w:ascii="Arial" w:hAnsi="Arial" w:cs="Arial"/>
                <w:color w:val="000000" w:themeColor="text1"/>
              </w:rPr>
              <w:t xml:space="preserve">The incident command training model has been revised so participants do not need to complete all learning elements before attending the course, improving flexibility and enabling earlier operational </w:t>
            </w:r>
            <w:r w:rsidR="00235FCB">
              <w:rPr>
                <w:rFonts w:ascii="Arial" w:hAnsi="Arial" w:cs="Arial"/>
                <w:color w:val="000000" w:themeColor="text1"/>
              </w:rPr>
              <w:t>deployment</w:t>
            </w:r>
            <w:r w:rsidRPr="00AC5628">
              <w:rPr>
                <w:rFonts w:ascii="Arial" w:hAnsi="Arial" w:cs="Arial"/>
                <w:color w:val="000000" w:themeColor="text1"/>
              </w:rPr>
              <w:t>. Qualification throughput has improved (27 staff achieving Officer in Charge since April 2024 vs 20 pre</w:t>
            </w:r>
            <w:r w:rsidRPr="00AC5628">
              <w:rPr>
                <w:rFonts w:ascii="Cambria Math" w:hAnsi="Cambria Math" w:cs="Cambria Math"/>
                <w:color w:val="000000" w:themeColor="text1"/>
              </w:rPr>
              <w:t>‑</w:t>
            </w:r>
            <w:r w:rsidRPr="00AC5628">
              <w:rPr>
                <w:rFonts w:ascii="Arial" w:hAnsi="Arial" w:cs="Arial"/>
                <w:color w:val="000000" w:themeColor="text1"/>
              </w:rPr>
              <w:t>change, a 35% increase) and on</w:t>
            </w:r>
            <w:r w:rsidRPr="00AC5628">
              <w:rPr>
                <w:rFonts w:ascii="Cambria Math" w:hAnsi="Cambria Math" w:cs="Cambria Math"/>
                <w:color w:val="000000" w:themeColor="text1"/>
              </w:rPr>
              <w:t>‑</w:t>
            </w:r>
            <w:r w:rsidRPr="00AC5628">
              <w:rPr>
                <w:rFonts w:ascii="Arial" w:hAnsi="Arial" w:cs="Arial"/>
                <w:color w:val="000000" w:themeColor="text1"/>
              </w:rPr>
              <w:t>call appliance availability has improved. Using conservative assumptions on additional operational availability/capacity released, this equates to c. 960 hours per annum (c. £28</w:t>
            </w:r>
            <w:r w:rsidR="00235FCB">
              <w:rPr>
                <w:rFonts w:ascii="Arial" w:hAnsi="Arial" w:cs="Arial"/>
                <w:color w:val="000000" w:themeColor="text1"/>
              </w:rPr>
              <w:t>,800</w:t>
            </w:r>
            <w:r w:rsidRPr="00AC5628">
              <w:rPr>
                <w:rFonts w:ascii="Arial" w:hAnsi="Arial" w:cs="Arial"/>
                <w:color w:val="000000" w:themeColor="text1"/>
              </w:rPr>
              <w:t xml:space="preserve"> productivity</w:t>
            </w:r>
            <w:r w:rsidR="00235FCB">
              <w:rPr>
                <w:rFonts w:ascii="Arial" w:hAnsi="Arial" w:cs="Arial"/>
                <w:color w:val="000000" w:themeColor="text1"/>
              </w:rPr>
              <w:t xml:space="preserve"> gain</w:t>
            </w:r>
            <w:r w:rsidRPr="00AC5628">
              <w:rPr>
                <w:rFonts w:ascii="Arial" w:hAnsi="Arial" w:cs="Arial"/>
                <w:color w:val="000000" w:themeColor="text1"/>
              </w:rPr>
              <w:t xml:space="preserve">). </w:t>
            </w:r>
          </w:p>
          <w:p w14:paraId="4ADC123C" w14:textId="01EE8AF9" w:rsidR="00AC5628" w:rsidRDefault="008A7A79" w:rsidP="00B45AC3">
            <w:pPr>
              <w:pStyle w:val="ListParagraph"/>
              <w:numPr>
                <w:ilvl w:val="0"/>
                <w:numId w:val="5"/>
              </w:numPr>
              <w:rPr>
                <w:rFonts w:ascii="Arial" w:hAnsi="Arial" w:cs="Arial"/>
                <w:color w:val="000000" w:themeColor="text1"/>
              </w:rPr>
            </w:pPr>
            <w:r w:rsidRPr="00AC5628">
              <w:rPr>
                <w:rFonts w:ascii="Arial" w:hAnsi="Arial" w:cs="Arial"/>
                <w:b/>
                <w:bCs/>
                <w:color w:val="000000" w:themeColor="text1"/>
              </w:rPr>
              <w:t>BA to BA Team Leader faster route (On</w:t>
            </w:r>
            <w:r w:rsidRPr="00AC5628">
              <w:rPr>
                <w:rFonts w:ascii="Cambria Math" w:hAnsi="Cambria Math" w:cs="Cambria Math"/>
                <w:b/>
                <w:bCs/>
                <w:color w:val="000000" w:themeColor="text1"/>
              </w:rPr>
              <w:t>‑</w:t>
            </w:r>
            <w:r w:rsidRPr="00AC5628">
              <w:rPr>
                <w:rFonts w:ascii="Arial" w:hAnsi="Arial" w:cs="Arial"/>
                <w:b/>
                <w:bCs/>
                <w:color w:val="000000" w:themeColor="text1"/>
              </w:rPr>
              <w:t>Call)</w:t>
            </w:r>
            <w:r w:rsidR="00AC5628" w:rsidRPr="00AC5628">
              <w:rPr>
                <w:rFonts w:ascii="Arial" w:hAnsi="Arial" w:cs="Arial"/>
                <w:b/>
                <w:bCs/>
                <w:color w:val="000000" w:themeColor="text1"/>
              </w:rPr>
              <w:t xml:space="preserve">: </w:t>
            </w:r>
            <w:r w:rsidRPr="00AC5628">
              <w:rPr>
                <w:rFonts w:ascii="Arial" w:hAnsi="Arial" w:cs="Arial"/>
                <w:color w:val="000000" w:themeColor="text1"/>
              </w:rPr>
              <w:t>The timeframe for achieving BA and BA Team Leader skills has been shortened for on</w:t>
            </w:r>
            <w:r w:rsidRPr="00AC5628">
              <w:rPr>
                <w:rFonts w:ascii="Cambria Math" w:hAnsi="Cambria Math" w:cs="Cambria Math"/>
                <w:color w:val="000000" w:themeColor="text1"/>
              </w:rPr>
              <w:t>‑</w:t>
            </w:r>
            <w:r w:rsidRPr="00AC5628">
              <w:rPr>
                <w:rFonts w:ascii="Arial" w:hAnsi="Arial" w:cs="Arial"/>
                <w:color w:val="000000" w:themeColor="text1"/>
              </w:rPr>
              <w:t>call firefighters, supported by increased capacity on the wholetime apprentice BA course, enabling quicker progression and increased resilience of critical skills. This strengthens operational capability and reduces constraints on on</w:t>
            </w:r>
            <w:r w:rsidRPr="00AC5628">
              <w:rPr>
                <w:rFonts w:ascii="Cambria Math" w:hAnsi="Cambria Math" w:cs="Cambria Math"/>
                <w:color w:val="000000" w:themeColor="text1"/>
              </w:rPr>
              <w:t>‑</w:t>
            </w:r>
            <w:r w:rsidRPr="00AC5628">
              <w:rPr>
                <w:rFonts w:ascii="Arial" w:hAnsi="Arial" w:cs="Arial"/>
                <w:color w:val="000000" w:themeColor="text1"/>
              </w:rPr>
              <w:t>call crewing. Conservatively valued, this releases c. 900 hours per annum of capability/availability benefit (c. £27.0k productivity</w:t>
            </w:r>
            <w:r w:rsidR="001B3B06" w:rsidRPr="001B3B06">
              <w:rPr>
                <w:rFonts w:ascii="Arial" w:hAnsi="Arial" w:cs="Arial"/>
                <w:color w:val="000000" w:themeColor="text1"/>
              </w:rPr>
              <w:t xml:space="preserve"> gain</w:t>
            </w:r>
            <w:r w:rsidRPr="00AC5628">
              <w:rPr>
                <w:rFonts w:ascii="Arial" w:hAnsi="Arial" w:cs="Arial"/>
                <w:color w:val="000000" w:themeColor="text1"/>
              </w:rPr>
              <w:t>).</w:t>
            </w:r>
          </w:p>
          <w:p w14:paraId="29D12D21" w14:textId="42027C91" w:rsidR="00584B80" w:rsidRDefault="00715F7C" w:rsidP="00584B80">
            <w:pPr>
              <w:pStyle w:val="ListParagraph"/>
              <w:numPr>
                <w:ilvl w:val="0"/>
                <w:numId w:val="5"/>
              </w:numPr>
              <w:contextualSpacing w:val="0"/>
              <w:rPr>
                <w:color w:val="000000"/>
                <w:szCs w:val="24"/>
              </w:rPr>
            </w:pPr>
            <w:r>
              <w:rPr>
                <w:rFonts w:ascii="Arial" w:hAnsi="Arial" w:cs="Arial"/>
                <w:b/>
                <w:bCs/>
                <w:color w:val="000000"/>
              </w:rPr>
              <w:t>Learning Management System (</w:t>
            </w:r>
            <w:r w:rsidR="00584B80">
              <w:rPr>
                <w:rFonts w:ascii="Arial" w:hAnsi="Arial" w:cs="Arial"/>
                <w:b/>
                <w:bCs/>
                <w:color w:val="000000"/>
              </w:rPr>
              <w:t>LMS</w:t>
            </w:r>
            <w:r>
              <w:rPr>
                <w:rFonts w:ascii="Arial" w:hAnsi="Arial" w:cs="Arial"/>
                <w:b/>
                <w:bCs/>
                <w:color w:val="000000"/>
              </w:rPr>
              <w:t>)</w:t>
            </w:r>
            <w:r w:rsidR="00584B80">
              <w:rPr>
                <w:rFonts w:ascii="Arial" w:hAnsi="Arial" w:cs="Arial"/>
                <w:b/>
                <w:bCs/>
                <w:color w:val="000000"/>
              </w:rPr>
              <w:t xml:space="preserve"> evidence improvements (reduced bureaucracy): </w:t>
            </w:r>
            <w:r w:rsidR="00584B80">
              <w:rPr>
                <w:rFonts w:ascii="Arial" w:hAnsi="Arial" w:cs="Arial"/>
                <w:color w:val="000000"/>
              </w:rPr>
              <w:t>The Learning Management System has improved eLearning, skills maintenance and development programme administration, including reducing required competency elements and enabling evidence submission in multiple formats. This reduces bureaucracy for staff and managers while strengthening assurance through better quality records. Based on workforce scale and conservative admin-time savings assumptions, this releases c. 800 hours per annum (c. £24</w:t>
            </w:r>
            <w:r>
              <w:rPr>
                <w:rFonts w:ascii="Arial" w:hAnsi="Arial" w:cs="Arial"/>
                <w:color w:val="000000"/>
              </w:rPr>
              <w:t>,000</w:t>
            </w:r>
            <w:r w:rsidR="00584B80">
              <w:rPr>
                <w:rFonts w:ascii="Arial" w:hAnsi="Arial" w:cs="Arial"/>
                <w:color w:val="000000"/>
              </w:rPr>
              <w:t xml:space="preserve"> productivity</w:t>
            </w:r>
            <w:r>
              <w:rPr>
                <w:rFonts w:ascii="Arial" w:hAnsi="Arial" w:cs="Arial"/>
                <w:color w:val="000000"/>
              </w:rPr>
              <w:t xml:space="preserve"> gain</w:t>
            </w:r>
            <w:r w:rsidR="00584B80">
              <w:rPr>
                <w:rFonts w:ascii="Arial" w:hAnsi="Arial" w:cs="Arial"/>
                <w:color w:val="000000"/>
              </w:rPr>
              <w:t>).</w:t>
            </w:r>
          </w:p>
          <w:p w14:paraId="14573DD0" w14:textId="14F7AC96" w:rsidR="007E3244" w:rsidRDefault="008A7A79" w:rsidP="00B45AC3">
            <w:pPr>
              <w:pStyle w:val="ListParagraph"/>
              <w:numPr>
                <w:ilvl w:val="0"/>
                <w:numId w:val="5"/>
              </w:numPr>
              <w:rPr>
                <w:rFonts w:ascii="Arial" w:hAnsi="Arial" w:cs="Arial"/>
                <w:color w:val="000000" w:themeColor="text1"/>
              </w:rPr>
            </w:pPr>
            <w:r w:rsidRPr="007E3244">
              <w:rPr>
                <w:rFonts w:ascii="Arial" w:hAnsi="Arial" w:cs="Arial"/>
                <w:b/>
                <w:bCs/>
                <w:color w:val="000000" w:themeColor="text1"/>
              </w:rPr>
              <w:t>Initial Emergency Care Training (remote day 1 + hub model)</w:t>
            </w:r>
            <w:r w:rsidR="007E3244" w:rsidRPr="007E3244">
              <w:rPr>
                <w:rFonts w:ascii="Arial" w:hAnsi="Arial" w:cs="Arial"/>
                <w:b/>
                <w:bCs/>
                <w:color w:val="000000" w:themeColor="text1"/>
              </w:rPr>
              <w:t xml:space="preserve">: </w:t>
            </w:r>
            <w:r w:rsidRPr="007E3244">
              <w:rPr>
                <w:rFonts w:ascii="Arial" w:hAnsi="Arial" w:cs="Arial"/>
                <w:color w:val="000000" w:themeColor="text1"/>
              </w:rPr>
              <w:t>The first day of the four</w:t>
            </w:r>
            <w:r w:rsidRPr="007E3244">
              <w:rPr>
                <w:rFonts w:ascii="Cambria Math" w:hAnsi="Cambria Math" w:cs="Cambria Math"/>
                <w:color w:val="000000" w:themeColor="text1"/>
              </w:rPr>
              <w:t>‑</w:t>
            </w:r>
            <w:r w:rsidRPr="007E3244">
              <w:rPr>
                <w:rFonts w:ascii="Arial" w:hAnsi="Arial" w:cs="Arial"/>
                <w:color w:val="000000" w:themeColor="text1"/>
              </w:rPr>
              <w:t>day Initial Emergency Care course has been converted to a remote session, and delivery at on</w:t>
            </w:r>
            <w:r w:rsidRPr="007E3244">
              <w:rPr>
                <w:rFonts w:ascii="Cambria Math" w:hAnsi="Cambria Math" w:cs="Cambria Math"/>
                <w:color w:val="000000" w:themeColor="text1"/>
              </w:rPr>
              <w:t>‑</w:t>
            </w:r>
            <w:r w:rsidRPr="007E3244">
              <w:rPr>
                <w:rFonts w:ascii="Arial" w:hAnsi="Arial" w:cs="Arial"/>
                <w:color w:val="000000" w:themeColor="text1"/>
              </w:rPr>
              <w:t>call stations via a hub model is being trialled to maintain standards while reducing travel time and associated costs. This reduces abstraction and travel for on</w:t>
            </w:r>
            <w:r w:rsidRPr="007E3244">
              <w:rPr>
                <w:rFonts w:ascii="Cambria Math" w:hAnsi="Cambria Math" w:cs="Cambria Math"/>
                <w:color w:val="000000" w:themeColor="text1"/>
              </w:rPr>
              <w:t>‑</w:t>
            </w:r>
            <w:r w:rsidRPr="007E3244">
              <w:rPr>
                <w:rFonts w:ascii="Arial" w:hAnsi="Arial" w:cs="Arial"/>
                <w:color w:val="000000" w:themeColor="text1"/>
              </w:rPr>
              <w:t>call staff and improves accessibility. Conservatively valued, this releases c. 144 hours per annum (c. £4</w:t>
            </w:r>
            <w:r w:rsidR="00715F7C">
              <w:rPr>
                <w:rFonts w:ascii="Arial" w:hAnsi="Arial" w:cs="Arial"/>
                <w:color w:val="000000" w:themeColor="text1"/>
              </w:rPr>
              <w:t>,300</w:t>
            </w:r>
            <w:r w:rsidRPr="007E3244">
              <w:rPr>
                <w:rFonts w:ascii="Arial" w:hAnsi="Arial" w:cs="Arial"/>
                <w:color w:val="000000" w:themeColor="text1"/>
              </w:rPr>
              <w:t xml:space="preserve"> productivity</w:t>
            </w:r>
            <w:r w:rsidR="00715F7C">
              <w:rPr>
                <w:rFonts w:ascii="Arial" w:hAnsi="Arial" w:cs="Arial"/>
                <w:color w:val="000000" w:themeColor="text1"/>
              </w:rPr>
              <w:t xml:space="preserve"> gains</w:t>
            </w:r>
            <w:r w:rsidRPr="007E3244">
              <w:rPr>
                <w:rFonts w:ascii="Arial" w:hAnsi="Arial" w:cs="Arial"/>
                <w:color w:val="000000" w:themeColor="text1"/>
              </w:rPr>
              <w:t xml:space="preserve">). </w:t>
            </w:r>
          </w:p>
          <w:p w14:paraId="66506E3D" w14:textId="4FD40F91" w:rsidR="00A369D7" w:rsidRDefault="008A7A79" w:rsidP="00B45AC3">
            <w:pPr>
              <w:pStyle w:val="ListParagraph"/>
              <w:numPr>
                <w:ilvl w:val="0"/>
                <w:numId w:val="5"/>
              </w:numPr>
              <w:rPr>
                <w:rFonts w:ascii="Arial" w:hAnsi="Arial" w:cs="Arial"/>
                <w:color w:val="000000" w:themeColor="text1"/>
              </w:rPr>
            </w:pPr>
            <w:r w:rsidRPr="00A369D7">
              <w:rPr>
                <w:rFonts w:ascii="Arial" w:hAnsi="Arial" w:cs="Arial"/>
                <w:b/>
                <w:bCs/>
                <w:color w:val="000000" w:themeColor="text1"/>
              </w:rPr>
              <w:t>Level 3 Leadership &amp; Management via apprenticeships/NFCC licences</w:t>
            </w:r>
            <w:r w:rsidR="007E3244" w:rsidRPr="00A369D7">
              <w:rPr>
                <w:rFonts w:ascii="Arial" w:hAnsi="Arial" w:cs="Arial"/>
                <w:b/>
                <w:bCs/>
                <w:color w:val="000000" w:themeColor="text1"/>
              </w:rPr>
              <w:t xml:space="preserve">: </w:t>
            </w:r>
            <w:r w:rsidRPr="00A369D7">
              <w:rPr>
                <w:rFonts w:ascii="Arial" w:hAnsi="Arial" w:cs="Arial"/>
                <w:color w:val="000000" w:themeColor="text1"/>
              </w:rPr>
              <w:t>The Service has utilised apprenticeship levy funding and licence arrangements to deliver level 3 leadership and management development through workplace delivery routes, reducing reliance on externally commissioned face</w:t>
            </w:r>
            <w:r w:rsidRPr="00A369D7">
              <w:rPr>
                <w:rFonts w:ascii="Cambria Math" w:hAnsi="Cambria Math" w:cs="Cambria Math"/>
                <w:color w:val="000000" w:themeColor="text1"/>
              </w:rPr>
              <w:t>‑</w:t>
            </w:r>
            <w:r w:rsidRPr="00A369D7">
              <w:rPr>
                <w:rFonts w:ascii="Arial" w:hAnsi="Arial" w:cs="Arial"/>
                <w:color w:val="000000" w:themeColor="text1"/>
              </w:rPr>
              <w:t>to</w:t>
            </w:r>
            <w:r w:rsidRPr="00A369D7">
              <w:rPr>
                <w:rFonts w:ascii="Cambria Math" w:hAnsi="Cambria Math" w:cs="Cambria Math"/>
                <w:color w:val="000000" w:themeColor="text1"/>
              </w:rPr>
              <w:t>‑</w:t>
            </w:r>
            <w:r w:rsidRPr="00A369D7">
              <w:rPr>
                <w:rFonts w:ascii="Arial" w:hAnsi="Arial" w:cs="Arial"/>
                <w:color w:val="000000" w:themeColor="text1"/>
              </w:rPr>
              <w:t>face trainer delivery. This approach reduces external trainer fee pressures and the associated travel/abstraction burden. On a conservative “cost</w:t>
            </w:r>
            <w:r w:rsidRPr="00A369D7">
              <w:rPr>
                <w:rFonts w:ascii="Cambria Math" w:hAnsi="Cambria Math" w:cs="Cambria Math"/>
                <w:color w:val="000000" w:themeColor="text1"/>
              </w:rPr>
              <w:t>‑</w:t>
            </w:r>
            <w:r w:rsidRPr="00A369D7">
              <w:rPr>
                <w:rFonts w:ascii="Arial" w:hAnsi="Arial" w:cs="Arial"/>
                <w:color w:val="000000" w:themeColor="text1"/>
              </w:rPr>
              <w:t>avoidance” basis this is estimated at c. £36</w:t>
            </w:r>
            <w:r w:rsidR="00D71033">
              <w:rPr>
                <w:rFonts w:ascii="Arial" w:hAnsi="Arial" w:cs="Arial"/>
                <w:color w:val="000000" w:themeColor="text1"/>
              </w:rPr>
              <w:t>,000</w:t>
            </w:r>
            <w:r w:rsidRPr="00A369D7">
              <w:rPr>
                <w:rFonts w:ascii="Arial" w:hAnsi="Arial" w:cs="Arial"/>
                <w:color w:val="000000" w:themeColor="text1"/>
              </w:rPr>
              <w:t xml:space="preserve"> per annum</w:t>
            </w:r>
            <w:r w:rsidR="00A369D7">
              <w:rPr>
                <w:rFonts w:ascii="Arial" w:hAnsi="Arial" w:cs="Arial"/>
                <w:color w:val="000000" w:themeColor="text1"/>
              </w:rPr>
              <w:t>.</w:t>
            </w:r>
          </w:p>
          <w:p w14:paraId="3CFE3E90" w14:textId="7CE03A79" w:rsidR="00E553CC" w:rsidRDefault="008A7A79" w:rsidP="00B45AC3">
            <w:pPr>
              <w:pStyle w:val="ListParagraph"/>
              <w:numPr>
                <w:ilvl w:val="0"/>
                <w:numId w:val="5"/>
              </w:numPr>
              <w:rPr>
                <w:rFonts w:ascii="Arial" w:hAnsi="Arial" w:cs="Arial"/>
                <w:color w:val="000000" w:themeColor="text1"/>
              </w:rPr>
            </w:pPr>
            <w:r w:rsidRPr="00E553CC">
              <w:rPr>
                <w:rFonts w:ascii="Arial" w:hAnsi="Arial" w:cs="Arial"/>
                <w:b/>
                <w:bCs/>
                <w:color w:val="000000" w:themeColor="text1"/>
              </w:rPr>
              <w:t>Prevention training eLearning (in progress)</w:t>
            </w:r>
            <w:r w:rsidR="00A369D7" w:rsidRPr="00E553CC">
              <w:rPr>
                <w:rFonts w:ascii="Arial" w:hAnsi="Arial" w:cs="Arial"/>
                <w:b/>
                <w:bCs/>
                <w:color w:val="000000" w:themeColor="text1"/>
              </w:rPr>
              <w:t xml:space="preserve">: </w:t>
            </w:r>
            <w:r w:rsidRPr="00E553CC">
              <w:rPr>
                <w:rFonts w:ascii="Arial" w:hAnsi="Arial" w:cs="Arial"/>
                <w:color w:val="000000" w:themeColor="text1"/>
              </w:rPr>
              <w:t>The Service will further expand digital learning approaches within prevention training where appropriate, reducing the requirement for face</w:t>
            </w:r>
            <w:r w:rsidRPr="00E553CC">
              <w:rPr>
                <w:rFonts w:ascii="Cambria Math" w:hAnsi="Cambria Math" w:cs="Cambria Math"/>
                <w:color w:val="000000" w:themeColor="text1"/>
              </w:rPr>
              <w:t>‑</w:t>
            </w:r>
            <w:r w:rsidRPr="00E553CC">
              <w:rPr>
                <w:rFonts w:ascii="Arial" w:hAnsi="Arial" w:cs="Arial"/>
                <w:color w:val="000000" w:themeColor="text1"/>
              </w:rPr>
              <w:t>to</w:t>
            </w:r>
            <w:r w:rsidRPr="00E553CC">
              <w:rPr>
                <w:rFonts w:ascii="Cambria Math" w:hAnsi="Cambria Math" w:cs="Cambria Math"/>
                <w:color w:val="000000" w:themeColor="text1"/>
              </w:rPr>
              <w:t>‑</w:t>
            </w:r>
            <w:r w:rsidRPr="00E553CC">
              <w:rPr>
                <w:rFonts w:ascii="Arial" w:hAnsi="Arial" w:cs="Arial"/>
                <w:color w:val="000000" w:themeColor="text1"/>
              </w:rPr>
              <w:t>face sessions and associated abstraction/travel. This supports consistent training delivery and releases trainer and learner time to front</w:t>
            </w:r>
            <w:r w:rsidRPr="00E553CC">
              <w:rPr>
                <w:rFonts w:ascii="Cambria Math" w:hAnsi="Cambria Math" w:cs="Cambria Math"/>
                <w:color w:val="000000" w:themeColor="text1"/>
              </w:rPr>
              <w:t>‑</w:t>
            </w:r>
            <w:r w:rsidRPr="00E553CC">
              <w:rPr>
                <w:rFonts w:ascii="Arial" w:hAnsi="Arial" w:cs="Arial"/>
                <w:color w:val="000000" w:themeColor="text1"/>
              </w:rPr>
              <w:t xml:space="preserve">line prevention outputs. Conservatively valued, this equates to c. 750 </w:t>
            </w:r>
            <w:r w:rsidRPr="00E553CC">
              <w:rPr>
                <w:rFonts w:ascii="Arial" w:hAnsi="Arial" w:cs="Arial"/>
                <w:color w:val="000000" w:themeColor="text1"/>
              </w:rPr>
              <w:lastRenderedPageBreak/>
              <w:t>hours per annum (c. £22</w:t>
            </w:r>
            <w:r w:rsidR="00D71033">
              <w:rPr>
                <w:rFonts w:ascii="Arial" w:hAnsi="Arial" w:cs="Arial"/>
                <w:color w:val="000000" w:themeColor="text1"/>
              </w:rPr>
              <w:t>,500</w:t>
            </w:r>
            <w:r w:rsidRPr="00E553CC">
              <w:rPr>
                <w:rFonts w:ascii="Arial" w:hAnsi="Arial" w:cs="Arial"/>
                <w:color w:val="000000" w:themeColor="text1"/>
              </w:rPr>
              <w:t xml:space="preserve"> productivity</w:t>
            </w:r>
            <w:r w:rsidR="00AE4B7D">
              <w:rPr>
                <w:rFonts w:ascii="Arial" w:hAnsi="Arial" w:cs="Arial"/>
                <w:color w:val="000000" w:themeColor="text1"/>
              </w:rPr>
              <w:t xml:space="preserve"> gains</w:t>
            </w:r>
            <w:r w:rsidRPr="00E553CC">
              <w:rPr>
                <w:rFonts w:ascii="Arial" w:hAnsi="Arial" w:cs="Arial"/>
                <w:color w:val="000000" w:themeColor="text1"/>
              </w:rPr>
              <w:t xml:space="preserve">), to be confirmed through the tracker as implementation progresses. </w:t>
            </w:r>
          </w:p>
          <w:p w14:paraId="63654138" w14:textId="26AEF734" w:rsidR="000266F6" w:rsidRPr="008A7A79" w:rsidRDefault="008A7A79" w:rsidP="00E553CC">
            <w:pPr>
              <w:pStyle w:val="ListParagraph"/>
              <w:numPr>
                <w:ilvl w:val="0"/>
                <w:numId w:val="5"/>
              </w:numPr>
              <w:rPr>
                <w:rFonts w:ascii="Arial" w:hAnsi="Arial" w:cs="Arial"/>
                <w:color w:val="000000" w:themeColor="text1"/>
              </w:rPr>
            </w:pPr>
            <w:r w:rsidRPr="00E553CC">
              <w:rPr>
                <w:rFonts w:ascii="Arial" w:hAnsi="Arial" w:cs="Arial"/>
                <w:b/>
                <w:bCs/>
                <w:color w:val="000000" w:themeColor="text1"/>
              </w:rPr>
              <w:t>Apprenticeships funding Green Book development</w:t>
            </w:r>
            <w:r w:rsidR="00E553CC">
              <w:rPr>
                <w:rFonts w:ascii="Arial" w:hAnsi="Arial" w:cs="Arial"/>
                <w:b/>
                <w:bCs/>
                <w:color w:val="000000" w:themeColor="text1"/>
              </w:rPr>
              <w:t xml:space="preserve">: </w:t>
            </w:r>
            <w:r w:rsidRPr="008A7A79">
              <w:rPr>
                <w:rFonts w:ascii="Arial" w:hAnsi="Arial" w:cs="Arial"/>
                <w:color w:val="000000" w:themeColor="text1"/>
              </w:rPr>
              <w:t>The Service is increasing use of apprenticeship routes to fund development for staff on Green Book terms and conditions, reducing reliance on directly purchased external training while strengthening corporate capability. This supports resilience, succession planning and reduces fee pressures within training budgets. Conservatively valued as cost</w:t>
            </w:r>
            <w:r w:rsidRPr="008A7A79">
              <w:rPr>
                <w:rFonts w:ascii="Cambria Math" w:hAnsi="Cambria Math" w:cs="Cambria Math"/>
                <w:color w:val="000000" w:themeColor="text1"/>
              </w:rPr>
              <w:t>‑</w:t>
            </w:r>
            <w:r w:rsidRPr="008A7A79">
              <w:rPr>
                <w:rFonts w:ascii="Arial" w:hAnsi="Arial" w:cs="Arial"/>
                <w:color w:val="000000" w:themeColor="text1"/>
              </w:rPr>
              <w:t>avoidance, this is estimated at £15</w:t>
            </w:r>
            <w:r w:rsidR="00AE4B7D">
              <w:rPr>
                <w:rFonts w:ascii="Arial" w:hAnsi="Arial" w:cs="Arial"/>
                <w:color w:val="000000" w:themeColor="text1"/>
              </w:rPr>
              <w:t>,000</w:t>
            </w:r>
            <w:r w:rsidR="00166995">
              <w:rPr>
                <w:rFonts w:ascii="Arial" w:hAnsi="Arial" w:cs="Arial"/>
                <w:color w:val="000000" w:themeColor="text1"/>
              </w:rPr>
              <w:t xml:space="preserve"> </w:t>
            </w:r>
            <w:r w:rsidRPr="008A7A79">
              <w:rPr>
                <w:rFonts w:ascii="Arial" w:hAnsi="Arial" w:cs="Arial"/>
                <w:color w:val="000000" w:themeColor="text1"/>
              </w:rPr>
              <w:t>per annum.</w:t>
            </w:r>
          </w:p>
          <w:p w14:paraId="1263A36E" w14:textId="77777777" w:rsidR="000266F6" w:rsidRDefault="000266F6" w:rsidP="000266F6">
            <w:pPr>
              <w:rPr>
                <w:rFonts w:ascii="Arial" w:hAnsi="Arial" w:cs="Arial"/>
                <w:color w:val="000000" w:themeColor="text1"/>
              </w:rPr>
            </w:pPr>
          </w:p>
          <w:p w14:paraId="72642566" w14:textId="2F0B3DED" w:rsidR="00C25832" w:rsidRDefault="007D48E2" w:rsidP="000266F6">
            <w:pPr>
              <w:rPr>
                <w:rFonts w:ascii="Arial" w:hAnsi="Arial" w:cs="Arial"/>
                <w:b/>
                <w:bCs/>
                <w:color w:val="000000"/>
              </w:rPr>
            </w:pPr>
            <w:r>
              <w:rPr>
                <w:rFonts w:ascii="Arial" w:hAnsi="Arial" w:cs="Arial"/>
                <w:b/>
                <w:bCs/>
                <w:color w:val="000000"/>
              </w:rPr>
              <w:t xml:space="preserve">£13,500 </w:t>
            </w:r>
            <w:r>
              <w:rPr>
                <w:rFonts w:ascii="Arial" w:hAnsi="Arial" w:cs="Arial"/>
                <w:b/>
                <w:bCs/>
                <w:color w:val="000000" w:themeColor="text1"/>
                <w:szCs w:val="24"/>
              </w:rPr>
              <w:t xml:space="preserve">Productivity Gains </w:t>
            </w:r>
            <w:r w:rsidR="005039F2">
              <w:rPr>
                <w:rFonts w:ascii="Arial" w:hAnsi="Arial" w:cs="Arial"/>
                <w:b/>
                <w:bCs/>
                <w:color w:val="000000" w:themeColor="text1"/>
                <w:szCs w:val="24"/>
              </w:rPr>
              <w:t>from</w:t>
            </w:r>
            <w:r w:rsidR="004473D1">
              <w:rPr>
                <w:rFonts w:ascii="Arial" w:hAnsi="Arial" w:cs="Arial"/>
                <w:b/>
                <w:bCs/>
                <w:color w:val="000000" w:themeColor="text1"/>
                <w:szCs w:val="24"/>
              </w:rPr>
              <w:t xml:space="preserve"> rationalisation of</w:t>
            </w:r>
            <w:r w:rsidR="00BA763C">
              <w:rPr>
                <w:rFonts w:ascii="Arial" w:hAnsi="Arial" w:cs="Arial"/>
                <w:b/>
                <w:bCs/>
                <w:color w:val="000000"/>
              </w:rPr>
              <w:t xml:space="preserve"> operational learning module</w:t>
            </w:r>
            <w:r w:rsidR="00D90D16">
              <w:rPr>
                <w:rFonts w:ascii="Arial" w:hAnsi="Arial" w:cs="Arial"/>
                <w:b/>
                <w:bCs/>
                <w:color w:val="000000"/>
              </w:rPr>
              <w:t>s</w:t>
            </w:r>
          </w:p>
          <w:p w14:paraId="586AA102" w14:textId="072FC628" w:rsidR="00BA763C" w:rsidRDefault="00BA763C" w:rsidP="000266F6">
            <w:pPr>
              <w:rPr>
                <w:rFonts w:ascii="Arial" w:hAnsi="Arial" w:cs="Arial"/>
                <w:color w:val="000000" w:themeColor="text1"/>
              </w:rPr>
            </w:pPr>
            <w:r>
              <w:rPr>
                <w:rFonts w:ascii="Arial" w:hAnsi="Arial" w:cs="Arial"/>
                <w:color w:val="000000"/>
              </w:rPr>
              <w:t>During 2025/26, the Service undertook a comprehensive review of eLMS operational learning modules for officer roles. This will result in a significant reduction in mandatory content, with non-essential and non-role</w:t>
            </w:r>
            <w:r>
              <w:rPr>
                <w:rFonts w:ascii="Arial" w:hAnsi="Arial" w:cs="Arial"/>
                <w:color w:val="000000"/>
              </w:rPr>
              <w:noBreakHyphen/>
              <w:t xml:space="preserve">specific material removed to create a more targeted and relevant learning offer. Following the review, mandatory modules for Principal Officers and Area Managers were reduced from 45 to 10, while Group Managers saw five modules removed and Station Managers had one module eliminated. Each module is approximately one hour in duration. Across the affected groups (3 Principal Officers, </w:t>
            </w:r>
            <w:r w:rsidR="00937ED4">
              <w:rPr>
                <w:rFonts w:ascii="Arial" w:hAnsi="Arial" w:cs="Arial"/>
                <w:color w:val="000000"/>
              </w:rPr>
              <w:t>4</w:t>
            </w:r>
            <w:r>
              <w:rPr>
                <w:rFonts w:ascii="Arial" w:hAnsi="Arial" w:cs="Arial"/>
                <w:color w:val="000000"/>
              </w:rPr>
              <w:t xml:space="preserve"> Area Managers, 1</w:t>
            </w:r>
            <w:r w:rsidR="00937ED4">
              <w:rPr>
                <w:rFonts w:ascii="Arial" w:hAnsi="Arial" w:cs="Arial"/>
                <w:color w:val="000000"/>
              </w:rPr>
              <w:t>0</w:t>
            </w:r>
            <w:r>
              <w:rPr>
                <w:rFonts w:ascii="Arial" w:hAnsi="Arial" w:cs="Arial"/>
                <w:color w:val="000000"/>
              </w:rPr>
              <w:t xml:space="preserve"> Group Managers and 25 Station Managers), this rationalisation is estimated to release in the region of 255 officer hours annually with a total value estimated saving of £13</w:t>
            </w:r>
            <w:r w:rsidR="005D6290">
              <w:rPr>
                <w:rFonts w:ascii="Arial" w:hAnsi="Arial" w:cs="Arial"/>
                <w:color w:val="000000"/>
              </w:rPr>
              <w:t>,500</w:t>
            </w:r>
            <w:r>
              <w:rPr>
                <w:rFonts w:ascii="Arial" w:hAnsi="Arial" w:cs="Arial"/>
                <w:color w:val="000000"/>
              </w:rPr>
              <w:t xml:space="preserve"> p.a., enabling redeployment of time to core operational priorities and other role</w:t>
            </w:r>
            <w:r>
              <w:rPr>
                <w:rFonts w:ascii="Arial" w:hAnsi="Arial" w:cs="Arial"/>
                <w:color w:val="000000"/>
              </w:rPr>
              <w:noBreakHyphen/>
              <w:t>related activities.</w:t>
            </w:r>
          </w:p>
          <w:p w14:paraId="6509C121" w14:textId="77777777" w:rsidR="00985C2D" w:rsidRDefault="00985C2D" w:rsidP="00985C2D">
            <w:pPr>
              <w:rPr>
                <w:rFonts w:ascii="Arial" w:hAnsi="Arial" w:cs="Arial"/>
                <w:color w:val="000000" w:themeColor="text1"/>
              </w:rPr>
            </w:pPr>
          </w:p>
          <w:p w14:paraId="6BFCBD96" w14:textId="49B53A92" w:rsidR="005B64AE" w:rsidRPr="008A7A79" w:rsidRDefault="004B4268" w:rsidP="005D6290">
            <w:pPr>
              <w:rPr>
                <w:rFonts w:ascii="Arial" w:hAnsi="Arial" w:cs="Arial"/>
                <w:color w:val="000000" w:themeColor="text1"/>
              </w:rPr>
            </w:pPr>
            <w:r>
              <w:rPr>
                <w:rFonts w:ascii="Arial" w:hAnsi="Arial" w:cs="Arial"/>
                <w:b/>
                <w:bCs/>
                <w:color w:val="000000" w:themeColor="text1"/>
              </w:rPr>
              <w:t xml:space="preserve">Various </w:t>
            </w:r>
            <w:r w:rsidR="00985C2D" w:rsidRPr="00985C2D">
              <w:rPr>
                <w:rFonts w:ascii="Arial" w:hAnsi="Arial" w:cs="Arial"/>
                <w:b/>
                <w:bCs/>
                <w:color w:val="000000" w:themeColor="text1"/>
              </w:rPr>
              <w:t xml:space="preserve">NWFC </w:t>
            </w:r>
            <w:r w:rsidR="00B11D79">
              <w:rPr>
                <w:rFonts w:ascii="Arial" w:hAnsi="Arial" w:cs="Arial"/>
                <w:b/>
                <w:bCs/>
                <w:color w:val="000000" w:themeColor="text1"/>
                <w:szCs w:val="24"/>
              </w:rPr>
              <w:t xml:space="preserve">Productivity Gains </w:t>
            </w:r>
            <w:r w:rsidR="00B11D79">
              <w:rPr>
                <w:rFonts w:ascii="Arial" w:hAnsi="Arial" w:cs="Arial"/>
                <w:b/>
                <w:bCs/>
                <w:color w:val="000000" w:themeColor="text1"/>
              </w:rPr>
              <w:t>i</w:t>
            </w:r>
            <w:r w:rsidR="00985C2D" w:rsidRPr="00985C2D">
              <w:rPr>
                <w:rFonts w:ascii="Arial" w:hAnsi="Arial" w:cs="Arial"/>
                <w:b/>
                <w:bCs/>
                <w:color w:val="000000" w:themeColor="text1"/>
              </w:rPr>
              <w:t>mprovements (control-room capability, mobilising resilience and more efficient deployment of resources)</w:t>
            </w:r>
            <w:r w:rsidR="00985C2D" w:rsidRPr="00985C2D">
              <w:rPr>
                <w:rFonts w:ascii="Arial" w:hAnsi="Arial" w:cs="Arial"/>
                <w:b/>
                <w:bCs/>
                <w:color w:val="000000" w:themeColor="text1"/>
              </w:rPr>
              <w:br/>
            </w:r>
            <w:r w:rsidR="00985C2D" w:rsidRPr="00985C2D">
              <w:rPr>
                <w:rFonts w:ascii="Arial" w:hAnsi="Arial" w:cs="Arial"/>
                <w:color w:val="000000" w:themeColor="text1"/>
              </w:rPr>
              <w:t>During 2025/26 the Service has continued to progress system improvements within North West Fire Control (NWFC) to support more effective and efficient mobilisation and incident management, including the introduction and embedding of dynamic cover software in NWFC and associated monitoring and review to optimise the deployment of resources across the county. This work supports productivity by improving real</w:t>
            </w:r>
            <w:r w:rsidR="00985C2D" w:rsidRPr="00985C2D">
              <w:rPr>
                <w:rFonts w:ascii="Arial" w:hAnsi="Arial" w:cs="Arial"/>
                <w:color w:val="000000" w:themeColor="text1"/>
              </w:rPr>
              <w:noBreakHyphen/>
              <w:t>time decision</w:t>
            </w:r>
            <w:r w:rsidR="00985C2D" w:rsidRPr="00985C2D">
              <w:rPr>
                <w:rFonts w:ascii="Arial" w:hAnsi="Arial" w:cs="Arial"/>
                <w:color w:val="000000" w:themeColor="text1"/>
              </w:rPr>
              <w:noBreakHyphen/>
              <w:t xml:space="preserve">making on the disposition of appliances, reducing unnecessary disruption to business activities and enabling a move away from traditional static/notional cover arrangements as the approach embeds. </w:t>
            </w:r>
          </w:p>
        </w:tc>
      </w:tr>
    </w:tbl>
    <w:p w14:paraId="1C0C98D9" w14:textId="77777777" w:rsidR="004620EC" w:rsidRPr="00AA3DE8" w:rsidRDefault="004620EC" w:rsidP="6218B4DB">
      <w:pPr>
        <w:rPr>
          <w:rFonts w:ascii="Arial" w:hAnsi="Arial" w:cs="Arial"/>
          <w:color w:val="000000" w:themeColor="text1"/>
          <w:szCs w:val="24"/>
          <w:highlight w:val="yellow"/>
        </w:rPr>
      </w:pPr>
    </w:p>
    <w:p w14:paraId="1557212A" w14:textId="3C617819" w:rsidR="004620EC" w:rsidRPr="00AA3DE8" w:rsidRDefault="004620EC" w:rsidP="6218B4DB">
      <w:pPr>
        <w:rPr>
          <w:rFonts w:ascii="Arial" w:hAnsi="Arial" w:cs="Arial"/>
          <w:b/>
          <w:bCs/>
          <w:color w:val="000000" w:themeColor="text1"/>
          <w:szCs w:val="24"/>
          <w:highlight w:val="yellow"/>
        </w:rPr>
      </w:pPr>
      <w:r w:rsidRPr="00AA3DE8">
        <w:rPr>
          <w:rFonts w:ascii="Arial" w:hAnsi="Arial" w:cs="Arial"/>
          <w:b/>
          <w:bCs/>
          <w:szCs w:val="24"/>
        </w:rPr>
        <w:t>Income Generation</w:t>
      </w:r>
    </w:p>
    <w:p w14:paraId="194693D5" w14:textId="77777777" w:rsidR="0062718B" w:rsidRPr="00AA3DE8" w:rsidRDefault="0062718B" w:rsidP="6218B4DB">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4620EC" w:rsidRPr="00AA3DE8" w14:paraId="22B97CF5" w14:textId="77777777" w:rsidTr="31D34A27">
        <w:tc>
          <w:tcPr>
            <w:tcW w:w="8303" w:type="dxa"/>
            <w:shd w:val="clear" w:color="auto" w:fill="F2F2F2" w:themeFill="background1" w:themeFillShade="F2"/>
          </w:tcPr>
          <w:p w14:paraId="04F23F82" w14:textId="77777777" w:rsidR="00584B80" w:rsidRDefault="00584B80">
            <w:pPr>
              <w:rPr>
                <w:szCs w:val="24"/>
              </w:rPr>
            </w:pPr>
            <w:r>
              <w:rPr>
                <w:rFonts w:ascii="Arial" w:hAnsi="Arial" w:cs="Arial"/>
                <w:b/>
                <w:bCs/>
                <w:color w:val="000000"/>
              </w:rPr>
              <w:t>£213,000 one</w:t>
            </w:r>
            <w:r>
              <w:rPr>
                <w:rFonts w:ascii="Arial" w:hAnsi="Arial" w:cs="Arial"/>
                <w:b/>
                <w:bCs/>
                <w:color w:val="000000"/>
              </w:rPr>
              <w:noBreakHyphen/>
              <w:t>off additional income through active investment strategy</w:t>
            </w:r>
          </w:p>
          <w:p w14:paraId="7C697936" w14:textId="340E941B" w:rsidR="004620EC" w:rsidRDefault="007C6B71" w:rsidP="007C6B71">
            <w:pPr>
              <w:rPr>
                <w:rFonts w:ascii="Arial" w:hAnsi="Arial" w:cs="Arial"/>
                <w:szCs w:val="24"/>
              </w:rPr>
            </w:pPr>
            <w:r w:rsidRPr="00FD37D4">
              <w:rPr>
                <w:rFonts w:ascii="Arial" w:hAnsi="Arial" w:cs="Arial"/>
                <w:szCs w:val="24"/>
              </w:rPr>
              <w:t>The Authority has continued to apply an active investment strategy by placing a proportion of cash balances into fixed term investments (primarily with other local authorities) to secure higher rates than are available via the overnight DMADF/call account. On the total investment balance this represents an outperformance of 0.45%, equivalent to approximately £213,000 of additional annualised interest income versus a passive benchmark approach</w:t>
            </w:r>
            <w:r w:rsidR="0002235D">
              <w:rPr>
                <w:rFonts w:ascii="Arial" w:hAnsi="Arial" w:cs="Arial"/>
                <w:szCs w:val="24"/>
              </w:rPr>
              <w:t>.</w:t>
            </w:r>
          </w:p>
          <w:p w14:paraId="66F1AB35" w14:textId="77777777" w:rsidR="007C1CD2" w:rsidRDefault="007C1CD2" w:rsidP="007C6B71">
            <w:pPr>
              <w:rPr>
                <w:rFonts w:ascii="Arial" w:hAnsi="Arial" w:cs="Arial"/>
                <w:color w:val="000000" w:themeColor="text1"/>
                <w:szCs w:val="24"/>
                <w:highlight w:val="yellow"/>
              </w:rPr>
            </w:pPr>
          </w:p>
          <w:p w14:paraId="7E994A91" w14:textId="5D8A049D" w:rsidR="00584B80" w:rsidRDefault="00173D4F">
            <w:pPr>
              <w:rPr>
                <w:szCs w:val="24"/>
              </w:rPr>
            </w:pPr>
            <w:r>
              <w:rPr>
                <w:rFonts w:ascii="Arial" w:hAnsi="Arial" w:cs="Arial"/>
                <w:b/>
                <w:bCs/>
                <w:color w:val="000000"/>
              </w:rPr>
              <w:lastRenderedPageBreak/>
              <w:t>A</w:t>
            </w:r>
            <w:r w:rsidR="00584B80">
              <w:rPr>
                <w:rFonts w:ascii="Arial" w:hAnsi="Arial" w:cs="Arial"/>
                <w:b/>
                <w:bCs/>
                <w:color w:val="000000"/>
              </w:rPr>
              <w:t>dditional income through charging for use of LFRS assets by other agencies (e.g. drones)</w:t>
            </w:r>
          </w:p>
          <w:p w14:paraId="6530FF4D" w14:textId="25E9CE4E" w:rsidR="00693DF7" w:rsidRPr="00693DF7" w:rsidRDefault="00693DF7" w:rsidP="00693DF7">
            <w:pPr>
              <w:rPr>
                <w:rFonts w:ascii="Arial" w:hAnsi="Arial" w:cs="Arial"/>
                <w:color w:val="000000" w:themeColor="text1"/>
                <w:szCs w:val="24"/>
              </w:rPr>
            </w:pPr>
            <w:r w:rsidRPr="00693DF7">
              <w:rPr>
                <w:rFonts w:ascii="Arial" w:hAnsi="Arial" w:cs="Arial"/>
                <w:color w:val="000000" w:themeColor="text1"/>
                <w:szCs w:val="24"/>
              </w:rPr>
              <w:t>During 2024/25 the Service introduced a charging model for the use of LFRS assets and specialist capabilities in support of other agencies where the activity falls outside statutory fire and rescue duties. This includes, for example, the use of Service</w:t>
            </w:r>
            <w:r w:rsidRPr="00693DF7">
              <w:rPr>
                <w:rFonts w:ascii="Cambria Math" w:hAnsi="Cambria Math" w:cs="Cambria Math"/>
                <w:color w:val="000000" w:themeColor="text1"/>
                <w:szCs w:val="24"/>
              </w:rPr>
              <w:t>‑</w:t>
            </w:r>
            <w:r w:rsidRPr="00693DF7">
              <w:rPr>
                <w:rFonts w:ascii="Arial" w:hAnsi="Arial" w:cs="Arial"/>
                <w:color w:val="000000" w:themeColor="text1"/>
                <w:szCs w:val="24"/>
              </w:rPr>
              <w:t>owned drones and other specialist resources to support policing, local authorities and partner organisations.</w:t>
            </w:r>
          </w:p>
          <w:p w14:paraId="1BCBE09E" w14:textId="04D0C27E" w:rsidR="007C1CD2" w:rsidRDefault="00693DF7" w:rsidP="00693DF7">
            <w:pPr>
              <w:rPr>
                <w:rFonts w:ascii="Arial" w:hAnsi="Arial" w:cs="Arial"/>
                <w:color w:val="000000" w:themeColor="text1"/>
                <w:szCs w:val="24"/>
              </w:rPr>
            </w:pPr>
            <w:r w:rsidRPr="00693DF7">
              <w:rPr>
                <w:rFonts w:ascii="Arial" w:hAnsi="Arial" w:cs="Arial"/>
                <w:color w:val="000000" w:themeColor="text1"/>
                <w:szCs w:val="24"/>
              </w:rPr>
              <w:t xml:space="preserve">The charging model ensures that where LFRS expertise and equipment are deployed to deliver clear operational or investigative benefits for other agencies, the associated costs are recovered, rather than being subsidised by core fire and rescue funding. </w:t>
            </w:r>
          </w:p>
          <w:p w14:paraId="58FD962B" w14:textId="77777777" w:rsidR="00C95281" w:rsidRDefault="00C95281" w:rsidP="00693DF7">
            <w:pPr>
              <w:rPr>
                <w:rFonts w:ascii="Arial" w:hAnsi="Arial" w:cs="Arial"/>
                <w:color w:val="000000" w:themeColor="text1"/>
                <w:szCs w:val="24"/>
                <w:highlight w:val="yellow"/>
              </w:rPr>
            </w:pPr>
          </w:p>
          <w:p w14:paraId="29833E71" w14:textId="5303C52D" w:rsidR="00584B80" w:rsidRDefault="00584B80">
            <w:pPr>
              <w:rPr>
                <w:szCs w:val="24"/>
              </w:rPr>
            </w:pPr>
            <w:r>
              <w:rPr>
                <w:rFonts w:ascii="Arial" w:hAnsi="Arial" w:cs="Arial"/>
                <w:b/>
                <w:bCs/>
                <w:color w:val="000000"/>
              </w:rPr>
              <w:t>£</w:t>
            </w:r>
            <w:r w:rsidR="00070615">
              <w:rPr>
                <w:rFonts w:ascii="Arial" w:hAnsi="Arial" w:cs="Arial"/>
                <w:b/>
                <w:bCs/>
                <w:color w:val="000000"/>
              </w:rPr>
              <w:t>11,561</w:t>
            </w:r>
            <w:r>
              <w:rPr>
                <w:rFonts w:ascii="Arial" w:hAnsi="Arial" w:cs="Arial"/>
                <w:b/>
                <w:bCs/>
                <w:color w:val="000000"/>
              </w:rPr>
              <w:t xml:space="preserve"> additional income through charging for out</w:t>
            </w:r>
            <w:r>
              <w:rPr>
                <w:rFonts w:ascii="Arial" w:hAnsi="Arial" w:cs="Arial"/>
                <w:b/>
                <w:bCs/>
                <w:color w:val="000000"/>
              </w:rPr>
              <w:noBreakHyphen/>
              <w:t>of</w:t>
            </w:r>
            <w:r>
              <w:rPr>
                <w:rFonts w:ascii="Arial" w:hAnsi="Arial" w:cs="Arial"/>
                <w:b/>
                <w:bCs/>
                <w:color w:val="000000"/>
              </w:rPr>
              <w:noBreakHyphen/>
              <w:t>county asset deployment</w:t>
            </w:r>
          </w:p>
          <w:p w14:paraId="20BA5ECB" w14:textId="02AEA704" w:rsidR="00584B80" w:rsidRDefault="00070615">
            <w:pPr>
              <w:rPr>
                <w:rFonts w:ascii="Arial" w:hAnsi="Arial" w:cs="Arial"/>
                <w:color w:val="000000"/>
              </w:rPr>
            </w:pPr>
            <w:r>
              <w:rPr>
                <w:rFonts w:ascii="Arial" w:hAnsi="Arial" w:cs="Arial"/>
                <w:color w:val="000000"/>
              </w:rPr>
              <w:t>The</w:t>
            </w:r>
            <w:r w:rsidR="00584B80">
              <w:rPr>
                <w:rFonts w:ascii="Arial" w:hAnsi="Arial" w:cs="Arial"/>
                <w:color w:val="000000"/>
              </w:rPr>
              <w:t xml:space="preserve"> Service implemented a formal charging approach for the deployment of specialist assets outside of Lancashire, in line with National Fire Chiefs Council (NFCC) guidance on charging for mutual assistance. This ensures that when LFRS resources are used to support other fire and rescue services or partner agencies beyond the county boundary, the costs associated with staff time, equipment use and operational support are appropriately recovered.</w:t>
            </w:r>
          </w:p>
          <w:p w14:paraId="42BF58BB" w14:textId="77777777" w:rsidR="00173D4F" w:rsidRDefault="00173D4F">
            <w:pPr>
              <w:rPr>
                <w:szCs w:val="24"/>
              </w:rPr>
            </w:pPr>
          </w:p>
          <w:p w14:paraId="723D95E3" w14:textId="77777777" w:rsidR="004620EC" w:rsidRDefault="00C95281" w:rsidP="00C95281">
            <w:pPr>
              <w:rPr>
                <w:rFonts w:ascii="Arial" w:hAnsi="Arial" w:cs="Arial"/>
                <w:color w:val="000000" w:themeColor="text1"/>
                <w:szCs w:val="24"/>
              </w:rPr>
            </w:pPr>
            <w:r w:rsidRPr="00C95281">
              <w:rPr>
                <w:rFonts w:ascii="Arial" w:hAnsi="Arial" w:cs="Arial"/>
                <w:color w:val="000000" w:themeColor="text1"/>
                <w:szCs w:val="24"/>
              </w:rPr>
              <w:t>The approach represents a cashable efficiency by ensuring that external operational demand does not place unfunded pressure on the Service’s revenue budget and that costs are borne by the benefiting organisation. The resulting income is expected to be recurrent, reflecting the ongoing nature of cross</w:t>
            </w:r>
            <w:r w:rsidRPr="00C95281">
              <w:rPr>
                <w:rFonts w:ascii="Cambria Math" w:hAnsi="Cambria Math" w:cs="Cambria Math"/>
                <w:color w:val="000000" w:themeColor="text1"/>
                <w:szCs w:val="24"/>
              </w:rPr>
              <w:t>‑</w:t>
            </w:r>
            <w:r w:rsidRPr="00C95281">
              <w:rPr>
                <w:rFonts w:ascii="Arial" w:hAnsi="Arial" w:cs="Arial"/>
                <w:color w:val="000000" w:themeColor="text1"/>
                <w:szCs w:val="24"/>
              </w:rPr>
              <w:t>border and mutual aid activity, and is treated as a prudent, conservative forecast rather than a guaranteed income stream.</w:t>
            </w:r>
          </w:p>
          <w:p w14:paraId="3545E2FA" w14:textId="77777777" w:rsidR="00F51FBA" w:rsidRDefault="00F51FBA" w:rsidP="00C95281">
            <w:pPr>
              <w:rPr>
                <w:rFonts w:ascii="Arial" w:hAnsi="Arial" w:cs="Arial"/>
                <w:color w:val="000000" w:themeColor="text1"/>
                <w:szCs w:val="24"/>
              </w:rPr>
            </w:pPr>
          </w:p>
          <w:p w14:paraId="7F3EF8F7" w14:textId="4E3AA844" w:rsidR="00F51FBA" w:rsidRPr="00B443AE" w:rsidRDefault="00F51FBA" w:rsidP="00C95281">
            <w:pPr>
              <w:rPr>
                <w:rFonts w:ascii="Arial" w:hAnsi="Arial" w:cs="Arial"/>
                <w:b/>
                <w:bCs/>
                <w:color w:val="000000" w:themeColor="text1"/>
                <w:szCs w:val="24"/>
              </w:rPr>
            </w:pPr>
            <w:r w:rsidRPr="00B443AE">
              <w:rPr>
                <w:rFonts w:ascii="Arial" w:hAnsi="Arial" w:cs="Arial"/>
                <w:b/>
                <w:bCs/>
                <w:color w:val="000000" w:themeColor="text1"/>
                <w:szCs w:val="24"/>
              </w:rPr>
              <w:t>£25,000</w:t>
            </w:r>
            <w:r w:rsidR="00B443AE" w:rsidRPr="00B443AE">
              <w:rPr>
                <w:rFonts w:ascii="Arial" w:hAnsi="Arial" w:cs="Arial"/>
                <w:b/>
                <w:bCs/>
                <w:color w:val="000000" w:themeColor="text1"/>
                <w:szCs w:val="24"/>
              </w:rPr>
              <w:t xml:space="preserve"> </w:t>
            </w:r>
            <w:r w:rsidR="00CC0419">
              <w:rPr>
                <w:rFonts w:ascii="Arial" w:hAnsi="Arial" w:cs="Arial"/>
                <w:b/>
                <w:bCs/>
                <w:color w:val="000000" w:themeColor="text1"/>
                <w:szCs w:val="24"/>
              </w:rPr>
              <w:t>additional</w:t>
            </w:r>
            <w:r w:rsidR="00CC0419" w:rsidRPr="00B443AE">
              <w:rPr>
                <w:rFonts w:ascii="Arial" w:hAnsi="Arial" w:cs="Arial"/>
                <w:b/>
                <w:bCs/>
                <w:color w:val="000000" w:themeColor="text1"/>
                <w:szCs w:val="24"/>
              </w:rPr>
              <w:t xml:space="preserve"> </w:t>
            </w:r>
            <w:r w:rsidR="00B443AE" w:rsidRPr="00B443AE">
              <w:rPr>
                <w:rFonts w:ascii="Arial" w:hAnsi="Arial" w:cs="Arial"/>
                <w:b/>
                <w:bCs/>
                <w:color w:val="000000" w:themeColor="text1"/>
                <w:szCs w:val="24"/>
              </w:rPr>
              <w:t>income through c</w:t>
            </w:r>
            <w:r w:rsidRPr="00B443AE">
              <w:rPr>
                <w:rFonts w:ascii="Arial" w:hAnsi="Arial" w:cs="Arial"/>
                <w:b/>
                <w:bCs/>
                <w:color w:val="000000" w:themeColor="text1"/>
                <w:szCs w:val="24"/>
              </w:rPr>
              <w:t xml:space="preserve">harging for </w:t>
            </w:r>
            <w:r w:rsidR="0003644D" w:rsidRPr="0003644D">
              <w:rPr>
                <w:rFonts w:ascii="Arial" w:hAnsi="Arial" w:cs="Arial"/>
                <w:b/>
                <w:bCs/>
                <w:color w:val="000000" w:themeColor="text1"/>
                <w:szCs w:val="24"/>
              </w:rPr>
              <w:t xml:space="preserve">Control of Major Accident Hazards </w:t>
            </w:r>
            <w:r w:rsidR="0003644D">
              <w:rPr>
                <w:rFonts w:ascii="Arial" w:hAnsi="Arial" w:cs="Arial"/>
                <w:b/>
                <w:bCs/>
                <w:color w:val="000000" w:themeColor="text1"/>
                <w:szCs w:val="24"/>
              </w:rPr>
              <w:t>(</w:t>
            </w:r>
            <w:r w:rsidRPr="00B443AE">
              <w:rPr>
                <w:rFonts w:ascii="Arial" w:hAnsi="Arial" w:cs="Arial"/>
                <w:b/>
                <w:bCs/>
                <w:color w:val="000000" w:themeColor="text1"/>
                <w:szCs w:val="24"/>
              </w:rPr>
              <w:t>COMAH</w:t>
            </w:r>
            <w:r w:rsidR="0003644D">
              <w:rPr>
                <w:rFonts w:ascii="Arial" w:hAnsi="Arial" w:cs="Arial"/>
                <w:b/>
                <w:bCs/>
                <w:color w:val="000000" w:themeColor="text1"/>
                <w:szCs w:val="24"/>
              </w:rPr>
              <w:t>)</w:t>
            </w:r>
            <w:r w:rsidRPr="00B443AE">
              <w:rPr>
                <w:rFonts w:ascii="Arial" w:hAnsi="Arial" w:cs="Arial"/>
                <w:b/>
                <w:bCs/>
                <w:color w:val="000000" w:themeColor="text1"/>
                <w:szCs w:val="24"/>
              </w:rPr>
              <w:t xml:space="preserve"> training and exercises</w:t>
            </w:r>
          </w:p>
          <w:p w14:paraId="41B6F3F3" w14:textId="046C188B" w:rsidR="00C95281" w:rsidRPr="00AA3DE8" w:rsidRDefault="00F51FBA" w:rsidP="00C95281">
            <w:pPr>
              <w:rPr>
                <w:rFonts w:ascii="Arial" w:hAnsi="Arial" w:cs="Arial"/>
                <w:color w:val="000000" w:themeColor="text1"/>
                <w:szCs w:val="24"/>
                <w:highlight w:val="yellow"/>
              </w:rPr>
            </w:pPr>
            <w:r w:rsidRPr="00F51FBA">
              <w:rPr>
                <w:rFonts w:ascii="Arial" w:hAnsi="Arial" w:cs="Arial"/>
                <w:color w:val="000000" w:themeColor="text1"/>
                <w:szCs w:val="24"/>
              </w:rPr>
              <w:t>During 2026/27, the Service implemented a charging model for the delivery of COMAH-related training and exercise activities to site operators. COMAH sites, regulated under the Control of Major Accident Hazards Regulations 2015, are obliged to develop and regularly test emergency plans, often in collaboration with emergency services. Whilst fire service involvement supports robust emergency planning, there is no regulatory requirement for this to be provided free of charge. The charging framework ensures that costs incurred for specialist training, planning support, and exercise facilitation are recovered from operators, preventing these expenses from being absorbed by core fire and rescue budgets. For 2026/27, estimated cost recovery is in the region of £20,000 to £25,000. This initiative is designed to ensure cost recovery and avoid subsidising external activities, rather than to generate surplus income</w:t>
            </w:r>
          </w:p>
        </w:tc>
      </w:tr>
    </w:tbl>
    <w:p w14:paraId="40FB8803" w14:textId="77777777" w:rsidR="004620EC" w:rsidRPr="00AA3DE8" w:rsidRDefault="004620EC" w:rsidP="6218B4DB">
      <w:pPr>
        <w:rPr>
          <w:rFonts w:ascii="Arial" w:hAnsi="Arial" w:cs="Arial"/>
          <w:color w:val="000000" w:themeColor="text1"/>
          <w:szCs w:val="24"/>
          <w:highlight w:val="yellow"/>
        </w:rPr>
      </w:pPr>
    </w:p>
    <w:p w14:paraId="30C9A8B8" w14:textId="4BA214F1" w:rsidR="004620EC" w:rsidRPr="00AA3DE8" w:rsidRDefault="00280C7C" w:rsidP="6218B4DB">
      <w:pPr>
        <w:rPr>
          <w:rFonts w:ascii="Arial" w:hAnsi="Arial" w:cs="Arial"/>
          <w:b/>
          <w:bCs/>
          <w:color w:val="000000" w:themeColor="text1"/>
          <w:szCs w:val="24"/>
          <w:highlight w:val="yellow"/>
        </w:rPr>
      </w:pPr>
      <w:r w:rsidRPr="00AA3DE8">
        <w:rPr>
          <w:rFonts w:ascii="Arial" w:hAnsi="Arial" w:cs="Arial"/>
          <w:b/>
          <w:bCs/>
          <w:szCs w:val="24"/>
        </w:rPr>
        <w:t>Outcome-based Activities</w:t>
      </w:r>
    </w:p>
    <w:p w14:paraId="0659232B" w14:textId="77777777" w:rsidR="0062718B" w:rsidRPr="00AA3DE8" w:rsidRDefault="0062718B" w:rsidP="6218B4DB">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280C7C" w:rsidRPr="00AA3DE8" w14:paraId="29E86388" w14:textId="77777777" w:rsidTr="31D34A27">
        <w:tc>
          <w:tcPr>
            <w:tcW w:w="8303" w:type="dxa"/>
            <w:shd w:val="clear" w:color="auto" w:fill="F2F2F2" w:themeFill="background1" w:themeFillShade="F2"/>
          </w:tcPr>
          <w:p w14:paraId="3688671C" w14:textId="11C162E1" w:rsidR="00280C7C" w:rsidRPr="00D14590" w:rsidRDefault="00FB3CDD" w:rsidP="00D14590">
            <w:pPr>
              <w:rPr>
                <w:rFonts w:ascii="Arial" w:hAnsi="Arial" w:cs="Arial"/>
                <w:color w:val="000000" w:themeColor="text1"/>
              </w:rPr>
            </w:pPr>
            <w:r w:rsidRPr="00985C2D">
              <w:rPr>
                <w:rFonts w:ascii="Arial" w:hAnsi="Arial" w:cs="Arial"/>
                <w:b/>
                <w:bCs/>
                <w:color w:val="000000" w:themeColor="text1"/>
              </w:rPr>
              <w:t>Roll</w:t>
            </w:r>
            <w:r w:rsidRPr="00985C2D">
              <w:rPr>
                <w:rFonts w:ascii="Arial" w:hAnsi="Arial" w:cs="Arial"/>
                <w:b/>
                <w:bCs/>
                <w:color w:val="000000" w:themeColor="text1"/>
              </w:rPr>
              <w:noBreakHyphen/>
              <w:t>out of NFCC sector productivity app/products (workforce activity measurement and productivity evidence)</w:t>
            </w:r>
            <w:r w:rsidRPr="00985C2D">
              <w:rPr>
                <w:rFonts w:ascii="Arial" w:hAnsi="Arial" w:cs="Arial"/>
                <w:b/>
                <w:bCs/>
                <w:color w:val="000000" w:themeColor="text1"/>
              </w:rPr>
              <w:br/>
            </w:r>
            <w:r w:rsidRPr="00985C2D">
              <w:rPr>
                <w:rFonts w:ascii="Arial" w:hAnsi="Arial" w:cs="Arial"/>
                <w:color w:val="000000" w:themeColor="text1"/>
              </w:rPr>
              <w:t>During 202</w:t>
            </w:r>
            <w:r>
              <w:rPr>
                <w:rFonts w:ascii="Arial" w:hAnsi="Arial" w:cs="Arial"/>
                <w:color w:val="000000" w:themeColor="text1"/>
              </w:rPr>
              <w:t>6</w:t>
            </w:r>
            <w:r w:rsidRPr="00985C2D">
              <w:rPr>
                <w:rFonts w:ascii="Arial" w:hAnsi="Arial" w:cs="Arial"/>
                <w:color w:val="000000" w:themeColor="text1"/>
              </w:rPr>
              <w:t>/2</w:t>
            </w:r>
            <w:r>
              <w:rPr>
                <w:rFonts w:ascii="Arial" w:hAnsi="Arial" w:cs="Arial"/>
                <w:color w:val="000000" w:themeColor="text1"/>
              </w:rPr>
              <w:t>7</w:t>
            </w:r>
            <w:r w:rsidRPr="00985C2D">
              <w:rPr>
                <w:rFonts w:ascii="Arial" w:hAnsi="Arial" w:cs="Arial"/>
                <w:color w:val="000000" w:themeColor="text1"/>
              </w:rPr>
              <w:t xml:space="preserve"> the Service </w:t>
            </w:r>
            <w:r>
              <w:rPr>
                <w:rFonts w:ascii="Arial" w:hAnsi="Arial" w:cs="Arial"/>
                <w:color w:val="000000" w:themeColor="text1"/>
              </w:rPr>
              <w:t>plans</w:t>
            </w:r>
            <w:r w:rsidRPr="00985C2D">
              <w:rPr>
                <w:rFonts w:ascii="Arial" w:hAnsi="Arial" w:cs="Arial"/>
                <w:color w:val="000000" w:themeColor="text1"/>
              </w:rPr>
              <w:t xml:space="preserve"> to roll out the new sector productivity </w:t>
            </w:r>
            <w:r w:rsidRPr="00985C2D">
              <w:rPr>
                <w:rFonts w:ascii="Arial" w:hAnsi="Arial" w:cs="Arial"/>
                <w:color w:val="000000" w:themeColor="text1"/>
              </w:rPr>
              <w:lastRenderedPageBreak/>
              <w:t>app/products being developed by the NFCC, to strengthen how we capture and evidence day</w:t>
            </w:r>
            <w:r w:rsidRPr="00985C2D">
              <w:rPr>
                <w:rFonts w:ascii="Arial" w:hAnsi="Arial" w:cs="Arial"/>
                <w:color w:val="000000" w:themeColor="text1"/>
              </w:rPr>
              <w:noBreakHyphen/>
              <w:t>to</w:t>
            </w:r>
            <w:r w:rsidRPr="00985C2D">
              <w:rPr>
                <w:rFonts w:ascii="Arial" w:hAnsi="Arial" w:cs="Arial"/>
                <w:color w:val="000000" w:themeColor="text1"/>
              </w:rPr>
              <w:noBreakHyphen/>
              <w:t xml:space="preserve">day firefighter activity and productivity. At present, the Service has a daily work routine framework and uses KPIs/local performance indicators, but it does not capture specific daily workforce activity; the NFCC app/products are intended to address this gap by supporting improved capture and understanding of daily activity, helping demonstrate how productivity is increasing while using the same level of inputs. </w:t>
            </w:r>
          </w:p>
        </w:tc>
      </w:tr>
    </w:tbl>
    <w:p w14:paraId="533F2163" w14:textId="77777777" w:rsidR="00280C7C" w:rsidRDefault="00280C7C" w:rsidP="6218B4DB">
      <w:pPr>
        <w:rPr>
          <w:rFonts w:ascii="Arial" w:hAnsi="Arial" w:cs="Arial"/>
          <w:color w:val="000000" w:themeColor="text1"/>
          <w:szCs w:val="24"/>
          <w:highlight w:val="yellow"/>
        </w:rPr>
      </w:pPr>
    </w:p>
    <w:p w14:paraId="312A0F41" w14:textId="4A3BC867" w:rsidR="00280C7C" w:rsidRPr="00AA3DE8" w:rsidRDefault="00280C7C" w:rsidP="6218B4DB">
      <w:pPr>
        <w:rPr>
          <w:rFonts w:ascii="Arial" w:hAnsi="Arial" w:cs="Arial"/>
          <w:b/>
          <w:bCs/>
          <w:color w:val="000000" w:themeColor="text1"/>
          <w:szCs w:val="24"/>
          <w:highlight w:val="yellow"/>
        </w:rPr>
      </w:pPr>
      <w:r w:rsidRPr="00AA3DE8">
        <w:rPr>
          <w:rFonts w:ascii="Arial" w:hAnsi="Arial" w:cs="Arial"/>
          <w:b/>
          <w:bCs/>
          <w:szCs w:val="24"/>
        </w:rPr>
        <w:t>Workforce Capacity</w:t>
      </w:r>
    </w:p>
    <w:p w14:paraId="0C4C4E84" w14:textId="77777777" w:rsidR="0062718B" w:rsidRDefault="0062718B" w:rsidP="6218B4DB">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280C7C" w:rsidRPr="00AA3DE8" w14:paraId="61C95FF7" w14:textId="77777777" w:rsidTr="31D34A27">
        <w:tc>
          <w:tcPr>
            <w:tcW w:w="8303" w:type="dxa"/>
            <w:shd w:val="clear" w:color="auto" w:fill="F2F2F2" w:themeFill="background1" w:themeFillShade="F2"/>
          </w:tcPr>
          <w:p w14:paraId="1D4206AC" w14:textId="4FE76132" w:rsidR="00840644" w:rsidRDefault="00840644" w:rsidP="00840644">
            <w:pPr>
              <w:rPr>
                <w:rFonts w:ascii="Arial" w:hAnsi="Arial" w:cs="Arial"/>
                <w:szCs w:val="24"/>
              </w:rPr>
            </w:pPr>
            <w:r w:rsidRPr="00840644">
              <w:rPr>
                <w:rFonts w:ascii="Arial" w:hAnsi="Arial" w:cs="Arial"/>
                <w:szCs w:val="24"/>
              </w:rPr>
              <w:t xml:space="preserve">The Service’s approach to workforce capacity measurement and utilisation combines operational systems and performance outputs rather than a single time-and-motion dataset. Capacity and utilisation are evidenced through operational activity and availability indicators, performance dashboards and KPIs used at station and Service levels, and operational systems that reduce non-productive abstraction/disruption (e.g., dynamic cover arrangements). The Service has a daily work routine framework for wholetime crews and monitors outputs and outcomes through established KPIs and local performance indicators (including prevention/protection outputs and training/competence completion). </w:t>
            </w:r>
          </w:p>
          <w:p w14:paraId="6907FAF4" w14:textId="77777777" w:rsidR="00CC3DA1" w:rsidRPr="00840644" w:rsidRDefault="00CC3DA1" w:rsidP="00840644">
            <w:pPr>
              <w:rPr>
                <w:rFonts w:ascii="Arial" w:hAnsi="Arial" w:cs="Arial"/>
                <w:szCs w:val="24"/>
              </w:rPr>
            </w:pPr>
          </w:p>
          <w:p w14:paraId="0906B706" w14:textId="299DE16F" w:rsidR="00840644" w:rsidRDefault="00840644" w:rsidP="00840644">
            <w:pPr>
              <w:rPr>
                <w:rFonts w:ascii="Arial" w:hAnsi="Arial" w:cs="Arial"/>
                <w:szCs w:val="24"/>
              </w:rPr>
            </w:pPr>
            <w:r w:rsidRPr="00840644">
              <w:rPr>
                <w:rFonts w:ascii="Arial" w:hAnsi="Arial" w:cs="Arial"/>
                <w:szCs w:val="24"/>
              </w:rPr>
              <w:t xml:space="preserve">The Service recognises that, at present, </w:t>
            </w:r>
            <w:r w:rsidRPr="00CC3DA1">
              <w:rPr>
                <w:rFonts w:ascii="Arial" w:hAnsi="Arial" w:cs="Arial"/>
                <w:szCs w:val="24"/>
              </w:rPr>
              <w:t xml:space="preserve">it </w:t>
            </w:r>
            <w:r w:rsidRPr="00ED3676">
              <w:rPr>
                <w:rFonts w:ascii="Arial" w:hAnsi="Arial" w:cs="Arial"/>
                <w:szCs w:val="24"/>
              </w:rPr>
              <w:t xml:space="preserve">does not capture specific daily workforce activity in a single consolidated </w:t>
            </w:r>
            <w:r w:rsidR="00D14590" w:rsidRPr="00ED3676">
              <w:rPr>
                <w:rFonts w:ascii="Arial" w:hAnsi="Arial" w:cs="Arial"/>
                <w:szCs w:val="24"/>
              </w:rPr>
              <w:t>dataset</w:t>
            </w:r>
            <w:r w:rsidR="00D14590" w:rsidRPr="00CC3DA1">
              <w:rPr>
                <w:rFonts w:ascii="Arial" w:hAnsi="Arial" w:cs="Arial"/>
                <w:szCs w:val="24"/>
              </w:rPr>
              <w:t xml:space="preserve"> and</w:t>
            </w:r>
            <w:r w:rsidRPr="00840644">
              <w:rPr>
                <w:rFonts w:ascii="Arial" w:hAnsi="Arial" w:cs="Arial"/>
                <w:szCs w:val="24"/>
              </w:rPr>
              <w:t xml:space="preserve"> therefore uses performance and operational output measures as the primary evidence of capacity use and productivity. To strengthen robustness and standardisation, the Service plans to roll out </w:t>
            </w:r>
            <w:r w:rsidRPr="00CC3DA1">
              <w:rPr>
                <w:rFonts w:ascii="Arial" w:hAnsi="Arial" w:cs="Arial"/>
                <w:szCs w:val="24"/>
              </w:rPr>
              <w:t xml:space="preserve">the </w:t>
            </w:r>
            <w:r w:rsidRPr="00ED3676">
              <w:rPr>
                <w:rFonts w:ascii="Arial" w:hAnsi="Arial" w:cs="Arial"/>
                <w:szCs w:val="24"/>
              </w:rPr>
              <w:t>NFCC sector productivity app/products</w:t>
            </w:r>
            <w:r w:rsidRPr="00CC3DA1">
              <w:rPr>
                <w:rFonts w:ascii="Arial" w:hAnsi="Arial" w:cs="Arial"/>
                <w:szCs w:val="24"/>
              </w:rPr>
              <w:t xml:space="preserve"> to improve the capture and evidencing</w:t>
            </w:r>
            <w:r w:rsidRPr="00840644">
              <w:rPr>
                <w:rFonts w:ascii="Arial" w:hAnsi="Arial" w:cs="Arial"/>
                <w:szCs w:val="24"/>
              </w:rPr>
              <w:t xml:space="preserve"> of day-to-day firefighter activity, closing the current gap and enabling stronger demonstration of how productivity is increasing while using the same level of inputs. This aligns with the guidance expectation that services work towards more consistent monitoring and reporting of productivity and capacity. </w:t>
            </w:r>
          </w:p>
          <w:p w14:paraId="771AF205" w14:textId="77777777" w:rsidR="00CC3DA1" w:rsidRPr="00840644" w:rsidRDefault="00CC3DA1" w:rsidP="00840644">
            <w:pPr>
              <w:rPr>
                <w:rFonts w:ascii="Arial" w:hAnsi="Arial" w:cs="Arial"/>
                <w:szCs w:val="24"/>
              </w:rPr>
            </w:pPr>
          </w:p>
          <w:p w14:paraId="7A2835BE" w14:textId="76187EFC" w:rsidR="00AA34B8" w:rsidRDefault="00AA34B8" w:rsidP="00840644">
            <w:pPr>
              <w:rPr>
                <w:rFonts w:ascii="Arial" w:hAnsi="Arial" w:cs="Arial"/>
                <w:szCs w:val="24"/>
              </w:rPr>
            </w:pPr>
            <w:r w:rsidRPr="00AA34B8">
              <w:rPr>
                <w:rFonts w:ascii="Arial" w:hAnsi="Arial" w:cs="Arial"/>
                <w:szCs w:val="24"/>
              </w:rPr>
              <w:t>Although we don’t yet have one single system that records how every firefighter hour is used, our operational tools and performance information show clear productivity improvements. For example, fewer standby moves and better overtime management indicate that we are deploying crews more efficiently and reducing time lost to avoidable abstractions, which in turn releases capacity for outcome</w:t>
            </w:r>
            <w:r w:rsidRPr="00AA34B8">
              <w:rPr>
                <w:rFonts w:ascii="Cambria Math" w:hAnsi="Cambria Math" w:cs="Cambria Math"/>
                <w:szCs w:val="24"/>
              </w:rPr>
              <w:t>‑</w:t>
            </w:r>
            <w:r w:rsidRPr="00AA34B8">
              <w:rPr>
                <w:rFonts w:ascii="Arial" w:hAnsi="Arial" w:cs="Arial"/>
                <w:szCs w:val="24"/>
              </w:rPr>
              <w:t>based activity</w:t>
            </w:r>
            <w:r>
              <w:rPr>
                <w:rFonts w:ascii="Arial" w:hAnsi="Arial" w:cs="Arial"/>
                <w:szCs w:val="24"/>
              </w:rPr>
              <w:t>.</w:t>
            </w:r>
          </w:p>
          <w:p w14:paraId="6964F9A0" w14:textId="0C4DBBFD" w:rsidR="00280C7C" w:rsidRPr="00ED3676" w:rsidRDefault="00840644" w:rsidP="00ED3676">
            <w:pPr>
              <w:rPr>
                <w:rFonts w:ascii="Arial" w:hAnsi="Arial" w:cs="Arial"/>
                <w:szCs w:val="24"/>
              </w:rPr>
            </w:pPr>
            <w:r w:rsidRPr="00840644">
              <w:rPr>
                <w:rFonts w:ascii="Arial" w:hAnsi="Arial" w:cs="Arial"/>
                <w:szCs w:val="24"/>
              </w:rPr>
              <w:br/>
              <w:t xml:space="preserve">Where capacity has been released through reduced disruption and more efficient operating practices, the Service’s intent (and operating model) is to redeploy time to CRMP-aligned outputs: prevention, protection, preparedness, training/assurance and other outcome-based activities monitored through the KPI framework. The planned NFCC productivity app/products will enable clearer </w:t>
            </w:r>
            <w:r w:rsidR="00AA34B8">
              <w:rPr>
                <w:rFonts w:ascii="Arial" w:hAnsi="Arial" w:cs="Arial"/>
                <w:szCs w:val="24"/>
              </w:rPr>
              <w:t>information</w:t>
            </w:r>
            <w:r w:rsidRPr="00840644">
              <w:rPr>
                <w:rFonts w:ascii="Arial" w:hAnsi="Arial" w:cs="Arial"/>
                <w:szCs w:val="24"/>
              </w:rPr>
              <w:t xml:space="preserve"> of where released time is specifically allocated</w:t>
            </w:r>
            <w:r w:rsidR="00F5766F">
              <w:rPr>
                <w:rFonts w:ascii="Arial" w:hAnsi="Arial" w:cs="Arial"/>
                <w:szCs w:val="24"/>
              </w:rPr>
              <w:t>.</w:t>
            </w:r>
          </w:p>
        </w:tc>
      </w:tr>
    </w:tbl>
    <w:p w14:paraId="057375B4" w14:textId="77777777" w:rsidR="00280C7C" w:rsidRPr="00AA3DE8" w:rsidRDefault="00280C7C" w:rsidP="6218B4DB">
      <w:pPr>
        <w:rPr>
          <w:rFonts w:ascii="Arial" w:hAnsi="Arial" w:cs="Arial"/>
          <w:color w:val="000000" w:themeColor="text1"/>
          <w:szCs w:val="24"/>
          <w:highlight w:val="yellow"/>
        </w:rPr>
      </w:pPr>
    </w:p>
    <w:p w14:paraId="61AEAD34" w14:textId="78ACD469" w:rsidR="687566A8" w:rsidRPr="00AA3DE8" w:rsidRDefault="687566A8" w:rsidP="44AC8DC3">
      <w:pPr>
        <w:spacing w:line="259" w:lineRule="auto"/>
        <w:rPr>
          <w:rFonts w:ascii="Arial" w:hAnsi="Arial" w:cs="Arial"/>
          <w:szCs w:val="24"/>
        </w:rPr>
      </w:pPr>
      <w:r w:rsidRPr="00AA3DE8">
        <w:rPr>
          <w:rFonts w:ascii="Arial" w:hAnsi="Arial" w:cs="Arial"/>
          <w:b/>
          <w:bCs/>
          <w:szCs w:val="24"/>
        </w:rPr>
        <w:t>Increasing Productivity</w:t>
      </w:r>
    </w:p>
    <w:p w14:paraId="76E203AF" w14:textId="77777777" w:rsidR="0062718B" w:rsidRDefault="0062718B" w:rsidP="6218B4DB">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BD2E9A" w:rsidRPr="00AA3DE8" w14:paraId="77EB55CA" w14:textId="77777777" w:rsidTr="68B4AB18">
        <w:tc>
          <w:tcPr>
            <w:tcW w:w="8303" w:type="dxa"/>
            <w:shd w:val="clear" w:color="auto" w:fill="F2F2F2" w:themeFill="background1" w:themeFillShade="F2"/>
          </w:tcPr>
          <w:p w14:paraId="34C096FF" w14:textId="322ECFF4" w:rsidR="00D45072" w:rsidRDefault="00D45072" w:rsidP="00D45072">
            <w:pPr>
              <w:rPr>
                <w:rFonts w:ascii="Arial" w:hAnsi="Arial" w:cs="Arial"/>
                <w:szCs w:val="24"/>
              </w:rPr>
            </w:pPr>
            <w:r w:rsidRPr="00D45072">
              <w:rPr>
                <w:rFonts w:ascii="Arial" w:hAnsi="Arial" w:cs="Arial"/>
                <w:szCs w:val="24"/>
              </w:rPr>
              <w:lastRenderedPageBreak/>
              <w:t>Over the Spending Review period and into 2025/26 onwards, the Service has increased productivity by increasing prevention and protection outputs, improving the timeliness and quality of regulatory work, and reducing unproductive demand</w:t>
            </w:r>
            <w:r w:rsidR="00890183">
              <w:rPr>
                <w:rFonts w:ascii="Arial" w:hAnsi="Arial" w:cs="Arial"/>
                <w:szCs w:val="24"/>
              </w:rPr>
              <w:t>;</w:t>
            </w:r>
            <w:r w:rsidRPr="00D45072">
              <w:rPr>
                <w:rFonts w:ascii="Arial" w:hAnsi="Arial" w:cs="Arial"/>
                <w:szCs w:val="24"/>
              </w:rPr>
              <w:t xml:space="preserve"> supported by digital and operating model changes that enable staff to spend more time on value</w:t>
            </w:r>
            <w:r w:rsidRPr="00D45072">
              <w:rPr>
                <w:rFonts w:ascii="Cambria Math" w:hAnsi="Cambria Math" w:cs="Cambria Math"/>
                <w:szCs w:val="24"/>
              </w:rPr>
              <w:t>‑</w:t>
            </w:r>
            <w:r w:rsidRPr="00D45072">
              <w:rPr>
                <w:rFonts w:ascii="Arial" w:hAnsi="Arial" w:cs="Arial"/>
                <w:szCs w:val="24"/>
              </w:rPr>
              <w:t>adding activity. In 2025/26, the Service increased its prevention ambition with an HFSC target of 23,352, supported by a restructuring of the approach to better target vulnerable groups.  Productivity has also improved through regulatory and process transformation: the Service reports building regulation consultation timeliness improving from 76.3% (2022/23) to 94.6% (year</w:t>
            </w:r>
            <w:r w:rsidRPr="00D45072">
              <w:rPr>
                <w:rFonts w:ascii="Cambria Math" w:hAnsi="Cambria Math" w:cs="Cambria Math"/>
                <w:szCs w:val="24"/>
              </w:rPr>
              <w:t>‑</w:t>
            </w:r>
            <w:r w:rsidRPr="00D45072">
              <w:rPr>
                <w:rFonts w:ascii="Arial" w:hAnsi="Arial" w:cs="Arial"/>
                <w:szCs w:val="24"/>
              </w:rPr>
              <w:t>to</w:t>
            </w:r>
            <w:r w:rsidRPr="00D45072">
              <w:rPr>
                <w:rFonts w:ascii="Cambria Math" w:hAnsi="Cambria Math" w:cs="Cambria Math"/>
                <w:szCs w:val="24"/>
              </w:rPr>
              <w:t>‑</w:t>
            </w:r>
            <w:r w:rsidRPr="00D45072">
              <w:rPr>
                <w:rFonts w:ascii="Arial" w:hAnsi="Arial" w:cs="Arial"/>
                <w:szCs w:val="24"/>
              </w:rPr>
              <w:t>date), indicating improved throughput and performance outcomes without proportionate additional inputs.  In parallel, reducing unproductive demand has released capacity: the move to 24</w:t>
            </w:r>
            <w:r w:rsidRPr="00D45072">
              <w:rPr>
                <w:rFonts w:ascii="Cambria Math" w:hAnsi="Cambria Math" w:cs="Cambria Math"/>
                <w:szCs w:val="24"/>
              </w:rPr>
              <w:t>‑</w:t>
            </w:r>
            <w:r w:rsidRPr="00D45072">
              <w:rPr>
                <w:rFonts w:ascii="Arial" w:hAnsi="Arial" w:cs="Arial"/>
                <w:szCs w:val="24"/>
              </w:rPr>
              <w:t>hour adoption of a policy change reduced unwanted mobilisations, with disruption reduction calculated at 1,383 hours over the last 12 months, supporting increased prevention/protection delivery.</w:t>
            </w:r>
          </w:p>
          <w:p w14:paraId="05CAB189" w14:textId="77777777" w:rsidR="00B8314D" w:rsidRPr="00D45072" w:rsidRDefault="00B8314D" w:rsidP="00D45072">
            <w:pPr>
              <w:rPr>
                <w:rFonts w:ascii="Arial" w:hAnsi="Arial" w:cs="Arial"/>
                <w:szCs w:val="24"/>
              </w:rPr>
            </w:pPr>
          </w:p>
          <w:p w14:paraId="4415159F" w14:textId="64D62368" w:rsidR="00BD2E9A" w:rsidRPr="008257D6" w:rsidRDefault="00D45072" w:rsidP="00D45072">
            <w:pPr>
              <w:rPr>
                <w:rFonts w:ascii="Arial" w:hAnsi="Arial" w:cs="Arial"/>
                <w:color w:val="000000" w:themeColor="text1"/>
                <w:szCs w:val="24"/>
                <w:highlight w:val="yellow"/>
              </w:rPr>
            </w:pPr>
            <w:r w:rsidRPr="00D45072">
              <w:rPr>
                <w:rFonts w:ascii="Arial" w:hAnsi="Arial" w:cs="Arial"/>
                <w:szCs w:val="24"/>
              </w:rPr>
              <w:t>In addition, 2025/26 operational productivity has been supported by reduced disruption and improved deployment decisions through dynamic cover/resource management approaches. For example, on</w:t>
            </w:r>
            <w:r w:rsidRPr="00D45072">
              <w:rPr>
                <w:rFonts w:ascii="Cambria Math" w:hAnsi="Cambria Math" w:cs="Cambria Math"/>
                <w:szCs w:val="24"/>
              </w:rPr>
              <w:t>‑</w:t>
            </w:r>
            <w:r w:rsidRPr="00D45072">
              <w:rPr>
                <w:rFonts w:ascii="Arial" w:hAnsi="Arial" w:cs="Arial"/>
                <w:szCs w:val="24"/>
              </w:rPr>
              <w:t>call standby moves reduced from 979 to 653 (33%), and all standby moves reduced from 1,613 to 1,026 (36%), indicating a broad reduction in standby activity and associated interruption to crews.  Alongside improved overtime management (with £627,789 delivered in 2025/26), these changes provide practical evidence that capacity is being used more efficiently and that time is being released for CRMP</w:t>
            </w:r>
            <w:r w:rsidRPr="00D45072">
              <w:rPr>
                <w:rFonts w:ascii="Cambria Math" w:hAnsi="Cambria Math" w:cs="Cambria Math"/>
                <w:szCs w:val="24"/>
              </w:rPr>
              <w:t>‑</w:t>
            </w:r>
            <w:r w:rsidRPr="00D45072">
              <w:rPr>
                <w:rFonts w:ascii="Arial" w:hAnsi="Arial" w:cs="Arial"/>
                <w:szCs w:val="24"/>
              </w:rPr>
              <w:t>aligned, outcome</w:t>
            </w:r>
            <w:r w:rsidRPr="00D45072">
              <w:rPr>
                <w:rFonts w:ascii="Cambria Math" w:hAnsi="Cambria Math" w:cs="Cambria Math"/>
                <w:szCs w:val="24"/>
              </w:rPr>
              <w:t>‑</w:t>
            </w:r>
            <w:r w:rsidRPr="00D45072">
              <w:rPr>
                <w:rFonts w:ascii="Arial" w:hAnsi="Arial" w:cs="Arial"/>
                <w:szCs w:val="24"/>
              </w:rPr>
              <w:t>based activity.</w:t>
            </w:r>
          </w:p>
        </w:tc>
      </w:tr>
    </w:tbl>
    <w:p w14:paraId="4C9774B4" w14:textId="1DE0A5AC" w:rsidR="00280C7C" w:rsidRPr="00AA3DE8" w:rsidRDefault="00280C7C" w:rsidP="6218B4DB">
      <w:pPr>
        <w:rPr>
          <w:rFonts w:ascii="Arial" w:hAnsi="Arial" w:cs="Arial"/>
          <w:color w:val="000000" w:themeColor="text1"/>
          <w:szCs w:val="24"/>
          <w:highlight w:val="yellow"/>
        </w:rPr>
      </w:pPr>
    </w:p>
    <w:p w14:paraId="6F7AA861" w14:textId="77777777" w:rsidR="00816B8C" w:rsidRPr="00AA3DE8" w:rsidRDefault="00816B8C">
      <w:pPr>
        <w:rPr>
          <w:rFonts w:ascii="Arial" w:hAnsi="Arial" w:cs="Arial"/>
          <w:b/>
          <w:bCs/>
          <w:szCs w:val="24"/>
        </w:rPr>
      </w:pPr>
      <w:r w:rsidRPr="00AA3DE8">
        <w:rPr>
          <w:rFonts w:ascii="Arial" w:hAnsi="Arial" w:cs="Arial"/>
          <w:b/>
          <w:bCs/>
          <w:szCs w:val="24"/>
        </w:rPr>
        <w:br w:type="page"/>
      </w:r>
    </w:p>
    <w:p w14:paraId="1DDEB8E2" w14:textId="7F319A68" w:rsidR="00816B8C" w:rsidRPr="00AA3DE8" w:rsidRDefault="008341D3" w:rsidP="00816B8C">
      <w:pPr>
        <w:rPr>
          <w:rFonts w:ascii="Arial" w:hAnsi="Arial" w:cs="Arial"/>
          <w:b/>
          <w:bCs/>
          <w:color w:val="000000" w:themeColor="text1"/>
          <w:szCs w:val="24"/>
          <w:highlight w:val="yellow"/>
        </w:rPr>
      </w:pPr>
      <w:r w:rsidRPr="00AA3DE8">
        <w:rPr>
          <w:rFonts w:ascii="Arial" w:hAnsi="Arial" w:cs="Arial"/>
          <w:b/>
          <w:bCs/>
          <w:szCs w:val="24"/>
        </w:rPr>
        <w:lastRenderedPageBreak/>
        <w:t>Service Changes and Achievements</w:t>
      </w:r>
    </w:p>
    <w:p w14:paraId="04677AE4" w14:textId="77777777" w:rsidR="00816B8C" w:rsidRDefault="00816B8C" w:rsidP="00816B8C">
      <w:pPr>
        <w:rPr>
          <w:rFonts w:ascii="Arial" w:hAnsi="Arial" w:cs="Arial"/>
          <w:b/>
          <w:bCs/>
          <w:color w:val="000000" w:themeColor="text1"/>
          <w:szCs w:val="24"/>
          <w:highlight w:val="yellow"/>
        </w:rPr>
      </w:pPr>
    </w:p>
    <w:p w14:paraId="486C91B0" w14:textId="12541D3F" w:rsidR="00DB3246" w:rsidRPr="00AA3DE8" w:rsidRDefault="00DB3246" w:rsidP="00DB3246">
      <w:pPr>
        <w:rPr>
          <w:rFonts w:ascii="Arial" w:hAnsi="Arial" w:cs="Arial"/>
          <w:b/>
          <w:bCs/>
          <w:color w:val="000000" w:themeColor="text1"/>
          <w:szCs w:val="24"/>
        </w:rPr>
      </w:pPr>
      <w:r w:rsidRPr="00AA3DE8">
        <w:rPr>
          <w:rFonts w:ascii="Arial" w:hAnsi="Arial" w:cs="Arial"/>
          <w:b/>
          <w:bCs/>
          <w:color w:val="000000" w:themeColor="text1"/>
          <w:szCs w:val="24"/>
        </w:rPr>
        <w:t>What is the service doing differently this year?</w:t>
      </w:r>
    </w:p>
    <w:p w14:paraId="1F7988F0" w14:textId="77777777" w:rsidR="00475D37" w:rsidRDefault="00475D37" w:rsidP="00DB3246">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DB3246" w:rsidRPr="00AA3DE8" w14:paraId="4992BFBD" w14:textId="77777777" w:rsidTr="00B24F1A">
        <w:tc>
          <w:tcPr>
            <w:tcW w:w="8303" w:type="dxa"/>
            <w:shd w:val="clear" w:color="auto" w:fill="F2F2F2" w:themeFill="background1" w:themeFillShade="F2"/>
          </w:tcPr>
          <w:p w14:paraId="6BC2B3BF" w14:textId="77777777" w:rsidR="00CB7EA8" w:rsidRPr="0043011B" w:rsidRDefault="00CB7EA8" w:rsidP="00CB7EA8">
            <w:pPr>
              <w:rPr>
                <w:rFonts w:ascii="Arial" w:hAnsi="Arial" w:cs="Arial"/>
                <w:b/>
                <w:bCs/>
                <w:szCs w:val="24"/>
              </w:rPr>
            </w:pPr>
            <w:r w:rsidRPr="0043011B">
              <w:rPr>
                <w:rFonts w:ascii="Arial" w:hAnsi="Arial" w:cs="Arial"/>
                <w:b/>
                <w:bCs/>
                <w:szCs w:val="24"/>
              </w:rPr>
              <w:t>Modern Ways of Working Board</w:t>
            </w:r>
          </w:p>
          <w:p w14:paraId="27768446" w14:textId="77777777" w:rsidR="00CB7EA8" w:rsidRDefault="00CB7EA8" w:rsidP="00CB7EA8">
            <w:pPr>
              <w:rPr>
                <w:rFonts w:ascii="Arial" w:hAnsi="Arial" w:cs="Arial"/>
                <w:szCs w:val="24"/>
              </w:rPr>
            </w:pPr>
            <w:r w:rsidRPr="00FC4794">
              <w:rPr>
                <w:rFonts w:ascii="Arial" w:hAnsi="Arial" w:cs="Arial"/>
                <w:szCs w:val="24"/>
              </w:rPr>
              <w:t>The Modern Ways of Working (MWoW) Board was established in 2025 to create a bottom</w:t>
            </w:r>
            <w:r w:rsidRPr="00FC4794">
              <w:rPr>
                <w:rFonts w:ascii="Cambria Math" w:hAnsi="Cambria Math" w:cs="Cambria Math"/>
                <w:szCs w:val="24"/>
              </w:rPr>
              <w:t>‑</w:t>
            </w:r>
            <w:r w:rsidRPr="00FC4794">
              <w:rPr>
                <w:rFonts w:ascii="Arial" w:hAnsi="Arial" w:cs="Arial"/>
                <w:szCs w:val="24"/>
              </w:rPr>
              <w:t>up, workforce</w:t>
            </w:r>
            <w:r w:rsidRPr="00FC4794">
              <w:rPr>
                <w:rFonts w:ascii="Cambria Math" w:hAnsi="Cambria Math" w:cs="Cambria Math"/>
                <w:szCs w:val="24"/>
              </w:rPr>
              <w:t>‑</w:t>
            </w:r>
            <w:r w:rsidRPr="00FC4794">
              <w:rPr>
                <w:rFonts w:ascii="Arial" w:hAnsi="Arial" w:cs="Arial"/>
                <w:szCs w:val="24"/>
              </w:rPr>
              <w:t>led route for identifying practical productivity and efficiency improvements, with a particular focus on digital modernisation and smarter ways of working. The Board provides a structured gateway through which any member of staff can submit ideas via a central portal, with proposals reviewed and prioritised by a cross</w:t>
            </w:r>
            <w:r w:rsidRPr="00FC4794">
              <w:rPr>
                <w:rFonts w:ascii="Cambria Math" w:hAnsi="Cambria Math" w:cs="Cambria Math"/>
                <w:szCs w:val="24"/>
              </w:rPr>
              <w:t>‑</w:t>
            </w:r>
            <w:r w:rsidRPr="00FC4794">
              <w:rPr>
                <w:rFonts w:ascii="Arial" w:hAnsi="Arial" w:cs="Arial"/>
                <w:szCs w:val="24"/>
              </w:rPr>
              <w:t>section of representatives from across operational and corporate functions. The Board focuses on initiatives that simplify processes, reduce manual and duplicated activity, and make better use of existing digital tools and data. Through this approach, MWoW supports both cashable efficiencies (where expenditure can be genuinely reduced or avoided) and non</w:t>
            </w:r>
            <w:r w:rsidRPr="00FC4794">
              <w:rPr>
                <w:rFonts w:ascii="Cambria Math" w:hAnsi="Cambria Math" w:cs="Cambria Math"/>
                <w:szCs w:val="24"/>
              </w:rPr>
              <w:t>‑</w:t>
            </w:r>
            <w:r w:rsidRPr="00FC4794">
              <w:rPr>
                <w:rFonts w:ascii="Arial" w:hAnsi="Arial" w:cs="Arial"/>
                <w:szCs w:val="24"/>
              </w:rPr>
              <w:t>cashable productivity gains, where staff time and capacity are released and redeployed to higher</w:t>
            </w:r>
            <w:r w:rsidRPr="00FC4794">
              <w:rPr>
                <w:rFonts w:ascii="Cambria Math" w:hAnsi="Cambria Math" w:cs="Cambria Math"/>
                <w:szCs w:val="24"/>
              </w:rPr>
              <w:t>‑</w:t>
            </w:r>
            <w:r w:rsidRPr="00FC4794">
              <w:rPr>
                <w:rFonts w:ascii="Arial" w:hAnsi="Arial" w:cs="Arial"/>
                <w:szCs w:val="24"/>
              </w:rPr>
              <w:t>value prevention, protection, operational and assurance activity. Ideas endorsed by the Board feed directly into the Service’s Productivity &amp; Efficiency Tracker and, where appropriate, into the annual Productivity &amp; Efficiency Plan.</w:t>
            </w:r>
          </w:p>
          <w:p w14:paraId="08BD3BD6" w14:textId="77777777" w:rsidR="00CB7EA8" w:rsidRDefault="00CB7EA8" w:rsidP="00CB7EA8">
            <w:pPr>
              <w:rPr>
                <w:rFonts w:ascii="Arial" w:hAnsi="Arial" w:cs="Arial"/>
                <w:szCs w:val="24"/>
              </w:rPr>
            </w:pPr>
          </w:p>
          <w:p w14:paraId="5EAD4261" w14:textId="77777777" w:rsidR="00CB7EA8" w:rsidRPr="00D760D3" w:rsidRDefault="00CB7EA8" w:rsidP="00CB7EA8">
            <w:pPr>
              <w:rPr>
                <w:rFonts w:ascii="Arial" w:hAnsi="Arial" w:cs="Arial"/>
                <w:szCs w:val="24"/>
              </w:rPr>
            </w:pPr>
            <w:r w:rsidRPr="00D760D3">
              <w:rPr>
                <w:rFonts w:ascii="Arial" w:hAnsi="Arial" w:cs="Arial"/>
                <w:szCs w:val="24"/>
              </w:rPr>
              <w:t>The following initiatives were submitted via the MWoW ideas portal, reviewed by the Board, and are included in the 2026/27 plan, demonstrating the practical impact of the bottom</w:t>
            </w:r>
            <w:r w:rsidRPr="00D760D3">
              <w:rPr>
                <w:rFonts w:ascii="Cambria Math" w:hAnsi="Cambria Math" w:cs="Cambria Math"/>
                <w:szCs w:val="24"/>
              </w:rPr>
              <w:t>‑</w:t>
            </w:r>
            <w:r w:rsidRPr="00D760D3">
              <w:rPr>
                <w:rFonts w:ascii="Arial" w:hAnsi="Arial" w:cs="Arial"/>
                <w:szCs w:val="24"/>
              </w:rPr>
              <w:t>up approach:</w:t>
            </w:r>
          </w:p>
          <w:p w14:paraId="37D86193" w14:textId="77777777" w:rsidR="00CB7EA8" w:rsidRPr="00D760D3" w:rsidRDefault="00CB7EA8" w:rsidP="00CB7EA8">
            <w:pPr>
              <w:rPr>
                <w:rFonts w:ascii="Arial" w:hAnsi="Arial" w:cs="Arial"/>
                <w:szCs w:val="24"/>
              </w:rPr>
            </w:pPr>
            <w:r w:rsidRPr="00D760D3">
              <w:rPr>
                <w:rFonts w:ascii="Arial" w:hAnsi="Arial" w:cs="Arial"/>
                <w:szCs w:val="24"/>
              </w:rPr>
              <w:t>Digital / Data</w:t>
            </w:r>
            <w:r w:rsidRPr="00D760D3">
              <w:rPr>
                <w:rFonts w:ascii="Cambria Math" w:hAnsi="Cambria Math" w:cs="Cambria Math"/>
                <w:szCs w:val="24"/>
              </w:rPr>
              <w:t>‑</w:t>
            </w:r>
            <w:r w:rsidRPr="00D760D3">
              <w:rPr>
                <w:rFonts w:ascii="Arial" w:hAnsi="Arial" w:cs="Arial"/>
                <w:szCs w:val="24"/>
              </w:rPr>
              <w:t>enabled productivity improvements</w:t>
            </w:r>
          </w:p>
          <w:p w14:paraId="0324122F" w14:textId="77777777" w:rsidR="00CB7EA8" w:rsidRPr="00D760D3" w:rsidRDefault="00CB7EA8" w:rsidP="00CB7EA8">
            <w:pPr>
              <w:rPr>
                <w:rFonts w:ascii="Arial" w:hAnsi="Arial" w:cs="Arial"/>
                <w:szCs w:val="24"/>
              </w:rPr>
            </w:pPr>
          </w:p>
          <w:p w14:paraId="637D7928" w14:textId="77777777" w:rsidR="00CB7EA8" w:rsidRPr="00D760D3" w:rsidRDefault="00CB7EA8" w:rsidP="00CB7EA8">
            <w:pPr>
              <w:pStyle w:val="ListParagraph"/>
              <w:numPr>
                <w:ilvl w:val="0"/>
                <w:numId w:val="6"/>
              </w:numPr>
              <w:rPr>
                <w:rFonts w:ascii="Arial" w:hAnsi="Arial" w:cs="Arial"/>
                <w:szCs w:val="24"/>
              </w:rPr>
            </w:pPr>
            <w:r w:rsidRPr="00D760D3">
              <w:rPr>
                <w:rFonts w:ascii="Arial" w:hAnsi="Arial" w:cs="Arial"/>
                <w:szCs w:val="24"/>
              </w:rPr>
              <w:t>MODAS on appliance iPads and rear MDTs – non</w:t>
            </w:r>
            <w:r w:rsidRPr="00D760D3">
              <w:rPr>
                <w:rFonts w:ascii="Cambria Math" w:hAnsi="Cambria Math" w:cs="Cambria Math"/>
                <w:szCs w:val="24"/>
              </w:rPr>
              <w:t>‑</w:t>
            </w:r>
            <w:r w:rsidRPr="00D760D3">
              <w:rPr>
                <w:rFonts w:ascii="Arial" w:hAnsi="Arial" w:cs="Arial"/>
                <w:szCs w:val="24"/>
              </w:rPr>
              <w:t>cashable productivity gain through digitisation of incident command support, eliminating paper processes and post</w:t>
            </w:r>
            <w:r w:rsidRPr="00D760D3">
              <w:rPr>
                <w:rFonts w:ascii="Cambria Math" w:hAnsi="Cambria Math" w:cs="Cambria Math"/>
                <w:szCs w:val="24"/>
              </w:rPr>
              <w:t>‑</w:t>
            </w:r>
            <w:r w:rsidRPr="00D760D3">
              <w:rPr>
                <w:rFonts w:ascii="Arial" w:hAnsi="Arial" w:cs="Arial"/>
                <w:szCs w:val="24"/>
              </w:rPr>
              <w:t>incident re</w:t>
            </w:r>
            <w:r w:rsidRPr="00D760D3">
              <w:rPr>
                <w:rFonts w:ascii="Cambria Math" w:hAnsi="Cambria Math" w:cs="Cambria Math"/>
                <w:szCs w:val="24"/>
              </w:rPr>
              <w:t>‑</w:t>
            </w:r>
            <w:r w:rsidRPr="00D760D3">
              <w:rPr>
                <w:rFonts w:ascii="Arial" w:hAnsi="Arial" w:cs="Arial"/>
                <w:szCs w:val="24"/>
              </w:rPr>
              <w:t>keying.</w:t>
            </w:r>
          </w:p>
          <w:p w14:paraId="5F9DE92B" w14:textId="77777777" w:rsidR="00CB7EA8" w:rsidRPr="00D760D3" w:rsidRDefault="00CB7EA8" w:rsidP="00CB7EA8">
            <w:pPr>
              <w:pStyle w:val="ListParagraph"/>
              <w:numPr>
                <w:ilvl w:val="0"/>
                <w:numId w:val="6"/>
              </w:numPr>
              <w:rPr>
                <w:rFonts w:ascii="Arial" w:hAnsi="Arial" w:cs="Arial"/>
                <w:szCs w:val="24"/>
              </w:rPr>
            </w:pPr>
            <w:r w:rsidRPr="00D760D3">
              <w:rPr>
                <w:rFonts w:ascii="Arial" w:hAnsi="Arial" w:cs="Arial"/>
                <w:szCs w:val="24"/>
              </w:rPr>
              <w:t>Digitisation of the OPSCOM1 Incident Command Assessment Form – non</w:t>
            </w:r>
            <w:r w:rsidRPr="00D760D3">
              <w:rPr>
                <w:rFonts w:ascii="Cambria Math" w:hAnsi="Cambria Math" w:cs="Cambria Math"/>
                <w:szCs w:val="24"/>
              </w:rPr>
              <w:t>‑</w:t>
            </w:r>
            <w:r w:rsidRPr="00D760D3">
              <w:rPr>
                <w:rFonts w:ascii="Arial" w:hAnsi="Arial" w:cs="Arial"/>
                <w:szCs w:val="24"/>
              </w:rPr>
              <w:t>cashable productivity gain releasing assessor capacity and strengthening operational assurance.</w:t>
            </w:r>
          </w:p>
          <w:p w14:paraId="4806F734" w14:textId="77777777" w:rsidR="00CB7EA8" w:rsidRPr="00D760D3" w:rsidRDefault="00CB7EA8" w:rsidP="00CB7EA8">
            <w:pPr>
              <w:pStyle w:val="ListParagraph"/>
              <w:numPr>
                <w:ilvl w:val="0"/>
                <w:numId w:val="6"/>
              </w:numPr>
              <w:rPr>
                <w:rFonts w:ascii="Arial" w:hAnsi="Arial" w:cs="Arial"/>
                <w:szCs w:val="24"/>
              </w:rPr>
            </w:pPr>
            <w:r w:rsidRPr="00D760D3">
              <w:rPr>
                <w:rFonts w:ascii="Arial" w:hAnsi="Arial" w:cs="Arial"/>
                <w:szCs w:val="24"/>
              </w:rPr>
              <w:t>Electronic TS1 form (on</w:t>
            </w:r>
            <w:r w:rsidRPr="00D760D3">
              <w:rPr>
                <w:rFonts w:ascii="Cambria Math" w:hAnsi="Cambria Math" w:cs="Cambria Math"/>
                <w:szCs w:val="24"/>
              </w:rPr>
              <w:t>‑</w:t>
            </w:r>
            <w:r w:rsidRPr="00D760D3">
              <w:rPr>
                <w:rFonts w:ascii="Arial" w:hAnsi="Arial" w:cs="Arial"/>
                <w:szCs w:val="24"/>
              </w:rPr>
              <w:t>scene completion) – non</w:t>
            </w:r>
            <w:r w:rsidRPr="00D760D3">
              <w:rPr>
                <w:rFonts w:ascii="Cambria Math" w:hAnsi="Cambria Math" w:cs="Cambria Math"/>
                <w:szCs w:val="24"/>
              </w:rPr>
              <w:t>‑</w:t>
            </w:r>
            <w:r w:rsidRPr="00D760D3">
              <w:rPr>
                <w:rFonts w:ascii="Arial" w:hAnsi="Arial" w:cs="Arial"/>
                <w:szCs w:val="24"/>
              </w:rPr>
              <w:t>cashable productivity gain through improved data quality and reduced follow</w:t>
            </w:r>
            <w:r w:rsidRPr="00D760D3">
              <w:rPr>
                <w:rFonts w:ascii="Cambria Math" w:hAnsi="Cambria Math" w:cs="Cambria Math"/>
                <w:szCs w:val="24"/>
              </w:rPr>
              <w:t>‑</w:t>
            </w:r>
            <w:r w:rsidRPr="00D760D3">
              <w:rPr>
                <w:rFonts w:ascii="Arial" w:hAnsi="Arial" w:cs="Arial"/>
                <w:szCs w:val="24"/>
              </w:rPr>
              <w:t>up effort; also supports wider prevention and national safety outcomes.</w:t>
            </w:r>
          </w:p>
          <w:p w14:paraId="4E4664E6" w14:textId="77777777" w:rsidR="00CB7EA8" w:rsidRPr="00D760D3" w:rsidRDefault="00CB7EA8" w:rsidP="00CB7EA8">
            <w:pPr>
              <w:pStyle w:val="ListParagraph"/>
              <w:numPr>
                <w:ilvl w:val="0"/>
                <w:numId w:val="6"/>
              </w:numPr>
              <w:rPr>
                <w:rFonts w:ascii="Arial" w:hAnsi="Arial" w:cs="Arial"/>
                <w:szCs w:val="24"/>
              </w:rPr>
            </w:pPr>
            <w:r w:rsidRPr="00D760D3">
              <w:rPr>
                <w:rFonts w:ascii="Arial" w:hAnsi="Arial" w:cs="Arial"/>
                <w:szCs w:val="24"/>
              </w:rPr>
              <w:t>Fitness assessment digitisation improvements – non</w:t>
            </w:r>
            <w:r w:rsidRPr="00D760D3">
              <w:rPr>
                <w:rFonts w:ascii="Cambria Math" w:hAnsi="Cambria Math" w:cs="Cambria Math"/>
                <w:szCs w:val="24"/>
              </w:rPr>
              <w:t>‑</w:t>
            </w:r>
            <w:r w:rsidRPr="00D760D3">
              <w:rPr>
                <w:rFonts w:ascii="Arial" w:hAnsi="Arial" w:cs="Arial"/>
                <w:szCs w:val="24"/>
              </w:rPr>
              <w:t>cashable productivity gain by removing paper handling and releasing PTI and SHE administrative time.</w:t>
            </w:r>
          </w:p>
          <w:p w14:paraId="7D99B1AE" w14:textId="77777777" w:rsidR="00CB7EA8" w:rsidRPr="00D760D3" w:rsidRDefault="00CB7EA8" w:rsidP="00CB7EA8">
            <w:pPr>
              <w:rPr>
                <w:rFonts w:ascii="Arial" w:hAnsi="Arial" w:cs="Arial"/>
                <w:szCs w:val="24"/>
              </w:rPr>
            </w:pPr>
          </w:p>
          <w:p w14:paraId="0C425028" w14:textId="77777777" w:rsidR="00CB7EA8" w:rsidRPr="00D760D3" w:rsidRDefault="00CB7EA8" w:rsidP="00CB7EA8">
            <w:pPr>
              <w:rPr>
                <w:rFonts w:ascii="Arial" w:hAnsi="Arial" w:cs="Arial"/>
                <w:szCs w:val="24"/>
              </w:rPr>
            </w:pPr>
            <w:r w:rsidRPr="00D760D3">
              <w:rPr>
                <w:rFonts w:ascii="Arial" w:hAnsi="Arial" w:cs="Arial"/>
                <w:szCs w:val="24"/>
              </w:rPr>
              <w:t>Administrative efficiency and service enablement</w:t>
            </w:r>
          </w:p>
          <w:p w14:paraId="6709D064" w14:textId="77777777" w:rsidR="00CB7EA8" w:rsidRPr="00D760D3" w:rsidRDefault="00CB7EA8" w:rsidP="00CB7EA8">
            <w:pPr>
              <w:rPr>
                <w:rFonts w:ascii="Arial" w:hAnsi="Arial" w:cs="Arial"/>
                <w:szCs w:val="24"/>
              </w:rPr>
            </w:pPr>
          </w:p>
          <w:p w14:paraId="7E8C7F90" w14:textId="77777777" w:rsidR="00CB7EA8" w:rsidRPr="00D760D3" w:rsidRDefault="00CB7EA8" w:rsidP="00CB7EA8">
            <w:pPr>
              <w:pStyle w:val="ListParagraph"/>
              <w:numPr>
                <w:ilvl w:val="0"/>
                <w:numId w:val="6"/>
              </w:numPr>
              <w:rPr>
                <w:rFonts w:ascii="Arial" w:hAnsi="Arial" w:cs="Arial"/>
                <w:szCs w:val="24"/>
              </w:rPr>
            </w:pPr>
            <w:r w:rsidRPr="00D760D3">
              <w:rPr>
                <w:rFonts w:ascii="Arial" w:hAnsi="Arial" w:cs="Arial"/>
                <w:szCs w:val="24"/>
              </w:rPr>
              <w:t>Online booking system for LDC facilities – non</w:t>
            </w:r>
            <w:r w:rsidRPr="00D760D3">
              <w:rPr>
                <w:rFonts w:ascii="Cambria Math" w:hAnsi="Cambria Math" w:cs="Cambria Math"/>
                <w:szCs w:val="24"/>
              </w:rPr>
              <w:t>‑</w:t>
            </w:r>
            <w:r w:rsidRPr="00D760D3">
              <w:rPr>
                <w:rFonts w:ascii="Arial" w:hAnsi="Arial" w:cs="Arial"/>
                <w:szCs w:val="24"/>
              </w:rPr>
              <w:t>cashable efficiency through reduced administrative handling and improved utilisation of training assets.</w:t>
            </w:r>
          </w:p>
          <w:p w14:paraId="1758ED42" w14:textId="51FF8EB7" w:rsidR="00DB3246" w:rsidRPr="00AB59E4" w:rsidRDefault="00CB7EA8" w:rsidP="00AB59E4">
            <w:pPr>
              <w:pStyle w:val="ListParagraph"/>
              <w:numPr>
                <w:ilvl w:val="0"/>
                <w:numId w:val="6"/>
              </w:numPr>
              <w:rPr>
                <w:rFonts w:ascii="Arial" w:hAnsi="Arial" w:cs="Arial"/>
                <w:szCs w:val="24"/>
              </w:rPr>
            </w:pPr>
            <w:r w:rsidRPr="00D760D3">
              <w:rPr>
                <w:rFonts w:ascii="Arial" w:hAnsi="Arial" w:cs="Arial"/>
                <w:szCs w:val="24"/>
              </w:rPr>
              <w:t>Centralised on</w:t>
            </w:r>
            <w:r w:rsidRPr="00D760D3">
              <w:rPr>
                <w:rFonts w:ascii="Cambria Math" w:hAnsi="Cambria Math" w:cs="Cambria Math"/>
                <w:szCs w:val="24"/>
              </w:rPr>
              <w:t>‑</w:t>
            </w:r>
            <w:r w:rsidRPr="00D760D3">
              <w:rPr>
                <w:rFonts w:ascii="Arial" w:hAnsi="Arial" w:cs="Arial"/>
                <w:szCs w:val="24"/>
              </w:rPr>
              <w:t>call assessments model – cashable efficiency through reduced wage costs and more efficient use of assessor and facility capacity.</w:t>
            </w:r>
          </w:p>
        </w:tc>
      </w:tr>
    </w:tbl>
    <w:p w14:paraId="71A93BB4" w14:textId="77777777" w:rsidR="00DB3246" w:rsidRPr="00AA3DE8" w:rsidRDefault="00DB3246" w:rsidP="00DB3246">
      <w:pPr>
        <w:rPr>
          <w:rFonts w:ascii="Arial" w:hAnsi="Arial" w:cs="Arial"/>
          <w:color w:val="000000" w:themeColor="text1"/>
          <w:szCs w:val="24"/>
        </w:rPr>
      </w:pPr>
    </w:p>
    <w:p w14:paraId="04645A5C" w14:textId="3FF2A6D8" w:rsidR="00DB3246" w:rsidRPr="00AA3DE8" w:rsidRDefault="00DB3246" w:rsidP="00DB3246">
      <w:pPr>
        <w:rPr>
          <w:rFonts w:ascii="Arial" w:hAnsi="Arial" w:cs="Arial"/>
          <w:b/>
          <w:bCs/>
          <w:color w:val="000000" w:themeColor="text1"/>
          <w:szCs w:val="24"/>
        </w:rPr>
      </w:pPr>
      <w:r w:rsidRPr="00AA3DE8">
        <w:rPr>
          <w:rFonts w:ascii="Arial" w:hAnsi="Arial" w:cs="Arial"/>
          <w:b/>
          <w:bCs/>
          <w:color w:val="000000" w:themeColor="text1"/>
          <w:szCs w:val="24"/>
        </w:rPr>
        <w:t>Why are these changes being made?</w:t>
      </w:r>
    </w:p>
    <w:p w14:paraId="3516B3AB" w14:textId="77777777" w:rsidR="00DB3246" w:rsidRDefault="00DB3246" w:rsidP="00DB3246">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DB3246" w:rsidRPr="00AA3DE8" w14:paraId="2B7D1627" w14:textId="77777777" w:rsidTr="00B24F1A">
        <w:tc>
          <w:tcPr>
            <w:tcW w:w="8303" w:type="dxa"/>
            <w:shd w:val="clear" w:color="auto" w:fill="F2F2F2" w:themeFill="background1" w:themeFillShade="F2"/>
          </w:tcPr>
          <w:p w14:paraId="3F4F1929" w14:textId="570FC2AA" w:rsidR="00E05A78" w:rsidRDefault="00E05A78" w:rsidP="00E05A78">
            <w:pPr>
              <w:rPr>
                <w:rFonts w:ascii="Arial" w:hAnsi="Arial" w:cs="Arial"/>
                <w:szCs w:val="24"/>
              </w:rPr>
            </w:pPr>
            <w:r w:rsidRPr="00E05A78">
              <w:rPr>
                <w:rFonts w:ascii="Arial" w:hAnsi="Arial" w:cs="Arial"/>
                <w:szCs w:val="24"/>
              </w:rPr>
              <w:t>The changes described in this plan are being made to ensure the Service continues to deliver strong public outcomes and value for money in a context where risk, regulation and expectations are evolving, and where there is an increasing requirement to evidence productivity and efficiency with stronger data and more consistent reporting.  The guidance highlights that drivers for change may include evidence-based changes arising from CRMP analysis, efficiency requirements/financial pressures/invest-to-save, and learning from performance reviews, HMICFRS findings, community need, or national best practice.</w:t>
            </w:r>
          </w:p>
          <w:p w14:paraId="7FFECAD7" w14:textId="77777777" w:rsidR="00E05A78" w:rsidRPr="00E05A78" w:rsidRDefault="00E05A78" w:rsidP="00E05A78">
            <w:pPr>
              <w:rPr>
                <w:rFonts w:ascii="Arial" w:hAnsi="Arial" w:cs="Arial"/>
                <w:szCs w:val="24"/>
              </w:rPr>
            </w:pPr>
          </w:p>
          <w:p w14:paraId="42F77CD7" w14:textId="08C0FABD" w:rsidR="00DB3246" w:rsidRPr="00AA3DE8" w:rsidRDefault="00E05A78" w:rsidP="00ED3676">
            <w:pPr>
              <w:rPr>
                <w:rFonts w:ascii="Arial" w:hAnsi="Arial" w:cs="Arial"/>
                <w:color w:val="000000" w:themeColor="text1"/>
                <w:szCs w:val="24"/>
                <w:highlight w:val="yellow"/>
              </w:rPr>
            </w:pPr>
            <w:r w:rsidRPr="00E05A78">
              <w:rPr>
                <w:rFonts w:ascii="Arial" w:hAnsi="Arial" w:cs="Arial"/>
                <w:szCs w:val="24"/>
              </w:rPr>
              <w:t>Locally, the Service has established practical routes to deliver these changes, including the Modern Ways of Working (MWoW) Board (established in 2025) to create a workforce-led pipeline of improvements that simplify processes, reduce manual/duplicated activity, and make better use of existing digital tools and data—supporting both cashable efficiencies and non-cashable productivity gains, with ideas feeding into the Service’s P&amp;E tracker and annual plan.  These changes also align with the national direction of travel set out in the guidance: improving consistency/quality of returns, increasing coverage (including on-call considerations), and strengthening how productivity improvement is evidenced.</w:t>
            </w:r>
          </w:p>
        </w:tc>
      </w:tr>
    </w:tbl>
    <w:p w14:paraId="1BE612A4" w14:textId="77777777" w:rsidR="00DB3246" w:rsidRPr="00AA3DE8" w:rsidRDefault="00DB3246" w:rsidP="00DB3246">
      <w:pPr>
        <w:rPr>
          <w:rFonts w:ascii="Arial" w:hAnsi="Arial" w:cs="Arial"/>
          <w:color w:val="000000" w:themeColor="text1"/>
          <w:szCs w:val="24"/>
        </w:rPr>
      </w:pPr>
    </w:p>
    <w:p w14:paraId="6465EB5A" w14:textId="5AF785B5" w:rsidR="00DB3246" w:rsidRPr="00AA3DE8" w:rsidRDefault="00DB3246" w:rsidP="00DB3246">
      <w:pPr>
        <w:rPr>
          <w:rFonts w:ascii="Arial" w:hAnsi="Arial" w:cs="Arial"/>
          <w:b/>
          <w:bCs/>
          <w:color w:val="000000" w:themeColor="text1"/>
          <w:szCs w:val="24"/>
        </w:rPr>
      </w:pPr>
      <w:r w:rsidRPr="00AA3DE8">
        <w:rPr>
          <w:rFonts w:ascii="Arial" w:hAnsi="Arial" w:cs="Arial"/>
          <w:b/>
          <w:bCs/>
          <w:color w:val="000000" w:themeColor="text1"/>
          <w:szCs w:val="24"/>
        </w:rPr>
        <w:t>What is the service’s biggest success this year?</w:t>
      </w:r>
    </w:p>
    <w:p w14:paraId="2E7180C4" w14:textId="77777777" w:rsidR="00DB3246" w:rsidRDefault="00DB3246" w:rsidP="00DB3246">
      <w:pPr>
        <w:rPr>
          <w:rFonts w:ascii="Arial" w:hAnsi="Arial" w:cs="Arial"/>
          <w:b/>
          <w:bCs/>
          <w:color w:val="000000" w:themeColor="text1"/>
          <w:szCs w:val="24"/>
          <w:highlight w:val="yellow"/>
        </w:rPr>
      </w:pPr>
    </w:p>
    <w:tbl>
      <w:tblPr>
        <w:tblStyle w:val="TableGrid"/>
        <w:tblW w:w="0" w:type="auto"/>
        <w:tblLook w:val="04A0" w:firstRow="1" w:lastRow="0" w:firstColumn="1" w:lastColumn="0" w:noHBand="0" w:noVBand="1"/>
      </w:tblPr>
      <w:tblGrid>
        <w:gridCol w:w="8303"/>
      </w:tblGrid>
      <w:tr w:rsidR="00DB3246" w:rsidRPr="00AA3DE8" w14:paraId="7CF7D504" w14:textId="77777777" w:rsidTr="00B24F1A">
        <w:tc>
          <w:tcPr>
            <w:tcW w:w="8303" w:type="dxa"/>
            <w:shd w:val="clear" w:color="auto" w:fill="F2F2F2" w:themeFill="background1" w:themeFillShade="F2"/>
          </w:tcPr>
          <w:p w14:paraId="24AB4D71" w14:textId="6A009267" w:rsidR="00C054B3" w:rsidRDefault="00C054B3" w:rsidP="00C054B3">
            <w:pPr>
              <w:rPr>
                <w:rFonts w:ascii="Arial" w:hAnsi="Arial" w:cs="Arial"/>
                <w:szCs w:val="24"/>
              </w:rPr>
            </w:pPr>
            <w:r w:rsidRPr="00C054B3">
              <w:rPr>
                <w:rFonts w:ascii="Arial" w:hAnsi="Arial" w:cs="Arial"/>
                <w:szCs w:val="24"/>
              </w:rPr>
              <w:t xml:space="preserve">The Service’s most significant success in </w:t>
            </w:r>
            <w:r>
              <w:rPr>
                <w:rFonts w:ascii="Arial" w:hAnsi="Arial" w:cs="Arial"/>
                <w:szCs w:val="24"/>
              </w:rPr>
              <w:t>20</w:t>
            </w:r>
            <w:r w:rsidRPr="00C054B3">
              <w:rPr>
                <w:rFonts w:ascii="Arial" w:hAnsi="Arial" w:cs="Arial"/>
                <w:szCs w:val="24"/>
              </w:rPr>
              <w:t xml:space="preserve">25/26 was the delivery of demonstrable, measurable operational and financial benefit through more dynamic resource management and deployment practices—most notably via Dynamic Resource Management (DRM) and the embedded use of dynamic cover approaches. </w:t>
            </w:r>
          </w:p>
          <w:p w14:paraId="0D2DD422" w14:textId="77777777" w:rsidR="00C054B3" w:rsidRPr="00C054B3" w:rsidRDefault="00C054B3" w:rsidP="00C054B3">
            <w:pPr>
              <w:rPr>
                <w:rFonts w:ascii="Arial" w:hAnsi="Arial" w:cs="Arial"/>
                <w:szCs w:val="24"/>
              </w:rPr>
            </w:pPr>
          </w:p>
          <w:p w14:paraId="10605AAF" w14:textId="568BCCFF" w:rsidR="00C054B3" w:rsidRDefault="00C054B3" w:rsidP="00C054B3">
            <w:pPr>
              <w:rPr>
                <w:rFonts w:ascii="Arial" w:hAnsi="Arial" w:cs="Arial"/>
                <w:szCs w:val="24"/>
              </w:rPr>
            </w:pPr>
            <w:r w:rsidRPr="00C054B3">
              <w:rPr>
                <w:rFonts w:ascii="Arial" w:hAnsi="Arial" w:cs="Arial"/>
                <w:szCs w:val="24"/>
              </w:rPr>
              <w:t>DRM improved efficiency by reducing reliance on overtime while maintaining safe emergency cover, delivering a budgeted recurrent saving that was removed from the base budget and delivering stronger in-year performance. The dynamic approach also improves productivity by reducing disruption and non-productive movements, helping crews to sustain higher levels of prevention/protection/training activity with fewer interruptions.</w:t>
            </w:r>
          </w:p>
          <w:p w14:paraId="58BF84A9" w14:textId="77777777" w:rsidR="00C054B3" w:rsidRPr="00C054B3" w:rsidRDefault="00C054B3" w:rsidP="00C054B3">
            <w:pPr>
              <w:rPr>
                <w:rFonts w:ascii="Arial" w:hAnsi="Arial" w:cs="Arial"/>
                <w:szCs w:val="24"/>
              </w:rPr>
            </w:pPr>
          </w:p>
          <w:p w14:paraId="64373EDB" w14:textId="4E7C1BE3" w:rsidR="00C054B3" w:rsidRDefault="00C054B3" w:rsidP="00C054B3">
            <w:pPr>
              <w:rPr>
                <w:rFonts w:ascii="Arial" w:hAnsi="Arial" w:cs="Arial"/>
                <w:szCs w:val="24"/>
              </w:rPr>
            </w:pPr>
            <w:r w:rsidRPr="00C054B3">
              <w:rPr>
                <w:rFonts w:ascii="Arial" w:hAnsi="Arial" w:cs="Arial"/>
                <w:szCs w:val="24"/>
              </w:rPr>
              <w:t>In-year, DRM delivered £627,789 against the £500,000 recurrent saving removed from the 25/26 budget. In addition, standby demand reduced markedly when comparing 2024/25 to 2025/26: on-call standby moves reduced from 979 to 653 (33% reduction) with associated estimated cost reducing from £127,270 to £84,890 (saving £42,380), and all standby moves reduced from 1,613 to 1,026 (36% reduction). These are material and transparent indicators of improved efficiency and reduced disruption.</w:t>
            </w:r>
          </w:p>
          <w:p w14:paraId="51FEEA8C" w14:textId="77777777" w:rsidR="00C054B3" w:rsidRPr="00C054B3" w:rsidRDefault="00C054B3" w:rsidP="00C054B3">
            <w:pPr>
              <w:rPr>
                <w:rFonts w:ascii="Arial" w:hAnsi="Arial" w:cs="Arial"/>
                <w:szCs w:val="24"/>
              </w:rPr>
            </w:pPr>
          </w:p>
          <w:p w14:paraId="5365A1AA" w14:textId="13FFA9D5" w:rsidR="00DB3246" w:rsidRPr="00AA3DE8" w:rsidRDefault="00C054B3" w:rsidP="00ED3676">
            <w:pPr>
              <w:rPr>
                <w:rFonts w:ascii="Arial" w:hAnsi="Arial" w:cs="Arial"/>
                <w:color w:val="000000" w:themeColor="text1"/>
                <w:szCs w:val="24"/>
                <w:highlight w:val="yellow"/>
              </w:rPr>
            </w:pPr>
            <w:r w:rsidRPr="00C054B3">
              <w:rPr>
                <w:rFonts w:ascii="Arial" w:hAnsi="Arial" w:cs="Arial"/>
                <w:szCs w:val="24"/>
              </w:rPr>
              <w:t xml:space="preserve">This success provides a robust platform for sustaining and extending productivity/efficiency gains into 26/27 onwards: the Service will continue to embed dynamic approaches, strengthen supporting digital tools and </w:t>
            </w:r>
            <w:r w:rsidRPr="00C054B3">
              <w:rPr>
                <w:rFonts w:ascii="Arial" w:hAnsi="Arial" w:cs="Arial"/>
                <w:szCs w:val="24"/>
              </w:rPr>
              <w:lastRenderedPageBreak/>
              <w:t xml:space="preserve">standardised activity capture, and use the MWoW pipeline to identify further opportunities to release capacity and reinvest it into CRMP-aligned outcomes—supported by improved evidence and reporting consistency as set out in the guidance. </w:t>
            </w:r>
          </w:p>
        </w:tc>
      </w:tr>
    </w:tbl>
    <w:p w14:paraId="38D82756" w14:textId="3585FCFD" w:rsidR="4F0D93FE" w:rsidRPr="00AA3DE8" w:rsidRDefault="4F0D93FE" w:rsidP="00DB3246">
      <w:pPr>
        <w:rPr>
          <w:rFonts w:ascii="Arial" w:hAnsi="Arial" w:cs="Arial"/>
          <w:color w:val="000000" w:themeColor="text1"/>
          <w:szCs w:val="24"/>
          <w:highlight w:val="yellow"/>
        </w:rPr>
      </w:pPr>
    </w:p>
    <w:sectPr w:rsidR="4F0D93FE" w:rsidRPr="00AA3DE8" w:rsidSect="00116D0D">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F74C" w14:textId="77777777" w:rsidR="00EB4921" w:rsidRDefault="00EB4921" w:rsidP="003245E8">
      <w:r>
        <w:separator/>
      </w:r>
    </w:p>
  </w:endnote>
  <w:endnote w:type="continuationSeparator" w:id="0">
    <w:p w14:paraId="033F1D3C" w14:textId="77777777" w:rsidR="00EB4921" w:rsidRDefault="00EB4921" w:rsidP="0032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97BB" w14:textId="4928517E" w:rsidR="00B37F0F" w:rsidRDefault="00987F9E">
    <w:pPr>
      <w:pStyle w:val="Footer"/>
    </w:pPr>
    <w:r>
      <w:rPr>
        <w:noProof/>
      </w:rPr>
      <mc:AlternateContent>
        <mc:Choice Requires="wps">
          <w:drawing>
            <wp:anchor distT="0" distB="0" distL="0" distR="0" simplePos="0" relativeHeight="251658244" behindDoc="0" locked="0" layoutInCell="1" allowOverlap="1" wp14:anchorId="69138F7F" wp14:editId="5923D2E4">
              <wp:simplePos x="635" y="635"/>
              <wp:positionH relativeFrom="page">
                <wp:align>left</wp:align>
              </wp:positionH>
              <wp:positionV relativeFrom="page">
                <wp:align>bottom</wp:align>
              </wp:positionV>
              <wp:extent cx="1324610" cy="330200"/>
              <wp:effectExtent l="0" t="0" r="8890" b="0"/>
              <wp:wrapNone/>
              <wp:docPr id="1837410109"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30200"/>
                      </a:xfrm>
                      <a:prstGeom prst="rect">
                        <a:avLst/>
                      </a:prstGeom>
                      <a:noFill/>
                      <a:ln>
                        <a:noFill/>
                      </a:ln>
                    </wps:spPr>
                    <wps:txbx>
                      <w:txbxContent>
                        <w:p w14:paraId="57095F3A" w14:textId="1D971CE6" w:rsidR="00987F9E" w:rsidRPr="00987F9E" w:rsidRDefault="00987F9E" w:rsidP="00987F9E">
                          <w:pPr>
                            <w:rPr>
                              <w:rFonts w:ascii="Aptos" w:eastAsia="Aptos" w:hAnsi="Aptos" w:cs="Aptos"/>
                              <w:noProof/>
                              <w:color w:val="000000"/>
                              <w:sz w:val="18"/>
                              <w:szCs w:val="18"/>
                            </w:rPr>
                          </w:pPr>
                          <w:r w:rsidRPr="00987F9E">
                            <w:rPr>
                              <w:rFonts w:ascii="Aptos" w:eastAsia="Aptos" w:hAnsi="Aptos" w:cs="Aptos"/>
                              <w:noProof/>
                              <w:color w:val="000000"/>
                              <w:sz w:val="18"/>
                              <w:szCs w:val="18"/>
                            </w:rPr>
                            <w:t>OFFICIAL -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138F7F" id="_x0000_t202" coordsize="21600,21600" o:spt="202" path="m,l,21600r21600,l21600,xe">
              <v:stroke joinstyle="miter"/>
              <v:path gradientshapeok="t" o:connecttype="rect"/>
            </v:shapetype>
            <v:shape id="_x0000_s1028" type="#_x0000_t202" alt="OFFICIAL - SENSITIVE" style="position:absolute;margin-left:0;margin-top:0;width:104.3pt;height:26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" filled="f" stroked="f">
              <v:textbox style="mso-fit-shape-to-text:t" inset="20pt,0,0,15pt">
                <w:txbxContent>
                  <w:p w14:paraId="57095F3A" w14:textId="1D971CE6" w:rsidR="00987F9E" w:rsidRPr="00987F9E" w:rsidRDefault="00987F9E" w:rsidP="00987F9E">
                    <w:pPr>
                      <w:rPr>
                        <w:rFonts w:ascii="Aptos" w:eastAsia="Aptos" w:hAnsi="Aptos" w:cs="Aptos"/>
                        <w:noProof/>
                        <w:color w:val="000000"/>
                        <w:sz w:val="18"/>
                        <w:szCs w:val="18"/>
                      </w:rPr>
                    </w:pPr>
                    <w:r w:rsidRPr="00987F9E">
                      <w:rPr>
                        <w:rFonts w:ascii="Aptos" w:eastAsia="Aptos" w:hAnsi="Aptos" w:cs="Aptos"/>
                        <w:noProof/>
                        <w:color w:val="000000"/>
                        <w:sz w:val="18"/>
                        <w:szCs w:val="18"/>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7B89" w14:textId="135BA387" w:rsidR="003245E8" w:rsidRDefault="00987F9E">
    <w:pPr>
      <w:pStyle w:val="Footer"/>
      <w:jc w:val="right"/>
    </w:pPr>
    <w:r>
      <w:rPr>
        <w:noProof/>
      </w:rPr>
      <mc:AlternateContent>
        <mc:Choice Requires="wps">
          <w:drawing>
            <wp:anchor distT="0" distB="0" distL="0" distR="0" simplePos="0" relativeHeight="251658245" behindDoc="0" locked="0" layoutInCell="1" allowOverlap="1" wp14:anchorId="3D9D3687" wp14:editId="3ECA3EBD">
              <wp:simplePos x="1138687" y="9721970"/>
              <wp:positionH relativeFrom="page">
                <wp:align>left</wp:align>
              </wp:positionH>
              <wp:positionV relativeFrom="page">
                <wp:align>bottom</wp:align>
              </wp:positionV>
              <wp:extent cx="1324610" cy="330200"/>
              <wp:effectExtent l="0" t="0" r="8890" b="0"/>
              <wp:wrapNone/>
              <wp:docPr id="404451593"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30200"/>
                      </a:xfrm>
                      <a:prstGeom prst="rect">
                        <a:avLst/>
                      </a:prstGeom>
                      <a:noFill/>
                      <a:ln>
                        <a:noFill/>
                      </a:ln>
                    </wps:spPr>
                    <wps:txbx>
                      <w:txbxContent>
                        <w:p w14:paraId="1A95187C" w14:textId="64D8FD39" w:rsidR="00987F9E" w:rsidRPr="00987F9E" w:rsidRDefault="00987F9E" w:rsidP="00987F9E">
                          <w:pPr>
                            <w:rPr>
                              <w:rFonts w:ascii="Aptos" w:eastAsia="Aptos" w:hAnsi="Aptos" w:cs="Aptos"/>
                              <w:noProof/>
                              <w:color w:val="000000"/>
                              <w:sz w:val="18"/>
                              <w:szCs w:val="18"/>
                            </w:rPr>
                          </w:pPr>
                          <w:r w:rsidRPr="00987F9E">
                            <w:rPr>
                              <w:rFonts w:ascii="Aptos" w:eastAsia="Aptos" w:hAnsi="Aptos" w:cs="Aptos"/>
                              <w:noProof/>
                              <w:color w:val="000000"/>
                              <w:sz w:val="18"/>
                              <w:szCs w:val="18"/>
                            </w:rPr>
                            <w:t>OFFICIAL -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9D3687" id="_x0000_t202" coordsize="21600,21600" o:spt="202" path="m,l,21600r21600,l21600,xe">
              <v:stroke joinstyle="miter"/>
              <v:path gradientshapeok="t" o:connecttype="rect"/>
            </v:shapetype>
            <v:shape id="_x0000_s1029" type="#_x0000_t202" alt="OFFICIAL - SENSITIVE" style="position:absolute;left:0;text-align:left;margin-left:0;margin-top:0;width:104.3pt;height:26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" filled="f" stroked="f">
              <v:textbox style="mso-fit-shape-to-text:t" inset="20pt,0,0,15pt">
                <w:txbxContent>
                  <w:p w14:paraId="1A95187C" w14:textId="64D8FD39" w:rsidR="00987F9E" w:rsidRPr="00987F9E" w:rsidRDefault="00987F9E" w:rsidP="00987F9E">
                    <w:pPr>
                      <w:rPr>
                        <w:rFonts w:ascii="Aptos" w:eastAsia="Aptos" w:hAnsi="Aptos" w:cs="Aptos"/>
                        <w:noProof/>
                        <w:color w:val="000000"/>
                        <w:sz w:val="18"/>
                        <w:szCs w:val="18"/>
                      </w:rPr>
                    </w:pPr>
                    <w:r w:rsidRPr="00987F9E">
                      <w:rPr>
                        <w:rFonts w:ascii="Aptos" w:eastAsia="Aptos" w:hAnsi="Aptos" w:cs="Aptos"/>
                        <w:noProof/>
                        <w:color w:val="000000"/>
                        <w:sz w:val="18"/>
                        <w:szCs w:val="18"/>
                      </w:rPr>
                      <w:t>OFFICIAL - SENSITIVE</w:t>
                    </w:r>
                  </w:p>
                </w:txbxContent>
              </v:textbox>
              <w10:wrap anchorx="page" anchory="page"/>
            </v:shape>
          </w:pict>
        </mc:Fallback>
      </mc:AlternateContent>
    </w:r>
    <w:sdt>
      <w:sdtPr>
        <w:id w:val="-1627848867"/>
        <w:docPartObj>
          <w:docPartGallery w:val="Page Numbers (Bottom of Page)"/>
          <w:docPartUnique/>
        </w:docPartObj>
      </w:sdtPr>
      <w:sdtEndPr>
        <w:rPr>
          <w:noProof/>
        </w:rPr>
      </w:sdtEndPr>
      <w:sdtContent/>
    </w:sdt>
  </w:p>
  <w:p w14:paraId="1A9878B3" w14:textId="77777777" w:rsidR="003245E8" w:rsidRDefault="003245E8">
    <w:pPr>
      <w:pStyle w:val="Footer"/>
      <w:jc w:val="right"/>
    </w:pPr>
    <w:r w:rsidRPr="6218B4DB">
      <w:fldChar w:fldCharType="begin"/>
    </w:r>
    <w:r>
      <w:instrText xml:space="preserve"> PAGE   \* MERGEFORMAT </w:instrText>
    </w:r>
    <w:r w:rsidRPr="6218B4DB">
      <w:fldChar w:fldCharType="separate"/>
    </w:r>
    <w:r w:rsidR="6218B4DB" w:rsidRPr="6218B4DB">
      <w:rPr>
        <w:noProof/>
      </w:rPr>
      <w:t>2</w:t>
    </w:r>
    <w:r w:rsidRPr="6218B4DB">
      <w:rPr>
        <w:noProof/>
      </w:rPr>
      <w:fldChar w:fldCharType="end"/>
    </w:r>
  </w:p>
  <w:p w14:paraId="2539D3BE" w14:textId="77777777" w:rsidR="003245E8" w:rsidRDefault="00324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ED5" w14:textId="4D1E9503" w:rsidR="00B37F0F" w:rsidRDefault="00987F9E">
    <w:pPr>
      <w:pStyle w:val="Footer"/>
    </w:pPr>
    <w:r>
      <w:rPr>
        <w:noProof/>
      </w:rPr>
      <mc:AlternateContent>
        <mc:Choice Requires="wps">
          <w:drawing>
            <wp:anchor distT="0" distB="0" distL="0" distR="0" simplePos="0" relativeHeight="251658243" behindDoc="0" locked="0" layoutInCell="1" allowOverlap="1" wp14:anchorId="5B29BFC4" wp14:editId="3A429E2C">
              <wp:simplePos x="635" y="635"/>
              <wp:positionH relativeFrom="page">
                <wp:align>left</wp:align>
              </wp:positionH>
              <wp:positionV relativeFrom="page">
                <wp:align>bottom</wp:align>
              </wp:positionV>
              <wp:extent cx="1324610" cy="330200"/>
              <wp:effectExtent l="0" t="0" r="8890" b="0"/>
              <wp:wrapNone/>
              <wp:docPr id="1515497182"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30200"/>
                      </a:xfrm>
                      <a:prstGeom prst="rect">
                        <a:avLst/>
                      </a:prstGeom>
                      <a:noFill/>
                      <a:ln>
                        <a:noFill/>
                      </a:ln>
                    </wps:spPr>
                    <wps:txbx>
                      <w:txbxContent>
                        <w:p w14:paraId="247CE57B" w14:textId="667C660A" w:rsidR="00987F9E" w:rsidRPr="00987F9E" w:rsidRDefault="00987F9E" w:rsidP="00987F9E">
                          <w:pPr>
                            <w:rPr>
                              <w:rFonts w:ascii="Aptos" w:eastAsia="Aptos" w:hAnsi="Aptos" w:cs="Aptos"/>
                              <w:noProof/>
                              <w:color w:val="000000"/>
                              <w:sz w:val="18"/>
                              <w:szCs w:val="18"/>
                            </w:rPr>
                          </w:pPr>
                          <w:r w:rsidRPr="00987F9E">
                            <w:rPr>
                              <w:rFonts w:ascii="Aptos" w:eastAsia="Aptos" w:hAnsi="Aptos" w:cs="Aptos"/>
                              <w:noProof/>
                              <w:color w:val="000000"/>
                              <w:sz w:val="18"/>
                              <w:szCs w:val="18"/>
                            </w:rPr>
                            <w:t>OFFICIAL -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29BFC4" id="_x0000_t202" coordsize="21600,21600" o:spt="202" path="m,l,21600r21600,l21600,xe">
              <v:stroke joinstyle="miter"/>
              <v:path gradientshapeok="t" o:connecttype="rect"/>
            </v:shapetype>
            <v:shape id="_x0000_s1031" type="#_x0000_t202" alt="OFFICIAL - SENSITIVE" style="position:absolute;margin-left:0;margin-top:0;width:104.3pt;height:26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PEgIAACIEAAAOAAAAZHJzL2Uyb0RvYy54bWysU01v2zAMvQ/YfxB0X+wkT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" filled="f" stroked="f">
              <v:textbox style="mso-fit-shape-to-text:t" inset="20pt,0,0,15pt">
                <w:txbxContent>
                  <w:p w14:paraId="247CE57B" w14:textId="667C660A" w:rsidR="00987F9E" w:rsidRPr="00987F9E" w:rsidRDefault="00987F9E" w:rsidP="00987F9E">
                    <w:pPr>
                      <w:rPr>
                        <w:rFonts w:ascii="Aptos" w:eastAsia="Aptos" w:hAnsi="Aptos" w:cs="Aptos"/>
                        <w:noProof/>
                        <w:color w:val="000000"/>
                        <w:sz w:val="18"/>
                        <w:szCs w:val="18"/>
                      </w:rPr>
                    </w:pPr>
                    <w:r w:rsidRPr="00987F9E">
                      <w:rPr>
                        <w:rFonts w:ascii="Aptos" w:eastAsia="Aptos" w:hAnsi="Aptos" w:cs="Aptos"/>
                        <w:noProof/>
                        <w:color w:val="000000"/>
                        <w:sz w:val="18"/>
                        <w:szCs w:val="18"/>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E4F0" w14:textId="77777777" w:rsidR="00EB4921" w:rsidRDefault="00EB4921" w:rsidP="003245E8">
      <w:r>
        <w:separator/>
      </w:r>
    </w:p>
  </w:footnote>
  <w:footnote w:type="continuationSeparator" w:id="0">
    <w:p w14:paraId="76D35E45" w14:textId="77777777" w:rsidR="00EB4921" w:rsidRDefault="00EB4921" w:rsidP="0032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81BF" w14:textId="027DE40F" w:rsidR="00B37F0F" w:rsidRDefault="00B37F0F">
    <w:pPr>
      <w:pStyle w:val="Header"/>
    </w:pPr>
    <w:r>
      <w:rPr>
        <w:noProof/>
      </w:rPr>
      <mc:AlternateContent>
        <mc:Choice Requires="wps">
          <w:drawing>
            <wp:anchor distT="0" distB="0" distL="0" distR="0" simplePos="0" relativeHeight="251658241" behindDoc="0" locked="0" layoutInCell="1" allowOverlap="1" wp14:anchorId="32A2CF05" wp14:editId="29E292B6">
              <wp:simplePos x="635" y="635"/>
              <wp:positionH relativeFrom="page">
                <wp:align>center</wp:align>
              </wp:positionH>
              <wp:positionV relativeFrom="page">
                <wp:align>top</wp:align>
              </wp:positionV>
              <wp:extent cx="504825" cy="342900"/>
              <wp:effectExtent l="0" t="0" r="9525" b="0"/>
              <wp:wrapNone/>
              <wp:docPr id="190570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825" cy="342900"/>
                      </a:xfrm>
                      <a:prstGeom prst="rect">
                        <a:avLst/>
                      </a:prstGeom>
                      <a:noFill/>
                      <a:ln>
                        <a:noFill/>
                      </a:ln>
                    </wps:spPr>
                    <wps:txbx>
                      <w:txbxContent>
                        <w:p w14:paraId="77BF946C" w14:textId="0BADE97A" w:rsidR="00B37F0F" w:rsidRPr="00B37F0F" w:rsidRDefault="00B37F0F" w:rsidP="00B37F0F">
                          <w:pPr>
                            <w:rPr>
                              <w:rFonts w:ascii="Aptos" w:eastAsia="Aptos" w:hAnsi="Aptos" w:cs="Aptos"/>
                              <w:noProof/>
                              <w:color w:val="000000"/>
                              <w:sz w:val="20"/>
                            </w:rPr>
                          </w:pPr>
                          <w:r w:rsidRPr="00B37F0F">
                            <w:rPr>
                              <w:rFonts w:ascii="Aptos" w:eastAsia="Aptos" w:hAnsi="Aptos" w:cs="Aptos"/>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A2CF05" id="_x0000_t202" coordsize="21600,21600" o:spt="202" path="m,l,21600r21600,l21600,xe">
              <v:stroke joinstyle="miter"/>
              <v:path gradientshapeok="t" o:connecttype="rect"/>
            </v:shapetype>
            <v:shape id="Text Box 2" o:spid="_x0000_s1026" type="#_x0000_t202" alt="OFFICIAL" style="position:absolute;margin-left:0;margin-top:0;width:39.7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" filled="f" stroked="f">
              <v:textbox style="mso-fit-shape-to-text:t" inset="0,15pt,0,0">
                <w:txbxContent>
                  <w:p w14:paraId="77BF946C" w14:textId="0BADE97A" w:rsidR="00B37F0F" w:rsidRPr="00B37F0F" w:rsidRDefault="00B37F0F" w:rsidP="00B37F0F">
                    <w:pPr>
                      <w:rPr>
                        <w:rFonts w:ascii="Aptos" w:eastAsia="Aptos" w:hAnsi="Aptos" w:cs="Aptos"/>
                        <w:noProof/>
                        <w:color w:val="000000"/>
                        <w:sz w:val="20"/>
                      </w:rPr>
                    </w:pPr>
                    <w:r w:rsidRPr="00B37F0F">
                      <w:rPr>
                        <w:rFonts w:ascii="Aptos" w:eastAsia="Aptos" w:hAnsi="Aptos" w:cs="Aptos"/>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2324" w14:textId="01F9A59B" w:rsidR="00B37F0F" w:rsidRDefault="00B37F0F">
    <w:pPr>
      <w:pStyle w:val="Header"/>
    </w:pPr>
    <w:r>
      <w:rPr>
        <w:noProof/>
      </w:rPr>
      <mc:AlternateContent>
        <mc:Choice Requires="wps">
          <w:drawing>
            <wp:anchor distT="0" distB="0" distL="0" distR="0" simplePos="0" relativeHeight="251658242" behindDoc="0" locked="0" layoutInCell="1" allowOverlap="1" wp14:anchorId="6152D98A" wp14:editId="70DE93C1">
              <wp:simplePos x="635" y="635"/>
              <wp:positionH relativeFrom="page">
                <wp:align>center</wp:align>
              </wp:positionH>
              <wp:positionV relativeFrom="page">
                <wp:align>top</wp:align>
              </wp:positionV>
              <wp:extent cx="504825" cy="342900"/>
              <wp:effectExtent l="0" t="0" r="9525" b="0"/>
              <wp:wrapNone/>
              <wp:docPr id="10919650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825" cy="342900"/>
                      </a:xfrm>
                      <a:prstGeom prst="rect">
                        <a:avLst/>
                      </a:prstGeom>
                      <a:noFill/>
                      <a:ln>
                        <a:noFill/>
                      </a:ln>
                    </wps:spPr>
                    <wps:txbx>
                      <w:txbxContent>
                        <w:p w14:paraId="231827A2" w14:textId="0F3487AF" w:rsidR="00B37F0F" w:rsidRPr="00B37F0F" w:rsidRDefault="00B37F0F" w:rsidP="00B37F0F">
                          <w:pPr>
                            <w:rPr>
                              <w:rFonts w:ascii="Aptos" w:eastAsia="Aptos" w:hAnsi="Aptos" w:cs="Aptos"/>
                              <w:noProof/>
                              <w:color w:val="000000"/>
                              <w:sz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2D98A" id="_x0000_t202" coordsize="21600,21600" o:spt="202" path="m,l,21600r21600,l21600,xe">
              <v:stroke joinstyle="miter"/>
              <v:path gradientshapeok="t" o:connecttype="rect"/>
            </v:shapetype>
            <v:shape id="Text Box 3" o:spid="_x0000_s1027" type="#_x0000_t202" alt="OFFICIAL" style="position:absolute;margin-left:0;margin-top:0;width:39.7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" filled="f" stroked="f">
              <v:textbox style="mso-fit-shape-to-text:t" inset="0,15pt,0,0">
                <w:txbxContent>
                  <w:p w14:paraId="231827A2" w14:textId="0F3487AF" w:rsidR="00B37F0F" w:rsidRPr="00B37F0F" w:rsidRDefault="00B37F0F" w:rsidP="00B37F0F">
                    <w:pPr>
                      <w:rPr>
                        <w:rFonts w:ascii="Aptos" w:eastAsia="Aptos" w:hAnsi="Aptos" w:cs="Aptos"/>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FB23" w14:textId="70CD21C4" w:rsidR="00B37F0F" w:rsidRDefault="00B37F0F">
    <w:pPr>
      <w:pStyle w:val="Header"/>
    </w:pPr>
    <w:r>
      <w:rPr>
        <w:noProof/>
      </w:rPr>
      <mc:AlternateContent>
        <mc:Choice Requires="wps">
          <w:drawing>
            <wp:anchor distT="0" distB="0" distL="0" distR="0" simplePos="0" relativeHeight="251658240" behindDoc="0" locked="0" layoutInCell="1" allowOverlap="1" wp14:anchorId="0895457B" wp14:editId="3293D64A">
              <wp:simplePos x="635" y="635"/>
              <wp:positionH relativeFrom="page">
                <wp:align>center</wp:align>
              </wp:positionH>
              <wp:positionV relativeFrom="page">
                <wp:align>top</wp:align>
              </wp:positionV>
              <wp:extent cx="504825" cy="342900"/>
              <wp:effectExtent l="0" t="0" r="9525" b="0"/>
              <wp:wrapNone/>
              <wp:docPr id="18097834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825" cy="342900"/>
                      </a:xfrm>
                      <a:prstGeom prst="rect">
                        <a:avLst/>
                      </a:prstGeom>
                      <a:noFill/>
                      <a:ln>
                        <a:noFill/>
                      </a:ln>
                    </wps:spPr>
                    <wps:txbx>
                      <w:txbxContent>
                        <w:p w14:paraId="380FD57A" w14:textId="527D78E5" w:rsidR="00B37F0F" w:rsidRPr="00B37F0F" w:rsidRDefault="00B37F0F" w:rsidP="00B37F0F">
                          <w:pPr>
                            <w:rPr>
                              <w:rFonts w:ascii="Aptos" w:eastAsia="Aptos" w:hAnsi="Aptos" w:cs="Aptos"/>
                              <w:noProof/>
                              <w:color w:val="000000"/>
                              <w:sz w:val="20"/>
                            </w:rPr>
                          </w:pPr>
                          <w:r w:rsidRPr="00B37F0F">
                            <w:rPr>
                              <w:rFonts w:ascii="Aptos" w:eastAsia="Aptos" w:hAnsi="Aptos" w:cs="Aptos"/>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5457B" id="_x0000_t202" coordsize="21600,21600" o:spt="202" path="m,l,21600r21600,l21600,xe">
              <v:stroke joinstyle="miter"/>
              <v:path gradientshapeok="t" o:connecttype="rect"/>
            </v:shapetype>
            <v:shape id="Text Box 1" o:spid="_x0000_s1030" type="#_x0000_t202" alt="OFFICIAL" style="position:absolute;margin-left:0;margin-top:0;width:39.7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" filled="f" stroked="f">
              <v:textbox style="mso-fit-shape-to-text:t" inset="0,15pt,0,0">
                <w:txbxContent>
                  <w:p w14:paraId="380FD57A" w14:textId="527D78E5" w:rsidR="00B37F0F" w:rsidRPr="00B37F0F" w:rsidRDefault="00B37F0F" w:rsidP="00B37F0F">
                    <w:pPr>
                      <w:rPr>
                        <w:rFonts w:ascii="Aptos" w:eastAsia="Aptos" w:hAnsi="Aptos" w:cs="Aptos"/>
                        <w:noProof/>
                        <w:color w:val="000000"/>
                        <w:sz w:val="20"/>
                      </w:rPr>
                    </w:pPr>
                    <w:r w:rsidRPr="00B37F0F">
                      <w:rPr>
                        <w:rFonts w:ascii="Aptos" w:eastAsia="Aptos" w:hAnsi="Aptos" w:cs="Aptos"/>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24D"/>
    <w:multiLevelType w:val="hybridMultilevel"/>
    <w:tmpl w:val="1276AC16"/>
    <w:lvl w:ilvl="0" w:tplc="D0D86410">
      <w:start w:val="1"/>
      <w:numFmt w:val="lowerLetter"/>
      <w:lvlText w:val="%1)"/>
      <w:lvlJc w:val="left"/>
      <w:pPr>
        <w:ind w:left="1144" w:hanging="36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 w15:restartNumberingAfterBreak="0">
    <w:nsid w:val="03463954"/>
    <w:multiLevelType w:val="multilevel"/>
    <w:tmpl w:val="0E02DF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92BEE"/>
    <w:multiLevelType w:val="multilevel"/>
    <w:tmpl w:val="F93862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F15F0"/>
    <w:multiLevelType w:val="hybridMultilevel"/>
    <w:tmpl w:val="79B6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C59ED"/>
    <w:multiLevelType w:val="multilevel"/>
    <w:tmpl w:val="3836DD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3030D7"/>
    <w:multiLevelType w:val="multilevel"/>
    <w:tmpl w:val="D2603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57723"/>
    <w:multiLevelType w:val="multilevel"/>
    <w:tmpl w:val="946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1530D"/>
    <w:multiLevelType w:val="multilevel"/>
    <w:tmpl w:val="DAF461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4016D6"/>
    <w:multiLevelType w:val="multilevel"/>
    <w:tmpl w:val="70C019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E3400A"/>
    <w:multiLevelType w:val="hybridMultilevel"/>
    <w:tmpl w:val="DE2C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61238"/>
    <w:multiLevelType w:val="multilevel"/>
    <w:tmpl w:val="481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F2DF7"/>
    <w:multiLevelType w:val="hybridMultilevel"/>
    <w:tmpl w:val="66CAE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E15D2D"/>
    <w:multiLevelType w:val="multilevel"/>
    <w:tmpl w:val="B3A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10E05"/>
    <w:multiLevelType w:val="multilevel"/>
    <w:tmpl w:val="2E1C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A63656"/>
    <w:multiLevelType w:val="multilevel"/>
    <w:tmpl w:val="615C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2E110D"/>
    <w:multiLevelType w:val="hybridMultilevel"/>
    <w:tmpl w:val="955EA28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91D0999"/>
    <w:multiLevelType w:val="multilevel"/>
    <w:tmpl w:val="B1F6CC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BE65CD2"/>
    <w:multiLevelType w:val="multilevel"/>
    <w:tmpl w:val="65D8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F61B0"/>
    <w:multiLevelType w:val="multilevel"/>
    <w:tmpl w:val="E47E7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88183E"/>
    <w:multiLevelType w:val="multilevel"/>
    <w:tmpl w:val="8EC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C71479"/>
    <w:multiLevelType w:val="multilevel"/>
    <w:tmpl w:val="1B2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CA6D49"/>
    <w:multiLevelType w:val="multilevel"/>
    <w:tmpl w:val="901882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8EA26EF"/>
    <w:multiLevelType w:val="multilevel"/>
    <w:tmpl w:val="C8FCE5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F2D5A79"/>
    <w:multiLevelType w:val="hybridMultilevel"/>
    <w:tmpl w:val="01CA0F30"/>
    <w:lvl w:ilvl="0" w:tplc="EBFEFEF8">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92620"/>
    <w:multiLevelType w:val="hybridMultilevel"/>
    <w:tmpl w:val="95EE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02C95"/>
    <w:multiLevelType w:val="hybridMultilevel"/>
    <w:tmpl w:val="248C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290CEF"/>
    <w:multiLevelType w:val="hybridMultilevel"/>
    <w:tmpl w:val="D52E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E631C0"/>
    <w:multiLevelType w:val="multilevel"/>
    <w:tmpl w:val="8E34D1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05A6324"/>
    <w:multiLevelType w:val="multilevel"/>
    <w:tmpl w:val="69E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FC5BCD"/>
    <w:multiLevelType w:val="multilevel"/>
    <w:tmpl w:val="1A4C30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39C4780"/>
    <w:multiLevelType w:val="multilevel"/>
    <w:tmpl w:val="6602CA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6A047F"/>
    <w:multiLevelType w:val="multilevel"/>
    <w:tmpl w:val="3E222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C91B03"/>
    <w:multiLevelType w:val="multilevel"/>
    <w:tmpl w:val="F10294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633105"/>
    <w:multiLevelType w:val="multilevel"/>
    <w:tmpl w:val="77EAD6E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8020659"/>
    <w:multiLevelType w:val="multilevel"/>
    <w:tmpl w:val="65CE26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B410B2F"/>
    <w:multiLevelType w:val="multilevel"/>
    <w:tmpl w:val="6F0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037A50"/>
    <w:multiLevelType w:val="multilevel"/>
    <w:tmpl w:val="2AA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B348BE"/>
    <w:multiLevelType w:val="multilevel"/>
    <w:tmpl w:val="DCB8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4C27CB"/>
    <w:multiLevelType w:val="multilevel"/>
    <w:tmpl w:val="A38A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C17AC"/>
    <w:multiLevelType w:val="multilevel"/>
    <w:tmpl w:val="9022F9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8DF5325"/>
    <w:multiLevelType w:val="hybridMultilevel"/>
    <w:tmpl w:val="727A2E90"/>
    <w:lvl w:ilvl="0" w:tplc="693221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35BBD"/>
    <w:multiLevelType w:val="multilevel"/>
    <w:tmpl w:val="5E3C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7E1452"/>
    <w:multiLevelType w:val="hybridMultilevel"/>
    <w:tmpl w:val="7DC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54736"/>
    <w:multiLevelType w:val="hybridMultilevel"/>
    <w:tmpl w:val="5FB0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E2E03"/>
    <w:multiLevelType w:val="multilevel"/>
    <w:tmpl w:val="ABC2C3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213777">
    <w:abstractNumId w:val="15"/>
  </w:num>
  <w:num w:numId="2" w16cid:durableId="1908029179">
    <w:abstractNumId w:val="0"/>
  </w:num>
  <w:num w:numId="3" w16cid:durableId="120000834">
    <w:abstractNumId w:val="11"/>
  </w:num>
  <w:num w:numId="4" w16cid:durableId="1887721563">
    <w:abstractNumId w:val="23"/>
  </w:num>
  <w:num w:numId="5" w16cid:durableId="201599196">
    <w:abstractNumId w:val="24"/>
  </w:num>
  <w:num w:numId="6" w16cid:durableId="105661204">
    <w:abstractNumId w:val="9"/>
  </w:num>
  <w:num w:numId="7" w16cid:durableId="1109131546">
    <w:abstractNumId w:val="43"/>
  </w:num>
  <w:num w:numId="8" w16cid:durableId="1694918195">
    <w:abstractNumId w:val="44"/>
  </w:num>
  <w:num w:numId="9" w16cid:durableId="876432269">
    <w:abstractNumId w:val="41"/>
  </w:num>
  <w:num w:numId="10" w16cid:durableId="152722742">
    <w:abstractNumId w:val="13"/>
  </w:num>
  <w:num w:numId="11" w16cid:durableId="1868324912">
    <w:abstractNumId w:val="39"/>
  </w:num>
  <w:num w:numId="12" w16cid:durableId="1976644112">
    <w:abstractNumId w:val="32"/>
  </w:num>
  <w:num w:numId="13" w16cid:durableId="306710426">
    <w:abstractNumId w:val="29"/>
  </w:num>
  <w:num w:numId="14" w16cid:durableId="161969693">
    <w:abstractNumId w:val="27"/>
  </w:num>
  <w:num w:numId="15" w16cid:durableId="367292723">
    <w:abstractNumId w:val="8"/>
  </w:num>
  <w:num w:numId="16" w16cid:durableId="542521009">
    <w:abstractNumId w:val="4"/>
  </w:num>
  <w:num w:numId="17" w16cid:durableId="1730960876">
    <w:abstractNumId w:val="33"/>
  </w:num>
  <w:num w:numId="18" w16cid:durableId="1433166633">
    <w:abstractNumId w:val="42"/>
  </w:num>
  <w:num w:numId="19" w16cid:durableId="733239170">
    <w:abstractNumId w:val="30"/>
  </w:num>
  <w:num w:numId="20" w16cid:durableId="1897860373">
    <w:abstractNumId w:val="34"/>
  </w:num>
  <w:num w:numId="21" w16cid:durableId="1433550216">
    <w:abstractNumId w:val="7"/>
  </w:num>
  <w:num w:numId="22" w16cid:durableId="275257263">
    <w:abstractNumId w:val="22"/>
  </w:num>
  <w:num w:numId="23" w16cid:durableId="1866091662">
    <w:abstractNumId w:val="21"/>
  </w:num>
  <w:num w:numId="24" w16cid:durableId="1590237026">
    <w:abstractNumId w:val="25"/>
  </w:num>
  <w:num w:numId="25" w16cid:durableId="1574004663">
    <w:abstractNumId w:val="1"/>
  </w:num>
  <w:num w:numId="26" w16cid:durableId="479351370">
    <w:abstractNumId w:val="18"/>
  </w:num>
  <w:num w:numId="27" w16cid:durableId="1680693737">
    <w:abstractNumId w:val="16"/>
  </w:num>
  <w:num w:numId="28" w16cid:durableId="232277134">
    <w:abstractNumId w:val="26"/>
  </w:num>
  <w:num w:numId="29" w16cid:durableId="427778378">
    <w:abstractNumId w:val="31"/>
  </w:num>
  <w:num w:numId="30" w16cid:durableId="246039057">
    <w:abstractNumId w:val="14"/>
  </w:num>
  <w:num w:numId="31" w16cid:durableId="269358555">
    <w:abstractNumId w:val="35"/>
  </w:num>
  <w:num w:numId="32" w16cid:durableId="1873103785">
    <w:abstractNumId w:val="19"/>
  </w:num>
  <w:num w:numId="33" w16cid:durableId="980117596">
    <w:abstractNumId w:val="36"/>
  </w:num>
  <w:num w:numId="34" w16cid:durableId="224998235">
    <w:abstractNumId w:val="5"/>
  </w:num>
  <w:num w:numId="35" w16cid:durableId="682123235">
    <w:abstractNumId w:val="38"/>
  </w:num>
  <w:num w:numId="36" w16cid:durableId="1566909462">
    <w:abstractNumId w:val="28"/>
  </w:num>
  <w:num w:numId="37" w16cid:durableId="1497765064">
    <w:abstractNumId w:val="12"/>
  </w:num>
  <w:num w:numId="38" w16cid:durableId="565992533">
    <w:abstractNumId w:val="2"/>
  </w:num>
  <w:num w:numId="39" w16cid:durableId="672414824">
    <w:abstractNumId w:val="37"/>
  </w:num>
  <w:num w:numId="40" w16cid:durableId="284964981">
    <w:abstractNumId w:val="6"/>
  </w:num>
  <w:num w:numId="41" w16cid:durableId="976296919">
    <w:abstractNumId w:val="10"/>
  </w:num>
  <w:num w:numId="42" w16cid:durableId="138688618">
    <w:abstractNumId w:val="20"/>
  </w:num>
  <w:num w:numId="43" w16cid:durableId="408699404">
    <w:abstractNumId w:val="3"/>
  </w:num>
  <w:num w:numId="44" w16cid:durableId="1516770844">
    <w:abstractNumId w:val="17"/>
  </w:num>
  <w:num w:numId="45" w16cid:durableId="15253634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EC"/>
    <w:rsid w:val="000039A7"/>
    <w:rsid w:val="000073CF"/>
    <w:rsid w:val="00010989"/>
    <w:rsid w:val="00013D44"/>
    <w:rsid w:val="0001515E"/>
    <w:rsid w:val="0001593F"/>
    <w:rsid w:val="000164C4"/>
    <w:rsid w:val="00020241"/>
    <w:rsid w:val="000203EE"/>
    <w:rsid w:val="00021B0C"/>
    <w:rsid w:val="00022104"/>
    <w:rsid w:val="0002235D"/>
    <w:rsid w:val="00023894"/>
    <w:rsid w:val="00025968"/>
    <w:rsid w:val="000266F6"/>
    <w:rsid w:val="000305CB"/>
    <w:rsid w:val="00030F3F"/>
    <w:rsid w:val="00031095"/>
    <w:rsid w:val="0003117A"/>
    <w:rsid w:val="0003307B"/>
    <w:rsid w:val="000332F6"/>
    <w:rsid w:val="0003422D"/>
    <w:rsid w:val="00034D3D"/>
    <w:rsid w:val="0003644D"/>
    <w:rsid w:val="0004024E"/>
    <w:rsid w:val="000410C1"/>
    <w:rsid w:val="00044CDE"/>
    <w:rsid w:val="0005012E"/>
    <w:rsid w:val="00051D1B"/>
    <w:rsid w:val="00052277"/>
    <w:rsid w:val="00052A32"/>
    <w:rsid w:val="000546E0"/>
    <w:rsid w:val="0005497A"/>
    <w:rsid w:val="00054B12"/>
    <w:rsid w:val="00055223"/>
    <w:rsid w:val="000556ED"/>
    <w:rsid w:val="000578ED"/>
    <w:rsid w:val="00065948"/>
    <w:rsid w:val="00067861"/>
    <w:rsid w:val="00067F0C"/>
    <w:rsid w:val="00070615"/>
    <w:rsid w:val="00071616"/>
    <w:rsid w:val="00071BD9"/>
    <w:rsid w:val="0007212E"/>
    <w:rsid w:val="000742E1"/>
    <w:rsid w:val="000742EF"/>
    <w:rsid w:val="00074FB4"/>
    <w:rsid w:val="000763B2"/>
    <w:rsid w:val="00077782"/>
    <w:rsid w:val="00077DA4"/>
    <w:rsid w:val="00081AAE"/>
    <w:rsid w:val="00081F37"/>
    <w:rsid w:val="000867F7"/>
    <w:rsid w:val="00087372"/>
    <w:rsid w:val="00090DDD"/>
    <w:rsid w:val="000932B0"/>
    <w:rsid w:val="000A0A6E"/>
    <w:rsid w:val="000A0DEA"/>
    <w:rsid w:val="000A13C0"/>
    <w:rsid w:val="000A1CCA"/>
    <w:rsid w:val="000A1F89"/>
    <w:rsid w:val="000A3F01"/>
    <w:rsid w:val="000A5A9D"/>
    <w:rsid w:val="000A5CF8"/>
    <w:rsid w:val="000A71DD"/>
    <w:rsid w:val="000A76E9"/>
    <w:rsid w:val="000C0631"/>
    <w:rsid w:val="000C157F"/>
    <w:rsid w:val="000C1EEB"/>
    <w:rsid w:val="000C3086"/>
    <w:rsid w:val="000C38E4"/>
    <w:rsid w:val="000C3C64"/>
    <w:rsid w:val="000C3DA4"/>
    <w:rsid w:val="000C4EAB"/>
    <w:rsid w:val="000C56B5"/>
    <w:rsid w:val="000D15A5"/>
    <w:rsid w:val="000D368B"/>
    <w:rsid w:val="000D3974"/>
    <w:rsid w:val="000D4200"/>
    <w:rsid w:val="000D6750"/>
    <w:rsid w:val="000E00FF"/>
    <w:rsid w:val="000E0E88"/>
    <w:rsid w:val="000E315D"/>
    <w:rsid w:val="000E35F1"/>
    <w:rsid w:val="000E39AB"/>
    <w:rsid w:val="000E480A"/>
    <w:rsid w:val="000E5DDB"/>
    <w:rsid w:val="000E7CAC"/>
    <w:rsid w:val="000F1B46"/>
    <w:rsid w:val="000F2E54"/>
    <w:rsid w:val="000F33F7"/>
    <w:rsid w:val="000F6023"/>
    <w:rsid w:val="000F63AB"/>
    <w:rsid w:val="000F694B"/>
    <w:rsid w:val="000F7B03"/>
    <w:rsid w:val="0010007C"/>
    <w:rsid w:val="0010071A"/>
    <w:rsid w:val="001038FF"/>
    <w:rsid w:val="00107F7C"/>
    <w:rsid w:val="00110361"/>
    <w:rsid w:val="001103B4"/>
    <w:rsid w:val="00111308"/>
    <w:rsid w:val="001116CE"/>
    <w:rsid w:val="0011460D"/>
    <w:rsid w:val="001147CB"/>
    <w:rsid w:val="0011495B"/>
    <w:rsid w:val="001156A6"/>
    <w:rsid w:val="00115A64"/>
    <w:rsid w:val="00115D77"/>
    <w:rsid w:val="00116D0D"/>
    <w:rsid w:val="00121F6A"/>
    <w:rsid w:val="00122489"/>
    <w:rsid w:val="00122539"/>
    <w:rsid w:val="00122F9C"/>
    <w:rsid w:val="00123976"/>
    <w:rsid w:val="00127D95"/>
    <w:rsid w:val="00130C66"/>
    <w:rsid w:val="001318C4"/>
    <w:rsid w:val="00131E56"/>
    <w:rsid w:val="00132219"/>
    <w:rsid w:val="00132402"/>
    <w:rsid w:val="001326CD"/>
    <w:rsid w:val="00133505"/>
    <w:rsid w:val="0014160F"/>
    <w:rsid w:val="001430F8"/>
    <w:rsid w:val="00143804"/>
    <w:rsid w:val="001444F4"/>
    <w:rsid w:val="001462D1"/>
    <w:rsid w:val="00147408"/>
    <w:rsid w:val="00147F6F"/>
    <w:rsid w:val="00151F29"/>
    <w:rsid w:val="0015242A"/>
    <w:rsid w:val="0015489B"/>
    <w:rsid w:val="00155729"/>
    <w:rsid w:val="0015592E"/>
    <w:rsid w:val="00155B26"/>
    <w:rsid w:val="0016082D"/>
    <w:rsid w:val="001611FE"/>
    <w:rsid w:val="00162022"/>
    <w:rsid w:val="00162E2A"/>
    <w:rsid w:val="00163175"/>
    <w:rsid w:val="00166995"/>
    <w:rsid w:val="00166CF3"/>
    <w:rsid w:val="00173D4F"/>
    <w:rsid w:val="00176008"/>
    <w:rsid w:val="00176A06"/>
    <w:rsid w:val="001837B4"/>
    <w:rsid w:val="00184819"/>
    <w:rsid w:val="00190A0F"/>
    <w:rsid w:val="00191C0B"/>
    <w:rsid w:val="00194A12"/>
    <w:rsid w:val="00194DD7"/>
    <w:rsid w:val="00195798"/>
    <w:rsid w:val="001968F8"/>
    <w:rsid w:val="001A1DBE"/>
    <w:rsid w:val="001B17B2"/>
    <w:rsid w:val="001B23A9"/>
    <w:rsid w:val="001B273B"/>
    <w:rsid w:val="001B3AF2"/>
    <w:rsid w:val="001B3B06"/>
    <w:rsid w:val="001B43CE"/>
    <w:rsid w:val="001B5606"/>
    <w:rsid w:val="001B6134"/>
    <w:rsid w:val="001B7F8F"/>
    <w:rsid w:val="001C461A"/>
    <w:rsid w:val="001C4C9C"/>
    <w:rsid w:val="001C56D7"/>
    <w:rsid w:val="001C6577"/>
    <w:rsid w:val="001D02D1"/>
    <w:rsid w:val="001D0DA3"/>
    <w:rsid w:val="001D31B9"/>
    <w:rsid w:val="001D3C82"/>
    <w:rsid w:val="001D499A"/>
    <w:rsid w:val="001D5B88"/>
    <w:rsid w:val="001D6785"/>
    <w:rsid w:val="001D7940"/>
    <w:rsid w:val="001E0E36"/>
    <w:rsid w:val="001E16AE"/>
    <w:rsid w:val="001E2C56"/>
    <w:rsid w:val="001E3B7D"/>
    <w:rsid w:val="001E63D0"/>
    <w:rsid w:val="001E65CA"/>
    <w:rsid w:val="001E724B"/>
    <w:rsid w:val="001E7342"/>
    <w:rsid w:val="001E79C5"/>
    <w:rsid w:val="001F031F"/>
    <w:rsid w:val="001F1299"/>
    <w:rsid w:val="001F1A28"/>
    <w:rsid w:val="001F1FCE"/>
    <w:rsid w:val="001F5626"/>
    <w:rsid w:val="001F5FE9"/>
    <w:rsid w:val="002016FB"/>
    <w:rsid w:val="00203E72"/>
    <w:rsid w:val="00205533"/>
    <w:rsid w:val="00207656"/>
    <w:rsid w:val="002106D8"/>
    <w:rsid w:val="002109E1"/>
    <w:rsid w:val="002113D4"/>
    <w:rsid w:val="0021198F"/>
    <w:rsid w:val="00212EC9"/>
    <w:rsid w:val="0021531A"/>
    <w:rsid w:val="00216707"/>
    <w:rsid w:val="002174A7"/>
    <w:rsid w:val="00220530"/>
    <w:rsid w:val="00220A77"/>
    <w:rsid w:val="0022101F"/>
    <w:rsid w:val="00222933"/>
    <w:rsid w:val="00223A25"/>
    <w:rsid w:val="00223ECD"/>
    <w:rsid w:val="0022464C"/>
    <w:rsid w:val="00227DE6"/>
    <w:rsid w:val="00232452"/>
    <w:rsid w:val="00232D98"/>
    <w:rsid w:val="00233C75"/>
    <w:rsid w:val="00233DF4"/>
    <w:rsid w:val="00235FCB"/>
    <w:rsid w:val="00236BD0"/>
    <w:rsid w:val="002412A5"/>
    <w:rsid w:val="00241D39"/>
    <w:rsid w:val="00242E1F"/>
    <w:rsid w:val="00245304"/>
    <w:rsid w:val="00245B02"/>
    <w:rsid w:val="0024602A"/>
    <w:rsid w:val="00247F19"/>
    <w:rsid w:val="0025060E"/>
    <w:rsid w:val="00252F71"/>
    <w:rsid w:val="00255362"/>
    <w:rsid w:val="002568C8"/>
    <w:rsid w:val="00257A48"/>
    <w:rsid w:val="00260AD5"/>
    <w:rsid w:val="00261AF4"/>
    <w:rsid w:val="002629E6"/>
    <w:rsid w:val="002635FC"/>
    <w:rsid w:val="002644BE"/>
    <w:rsid w:val="00264B6E"/>
    <w:rsid w:val="0026560F"/>
    <w:rsid w:val="00265EF6"/>
    <w:rsid w:val="00266247"/>
    <w:rsid w:val="0026745F"/>
    <w:rsid w:val="002722C7"/>
    <w:rsid w:val="002726A7"/>
    <w:rsid w:val="002777FF"/>
    <w:rsid w:val="0028065B"/>
    <w:rsid w:val="00280C7C"/>
    <w:rsid w:val="00281A98"/>
    <w:rsid w:val="00283132"/>
    <w:rsid w:val="002840D2"/>
    <w:rsid w:val="00284230"/>
    <w:rsid w:val="0028425B"/>
    <w:rsid w:val="00284CF8"/>
    <w:rsid w:val="002858EC"/>
    <w:rsid w:val="00286423"/>
    <w:rsid w:val="0028696F"/>
    <w:rsid w:val="00286D40"/>
    <w:rsid w:val="002908DA"/>
    <w:rsid w:val="002937A3"/>
    <w:rsid w:val="002943FB"/>
    <w:rsid w:val="002949B6"/>
    <w:rsid w:val="00294CB1"/>
    <w:rsid w:val="00297C9C"/>
    <w:rsid w:val="002A1B23"/>
    <w:rsid w:val="002A1DD6"/>
    <w:rsid w:val="002A24D1"/>
    <w:rsid w:val="002A35A6"/>
    <w:rsid w:val="002A63D7"/>
    <w:rsid w:val="002A6FA8"/>
    <w:rsid w:val="002B2162"/>
    <w:rsid w:val="002B3649"/>
    <w:rsid w:val="002B3733"/>
    <w:rsid w:val="002B6767"/>
    <w:rsid w:val="002B6E73"/>
    <w:rsid w:val="002B70B3"/>
    <w:rsid w:val="002B7416"/>
    <w:rsid w:val="002C0383"/>
    <w:rsid w:val="002C0747"/>
    <w:rsid w:val="002C08FE"/>
    <w:rsid w:val="002C103B"/>
    <w:rsid w:val="002C358D"/>
    <w:rsid w:val="002C43D1"/>
    <w:rsid w:val="002C476B"/>
    <w:rsid w:val="002C63C6"/>
    <w:rsid w:val="002C751F"/>
    <w:rsid w:val="002C7E8D"/>
    <w:rsid w:val="002D127D"/>
    <w:rsid w:val="002D1A20"/>
    <w:rsid w:val="002D5105"/>
    <w:rsid w:val="002D67DE"/>
    <w:rsid w:val="002D7B97"/>
    <w:rsid w:val="002E07D9"/>
    <w:rsid w:val="002E098C"/>
    <w:rsid w:val="002E187B"/>
    <w:rsid w:val="002E2080"/>
    <w:rsid w:val="002E3838"/>
    <w:rsid w:val="002E3F67"/>
    <w:rsid w:val="002F1A08"/>
    <w:rsid w:val="002F212A"/>
    <w:rsid w:val="002F3580"/>
    <w:rsid w:val="002F3F41"/>
    <w:rsid w:val="002F3FF6"/>
    <w:rsid w:val="002F7185"/>
    <w:rsid w:val="002F7540"/>
    <w:rsid w:val="002F7D0E"/>
    <w:rsid w:val="0030151C"/>
    <w:rsid w:val="0030210C"/>
    <w:rsid w:val="003067C1"/>
    <w:rsid w:val="003069E3"/>
    <w:rsid w:val="00310F34"/>
    <w:rsid w:val="00314444"/>
    <w:rsid w:val="00314810"/>
    <w:rsid w:val="00316E18"/>
    <w:rsid w:val="00321766"/>
    <w:rsid w:val="0032296E"/>
    <w:rsid w:val="00322CCD"/>
    <w:rsid w:val="00322F32"/>
    <w:rsid w:val="003245E8"/>
    <w:rsid w:val="003252CA"/>
    <w:rsid w:val="00326187"/>
    <w:rsid w:val="00326EB5"/>
    <w:rsid w:val="0033125A"/>
    <w:rsid w:val="00331497"/>
    <w:rsid w:val="00331A88"/>
    <w:rsid w:val="00336C66"/>
    <w:rsid w:val="00336D4C"/>
    <w:rsid w:val="003370A0"/>
    <w:rsid w:val="00342FCA"/>
    <w:rsid w:val="00343199"/>
    <w:rsid w:val="00343AD4"/>
    <w:rsid w:val="003464DE"/>
    <w:rsid w:val="00346BE2"/>
    <w:rsid w:val="0034727C"/>
    <w:rsid w:val="0034794E"/>
    <w:rsid w:val="00350D2E"/>
    <w:rsid w:val="003523B0"/>
    <w:rsid w:val="00353698"/>
    <w:rsid w:val="00356992"/>
    <w:rsid w:val="003615E0"/>
    <w:rsid w:val="003635A9"/>
    <w:rsid w:val="003654EF"/>
    <w:rsid w:val="00365CBA"/>
    <w:rsid w:val="003711C0"/>
    <w:rsid w:val="00373401"/>
    <w:rsid w:val="0037541C"/>
    <w:rsid w:val="00375EBF"/>
    <w:rsid w:val="00376EC4"/>
    <w:rsid w:val="00382E30"/>
    <w:rsid w:val="00384378"/>
    <w:rsid w:val="003856F5"/>
    <w:rsid w:val="00387177"/>
    <w:rsid w:val="00387323"/>
    <w:rsid w:val="0039157C"/>
    <w:rsid w:val="003930AD"/>
    <w:rsid w:val="00393C9D"/>
    <w:rsid w:val="003954CD"/>
    <w:rsid w:val="00397DF1"/>
    <w:rsid w:val="003A074A"/>
    <w:rsid w:val="003A237C"/>
    <w:rsid w:val="003A3CD5"/>
    <w:rsid w:val="003A72F8"/>
    <w:rsid w:val="003A769E"/>
    <w:rsid w:val="003B0F05"/>
    <w:rsid w:val="003B12F6"/>
    <w:rsid w:val="003B3E0C"/>
    <w:rsid w:val="003B4F75"/>
    <w:rsid w:val="003B5113"/>
    <w:rsid w:val="003B538F"/>
    <w:rsid w:val="003B60BF"/>
    <w:rsid w:val="003B7569"/>
    <w:rsid w:val="003C1A30"/>
    <w:rsid w:val="003C2223"/>
    <w:rsid w:val="003C2D62"/>
    <w:rsid w:val="003C2F1A"/>
    <w:rsid w:val="003C2FB0"/>
    <w:rsid w:val="003C3D4C"/>
    <w:rsid w:val="003C40D1"/>
    <w:rsid w:val="003C6984"/>
    <w:rsid w:val="003C7EBD"/>
    <w:rsid w:val="003D02B2"/>
    <w:rsid w:val="003D357F"/>
    <w:rsid w:val="003D509C"/>
    <w:rsid w:val="003D68E6"/>
    <w:rsid w:val="003E129F"/>
    <w:rsid w:val="003E1ACA"/>
    <w:rsid w:val="003E21ED"/>
    <w:rsid w:val="003E23C0"/>
    <w:rsid w:val="003E4874"/>
    <w:rsid w:val="003F0416"/>
    <w:rsid w:val="003F0511"/>
    <w:rsid w:val="003F53AA"/>
    <w:rsid w:val="00400C7D"/>
    <w:rsid w:val="00402567"/>
    <w:rsid w:val="00402C38"/>
    <w:rsid w:val="00402E28"/>
    <w:rsid w:val="0040545C"/>
    <w:rsid w:val="00406F3A"/>
    <w:rsid w:val="00411951"/>
    <w:rsid w:val="00411A93"/>
    <w:rsid w:val="00412D48"/>
    <w:rsid w:val="004140EF"/>
    <w:rsid w:val="00416BA9"/>
    <w:rsid w:val="00416BFA"/>
    <w:rsid w:val="00416F25"/>
    <w:rsid w:val="004200F7"/>
    <w:rsid w:val="00420FF8"/>
    <w:rsid w:val="004221FF"/>
    <w:rsid w:val="00422FD2"/>
    <w:rsid w:val="0043011B"/>
    <w:rsid w:val="00432E58"/>
    <w:rsid w:val="00434259"/>
    <w:rsid w:val="004360A7"/>
    <w:rsid w:val="00436CC2"/>
    <w:rsid w:val="0043722C"/>
    <w:rsid w:val="00441957"/>
    <w:rsid w:val="00441D70"/>
    <w:rsid w:val="00443072"/>
    <w:rsid w:val="0044353E"/>
    <w:rsid w:val="004441FC"/>
    <w:rsid w:val="0044485B"/>
    <w:rsid w:val="00445354"/>
    <w:rsid w:val="004473D1"/>
    <w:rsid w:val="004474F9"/>
    <w:rsid w:val="004500CC"/>
    <w:rsid w:val="004506AF"/>
    <w:rsid w:val="00450F6A"/>
    <w:rsid w:val="00451B07"/>
    <w:rsid w:val="004525A5"/>
    <w:rsid w:val="00453859"/>
    <w:rsid w:val="00454706"/>
    <w:rsid w:val="00455E8D"/>
    <w:rsid w:val="004620EC"/>
    <w:rsid w:val="00465013"/>
    <w:rsid w:val="00465B9A"/>
    <w:rsid w:val="00466AD4"/>
    <w:rsid w:val="00466FA7"/>
    <w:rsid w:val="004678FB"/>
    <w:rsid w:val="004703BD"/>
    <w:rsid w:val="00471269"/>
    <w:rsid w:val="00473104"/>
    <w:rsid w:val="0047311A"/>
    <w:rsid w:val="00473D81"/>
    <w:rsid w:val="00474916"/>
    <w:rsid w:val="00475855"/>
    <w:rsid w:val="00475D37"/>
    <w:rsid w:val="00476335"/>
    <w:rsid w:val="004769CD"/>
    <w:rsid w:val="00476A37"/>
    <w:rsid w:val="00477660"/>
    <w:rsid w:val="00486C24"/>
    <w:rsid w:val="00493EE3"/>
    <w:rsid w:val="0049507F"/>
    <w:rsid w:val="00496D3C"/>
    <w:rsid w:val="004A24F3"/>
    <w:rsid w:val="004A2AA4"/>
    <w:rsid w:val="004A3E0C"/>
    <w:rsid w:val="004A610B"/>
    <w:rsid w:val="004A6612"/>
    <w:rsid w:val="004B05EA"/>
    <w:rsid w:val="004B0620"/>
    <w:rsid w:val="004B15CE"/>
    <w:rsid w:val="004B3C2D"/>
    <w:rsid w:val="004B4268"/>
    <w:rsid w:val="004B7AD1"/>
    <w:rsid w:val="004C0A22"/>
    <w:rsid w:val="004C202F"/>
    <w:rsid w:val="004C48A3"/>
    <w:rsid w:val="004C4F65"/>
    <w:rsid w:val="004D3AF3"/>
    <w:rsid w:val="004D3F34"/>
    <w:rsid w:val="004D7114"/>
    <w:rsid w:val="004D72C1"/>
    <w:rsid w:val="004E170D"/>
    <w:rsid w:val="004E1DC9"/>
    <w:rsid w:val="004E1ED2"/>
    <w:rsid w:val="004E289F"/>
    <w:rsid w:val="004E5706"/>
    <w:rsid w:val="004E576F"/>
    <w:rsid w:val="004E6621"/>
    <w:rsid w:val="004E73C3"/>
    <w:rsid w:val="004F30BC"/>
    <w:rsid w:val="004F5AD8"/>
    <w:rsid w:val="004F6AFC"/>
    <w:rsid w:val="004F6C15"/>
    <w:rsid w:val="00503933"/>
    <w:rsid w:val="005039F2"/>
    <w:rsid w:val="00503BED"/>
    <w:rsid w:val="005100DD"/>
    <w:rsid w:val="00514BBC"/>
    <w:rsid w:val="00520303"/>
    <w:rsid w:val="00523095"/>
    <w:rsid w:val="00523C78"/>
    <w:rsid w:val="00524D38"/>
    <w:rsid w:val="00533FEF"/>
    <w:rsid w:val="005362A1"/>
    <w:rsid w:val="00540F2F"/>
    <w:rsid w:val="005413CC"/>
    <w:rsid w:val="005438F3"/>
    <w:rsid w:val="005449B9"/>
    <w:rsid w:val="00551DB5"/>
    <w:rsid w:val="00553FE4"/>
    <w:rsid w:val="005557B1"/>
    <w:rsid w:val="00555A39"/>
    <w:rsid w:val="00556909"/>
    <w:rsid w:val="00556FF5"/>
    <w:rsid w:val="00560C43"/>
    <w:rsid w:val="00560FB4"/>
    <w:rsid w:val="00561303"/>
    <w:rsid w:val="0056247C"/>
    <w:rsid w:val="00562CFC"/>
    <w:rsid w:val="005630F0"/>
    <w:rsid w:val="00564326"/>
    <w:rsid w:val="005649AA"/>
    <w:rsid w:val="005666E1"/>
    <w:rsid w:val="00570FA2"/>
    <w:rsid w:val="00571FCE"/>
    <w:rsid w:val="005720E5"/>
    <w:rsid w:val="00573A44"/>
    <w:rsid w:val="0057408D"/>
    <w:rsid w:val="00576549"/>
    <w:rsid w:val="00580C99"/>
    <w:rsid w:val="005841F8"/>
    <w:rsid w:val="00584B80"/>
    <w:rsid w:val="00587316"/>
    <w:rsid w:val="00587D14"/>
    <w:rsid w:val="00591FE4"/>
    <w:rsid w:val="005927FD"/>
    <w:rsid w:val="00595C2D"/>
    <w:rsid w:val="00597354"/>
    <w:rsid w:val="005A13F1"/>
    <w:rsid w:val="005A284D"/>
    <w:rsid w:val="005A2C86"/>
    <w:rsid w:val="005A440F"/>
    <w:rsid w:val="005A4A0F"/>
    <w:rsid w:val="005A5DF4"/>
    <w:rsid w:val="005B2ED3"/>
    <w:rsid w:val="005B2F4F"/>
    <w:rsid w:val="005B3ABB"/>
    <w:rsid w:val="005B43BA"/>
    <w:rsid w:val="005B5689"/>
    <w:rsid w:val="005B5E6B"/>
    <w:rsid w:val="005B64AE"/>
    <w:rsid w:val="005B7640"/>
    <w:rsid w:val="005C0356"/>
    <w:rsid w:val="005C1E7F"/>
    <w:rsid w:val="005C3E12"/>
    <w:rsid w:val="005C555F"/>
    <w:rsid w:val="005D0AF1"/>
    <w:rsid w:val="005D1125"/>
    <w:rsid w:val="005D1F51"/>
    <w:rsid w:val="005D2F62"/>
    <w:rsid w:val="005D31B2"/>
    <w:rsid w:val="005D3359"/>
    <w:rsid w:val="005D4CD2"/>
    <w:rsid w:val="005D6283"/>
    <w:rsid w:val="005D6290"/>
    <w:rsid w:val="005E0629"/>
    <w:rsid w:val="005E2486"/>
    <w:rsid w:val="005E78A5"/>
    <w:rsid w:val="005F047F"/>
    <w:rsid w:val="005F0672"/>
    <w:rsid w:val="005F38F3"/>
    <w:rsid w:val="005F46AA"/>
    <w:rsid w:val="005F644D"/>
    <w:rsid w:val="00601CC9"/>
    <w:rsid w:val="00602C45"/>
    <w:rsid w:val="006110C4"/>
    <w:rsid w:val="00611F1D"/>
    <w:rsid w:val="006120CC"/>
    <w:rsid w:val="006137F1"/>
    <w:rsid w:val="00617283"/>
    <w:rsid w:val="0062363D"/>
    <w:rsid w:val="006249E2"/>
    <w:rsid w:val="006260DA"/>
    <w:rsid w:val="0062718B"/>
    <w:rsid w:val="00627514"/>
    <w:rsid w:val="00627634"/>
    <w:rsid w:val="00630BCE"/>
    <w:rsid w:val="00630E86"/>
    <w:rsid w:val="00631E00"/>
    <w:rsid w:val="0063251D"/>
    <w:rsid w:val="0063456E"/>
    <w:rsid w:val="00635333"/>
    <w:rsid w:val="006401F0"/>
    <w:rsid w:val="00640814"/>
    <w:rsid w:val="00641CC2"/>
    <w:rsid w:val="0064310F"/>
    <w:rsid w:val="00644563"/>
    <w:rsid w:val="006474CC"/>
    <w:rsid w:val="00650E6E"/>
    <w:rsid w:val="006526D4"/>
    <w:rsid w:val="0065312D"/>
    <w:rsid w:val="006533E6"/>
    <w:rsid w:val="00653846"/>
    <w:rsid w:val="00655B3B"/>
    <w:rsid w:val="006570CD"/>
    <w:rsid w:val="00657157"/>
    <w:rsid w:val="0065773D"/>
    <w:rsid w:val="00663F9F"/>
    <w:rsid w:val="006656B0"/>
    <w:rsid w:val="006673B3"/>
    <w:rsid w:val="00670CCD"/>
    <w:rsid w:val="00673BF6"/>
    <w:rsid w:val="00673E3C"/>
    <w:rsid w:val="0067550F"/>
    <w:rsid w:val="00676F5F"/>
    <w:rsid w:val="006827F8"/>
    <w:rsid w:val="00686466"/>
    <w:rsid w:val="0068765F"/>
    <w:rsid w:val="006909F4"/>
    <w:rsid w:val="00690EF0"/>
    <w:rsid w:val="00693BB2"/>
    <w:rsid w:val="00693DF7"/>
    <w:rsid w:val="0069579D"/>
    <w:rsid w:val="006A07C1"/>
    <w:rsid w:val="006A0DBD"/>
    <w:rsid w:val="006A4220"/>
    <w:rsid w:val="006A54B1"/>
    <w:rsid w:val="006A5A14"/>
    <w:rsid w:val="006A6804"/>
    <w:rsid w:val="006B1942"/>
    <w:rsid w:val="006B2012"/>
    <w:rsid w:val="006B2808"/>
    <w:rsid w:val="006B2B7F"/>
    <w:rsid w:val="006B2C84"/>
    <w:rsid w:val="006B34CB"/>
    <w:rsid w:val="006B367C"/>
    <w:rsid w:val="006B5825"/>
    <w:rsid w:val="006B6EEA"/>
    <w:rsid w:val="006B7B9A"/>
    <w:rsid w:val="006B7CB8"/>
    <w:rsid w:val="006C0DE3"/>
    <w:rsid w:val="006C1716"/>
    <w:rsid w:val="006C2BF8"/>
    <w:rsid w:val="006C2DE4"/>
    <w:rsid w:val="006C4D3B"/>
    <w:rsid w:val="006D1FD2"/>
    <w:rsid w:val="006D32AC"/>
    <w:rsid w:val="006D72DF"/>
    <w:rsid w:val="006D7314"/>
    <w:rsid w:val="006E07FC"/>
    <w:rsid w:val="006E0D44"/>
    <w:rsid w:val="006E3814"/>
    <w:rsid w:val="006E483B"/>
    <w:rsid w:val="006E4BD8"/>
    <w:rsid w:val="006E5CD7"/>
    <w:rsid w:val="006E6046"/>
    <w:rsid w:val="006E6B1E"/>
    <w:rsid w:val="006F497E"/>
    <w:rsid w:val="006F5473"/>
    <w:rsid w:val="006F575C"/>
    <w:rsid w:val="006F5DC0"/>
    <w:rsid w:val="007037D0"/>
    <w:rsid w:val="00705694"/>
    <w:rsid w:val="00710808"/>
    <w:rsid w:val="0071132A"/>
    <w:rsid w:val="00712F75"/>
    <w:rsid w:val="007139B5"/>
    <w:rsid w:val="00715F7C"/>
    <w:rsid w:val="007163BB"/>
    <w:rsid w:val="00717DB6"/>
    <w:rsid w:val="00721D4B"/>
    <w:rsid w:val="00722C96"/>
    <w:rsid w:val="00725967"/>
    <w:rsid w:val="00725EB2"/>
    <w:rsid w:val="00732F04"/>
    <w:rsid w:val="007347E1"/>
    <w:rsid w:val="00735B55"/>
    <w:rsid w:val="00736210"/>
    <w:rsid w:val="007363EC"/>
    <w:rsid w:val="0073705B"/>
    <w:rsid w:val="00741566"/>
    <w:rsid w:val="00750ACB"/>
    <w:rsid w:val="00751334"/>
    <w:rsid w:val="007530EC"/>
    <w:rsid w:val="00753876"/>
    <w:rsid w:val="00753D38"/>
    <w:rsid w:val="007557BF"/>
    <w:rsid w:val="00755952"/>
    <w:rsid w:val="00760241"/>
    <w:rsid w:val="007610BF"/>
    <w:rsid w:val="00763EF1"/>
    <w:rsid w:val="00766924"/>
    <w:rsid w:val="00772FEE"/>
    <w:rsid w:val="007740E0"/>
    <w:rsid w:val="00774821"/>
    <w:rsid w:val="00777D30"/>
    <w:rsid w:val="00777D85"/>
    <w:rsid w:val="00783BCD"/>
    <w:rsid w:val="00784466"/>
    <w:rsid w:val="007844D3"/>
    <w:rsid w:val="0078483E"/>
    <w:rsid w:val="00785303"/>
    <w:rsid w:val="007867A6"/>
    <w:rsid w:val="007868BC"/>
    <w:rsid w:val="007900E5"/>
    <w:rsid w:val="00793A27"/>
    <w:rsid w:val="00793EA6"/>
    <w:rsid w:val="007942C8"/>
    <w:rsid w:val="007958BA"/>
    <w:rsid w:val="007960D1"/>
    <w:rsid w:val="0079612E"/>
    <w:rsid w:val="00796206"/>
    <w:rsid w:val="00796524"/>
    <w:rsid w:val="00796CF9"/>
    <w:rsid w:val="00796E0A"/>
    <w:rsid w:val="007975DA"/>
    <w:rsid w:val="007A0E5C"/>
    <w:rsid w:val="007A0EF5"/>
    <w:rsid w:val="007A343B"/>
    <w:rsid w:val="007A4368"/>
    <w:rsid w:val="007B0B16"/>
    <w:rsid w:val="007B2132"/>
    <w:rsid w:val="007B662B"/>
    <w:rsid w:val="007B7C35"/>
    <w:rsid w:val="007C0118"/>
    <w:rsid w:val="007C1CD2"/>
    <w:rsid w:val="007C1D9C"/>
    <w:rsid w:val="007C2981"/>
    <w:rsid w:val="007C4161"/>
    <w:rsid w:val="007C49F0"/>
    <w:rsid w:val="007C5385"/>
    <w:rsid w:val="007C53D9"/>
    <w:rsid w:val="007C6B71"/>
    <w:rsid w:val="007C6BF8"/>
    <w:rsid w:val="007C6F0C"/>
    <w:rsid w:val="007C7376"/>
    <w:rsid w:val="007D0A88"/>
    <w:rsid w:val="007D219D"/>
    <w:rsid w:val="007D264C"/>
    <w:rsid w:val="007D4207"/>
    <w:rsid w:val="007D48E2"/>
    <w:rsid w:val="007D624D"/>
    <w:rsid w:val="007D75E6"/>
    <w:rsid w:val="007E0AC1"/>
    <w:rsid w:val="007E28EE"/>
    <w:rsid w:val="007E3244"/>
    <w:rsid w:val="007E3D58"/>
    <w:rsid w:val="007E676B"/>
    <w:rsid w:val="007E6C71"/>
    <w:rsid w:val="007E785E"/>
    <w:rsid w:val="007F3EC2"/>
    <w:rsid w:val="007F6C6E"/>
    <w:rsid w:val="00800ACF"/>
    <w:rsid w:val="00802C70"/>
    <w:rsid w:val="0080354D"/>
    <w:rsid w:val="00810335"/>
    <w:rsid w:val="00811430"/>
    <w:rsid w:val="008123C5"/>
    <w:rsid w:val="0081341C"/>
    <w:rsid w:val="00815DF6"/>
    <w:rsid w:val="00816198"/>
    <w:rsid w:val="00816B8C"/>
    <w:rsid w:val="00820415"/>
    <w:rsid w:val="00821BCF"/>
    <w:rsid w:val="008220C0"/>
    <w:rsid w:val="008257D6"/>
    <w:rsid w:val="00825E84"/>
    <w:rsid w:val="00830166"/>
    <w:rsid w:val="008301C0"/>
    <w:rsid w:val="00830400"/>
    <w:rsid w:val="00831050"/>
    <w:rsid w:val="00832A13"/>
    <w:rsid w:val="008341D3"/>
    <w:rsid w:val="008369F7"/>
    <w:rsid w:val="00840644"/>
    <w:rsid w:val="00841E1C"/>
    <w:rsid w:val="00842702"/>
    <w:rsid w:val="00846578"/>
    <w:rsid w:val="008510B5"/>
    <w:rsid w:val="00853E8E"/>
    <w:rsid w:val="00854D8C"/>
    <w:rsid w:val="00854FA1"/>
    <w:rsid w:val="008571D2"/>
    <w:rsid w:val="008572A9"/>
    <w:rsid w:val="00857300"/>
    <w:rsid w:val="00857342"/>
    <w:rsid w:val="00857F34"/>
    <w:rsid w:val="00862CFA"/>
    <w:rsid w:val="00862E09"/>
    <w:rsid w:val="00863929"/>
    <w:rsid w:val="0086474C"/>
    <w:rsid w:val="0086536E"/>
    <w:rsid w:val="00865E0E"/>
    <w:rsid w:val="0086739B"/>
    <w:rsid w:val="008702BD"/>
    <w:rsid w:val="0087273D"/>
    <w:rsid w:val="0087291E"/>
    <w:rsid w:val="00873419"/>
    <w:rsid w:val="008736D9"/>
    <w:rsid w:val="008766FC"/>
    <w:rsid w:val="0087762B"/>
    <w:rsid w:val="00877A91"/>
    <w:rsid w:val="00877BFB"/>
    <w:rsid w:val="008805C4"/>
    <w:rsid w:val="0088179B"/>
    <w:rsid w:val="00881B80"/>
    <w:rsid w:val="00882219"/>
    <w:rsid w:val="0088383D"/>
    <w:rsid w:val="0088430F"/>
    <w:rsid w:val="0088678B"/>
    <w:rsid w:val="008876BF"/>
    <w:rsid w:val="00887F7E"/>
    <w:rsid w:val="00890183"/>
    <w:rsid w:val="00890DB5"/>
    <w:rsid w:val="0089250D"/>
    <w:rsid w:val="00893037"/>
    <w:rsid w:val="00893CE5"/>
    <w:rsid w:val="00896CEA"/>
    <w:rsid w:val="008A316C"/>
    <w:rsid w:val="008A35E6"/>
    <w:rsid w:val="008A7A79"/>
    <w:rsid w:val="008B24D4"/>
    <w:rsid w:val="008B5FD9"/>
    <w:rsid w:val="008B7190"/>
    <w:rsid w:val="008C2D8A"/>
    <w:rsid w:val="008C5417"/>
    <w:rsid w:val="008C714D"/>
    <w:rsid w:val="008D09EA"/>
    <w:rsid w:val="008D3B7E"/>
    <w:rsid w:val="008D43E9"/>
    <w:rsid w:val="008D46E3"/>
    <w:rsid w:val="008D6237"/>
    <w:rsid w:val="008E0398"/>
    <w:rsid w:val="008E4A19"/>
    <w:rsid w:val="008E7750"/>
    <w:rsid w:val="008F1FFD"/>
    <w:rsid w:val="008F2AE7"/>
    <w:rsid w:val="008F3DC1"/>
    <w:rsid w:val="008F77A0"/>
    <w:rsid w:val="008F78EB"/>
    <w:rsid w:val="009004F3"/>
    <w:rsid w:val="00904470"/>
    <w:rsid w:val="009067A9"/>
    <w:rsid w:val="00906EE9"/>
    <w:rsid w:val="0091103F"/>
    <w:rsid w:val="00911390"/>
    <w:rsid w:val="00915A46"/>
    <w:rsid w:val="009166F2"/>
    <w:rsid w:val="00917079"/>
    <w:rsid w:val="009175FC"/>
    <w:rsid w:val="0092021E"/>
    <w:rsid w:val="00920598"/>
    <w:rsid w:val="00920986"/>
    <w:rsid w:val="0092203C"/>
    <w:rsid w:val="00923A0F"/>
    <w:rsid w:val="00925118"/>
    <w:rsid w:val="00925D83"/>
    <w:rsid w:val="0092638E"/>
    <w:rsid w:val="00927EB9"/>
    <w:rsid w:val="00931D47"/>
    <w:rsid w:val="00934E71"/>
    <w:rsid w:val="00936AC0"/>
    <w:rsid w:val="0093721D"/>
    <w:rsid w:val="00937226"/>
    <w:rsid w:val="009372B1"/>
    <w:rsid w:val="00937ED4"/>
    <w:rsid w:val="009452AB"/>
    <w:rsid w:val="0094575C"/>
    <w:rsid w:val="009463D2"/>
    <w:rsid w:val="00946BF9"/>
    <w:rsid w:val="0095045A"/>
    <w:rsid w:val="00951A7B"/>
    <w:rsid w:val="00953CEE"/>
    <w:rsid w:val="009540A9"/>
    <w:rsid w:val="00960139"/>
    <w:rsid w:val="00961281"/>
    <w:rsid w:val="00961432"/>
    <w:rsid w:val="0096248D"/>
    <w:rsid w:val="0096456D"/>
    <w:rsid w:val="00964F82"/>
    <w:rsid w:val="0096536E"/>
    <w:rsid w:val="00965703"/>
    <w:rsid w:val="00967042"/>
    <w:rsid w:val="00967A2C"/>
    <w:rsid w:val="00971392"/>
    <w:rsid w:val="009766D2"/>
    <w:rsid w:val="00980E95"/>
    <w:rsid w:val="00981547"/>
    <w:rsid w:val="00981D01"/>
    <w:rsid w:val="00981F81"/>
    <w:rsid w:val="00982E8F"/>
    <w:rsid w:val="009832CE"/>
    <w:rsid w:val="0098415E"/>
    <w:rsid w:val="009847FC"/>
    <w:rsid w:val="0098489E"/>
    <w:rsid w:val="00985C2D"/>
    <w:rsid w:val="00986394"/>
    <w:rsid w:val="00987CE5"/>
    <w:rsid w:val="00987D0D"/>
    <w:rsid w:val="00987F9E"/>
    <w:rsid w:val="00990942"/>
    <w:rsid w:val="009917DB"/>
    <w:rsid w:val="00991A78"/>
    <w:rsid w:val="00992234"/>
    <w:rsid w:val="009957CD"/>
    <w:rsid w:val="009958C2"/>
    <w:rsid w:val="00996C08"/>
    <w:rsid w:val="00997849"/>
    <w:rsid w:val="009A2198"/>
    <w:rsid w:val="009A4198"/>
    <w:rsid w:val="009A59CD"/>
    <w:rsid w:val="009B2702"/>
    <w:rsid w:val="009B2E92"/>
    <w:rsid w:val="009B6891"/>
    <w:rsid w:val="009C131C"/>
    <w:rsid w:val="009C3BE1"/>
    <w:rsid w:val="009C55A8"/>
    <w:rsid w:val="009C7A93"/>
    <w:rsid w:val="009D18D1"/>
    <w:rsid w:val="009D3CD0"/>
    <w:rsid w:val="009D3FCA"/>
    <w:rsid w:val="009D65F8"/>
    <w:rsid w:val="009D6C0A"/>
    <w:rsid w:val="009E00B9"/>
    <w:rsid w:val="009E04E6"/>
    <w:rsid w:val="009E0671"/>
    <w:rsid w:val="009E2E5C"/>
    <w:rsid w:val="009E3230"/>
    <w:rsid w:val="009E420F"/>
    <w:rsid w:val="009E62BE"/>
    <w:rsid w:val="009E7576"/>
    <w:rsid w:val="009E7645"/>
    <w:rsid w:val="009F1689"/>
    <w:rsid w:val="009F35D4"/>
    <w:rsid w:val="009F42EA"/>
    <w:rsid w:val="009F4C78"/>
    <w:rsid w:val="009F66C8"/>
    <w:rsid w:val="009F7980"/>
    <w:rsid w:val="00A02BD3"/>
    <w:rsid w:val="00A02BD4"/>
    <w:rsid w:val="00A03AF3"/>
    <w:rsid w:val="00A05366"/>
    <w:rsid w:val="00A0667C"/>
    <w:rsid w:val="00A06A7F"/>
    <w:rsid w:val="00A10392"/>
    <w:rsid w:val="00A11F67"/>
    <w:rsid w:val="00A125C7"/>
    <w:rsid w:val="00A12732"/>
    <w:rsid w:val="00A12A9B"/>
    <w:rsid w:val="00A1470A"/>
    <w:rsid w:val="00A14941"/>
    <w:rsid w:val="00A15F7A"/>
    <w:rsid w:val="00A202F2"/>
    <w:rsid w:val="00A20BEE"/>
    <w:rsid w:val="00A22143"/>
    <w:rsid w:val="00A22C86"/>
    <w:rsid w:val="00A25C9A"/>
    <w:rsid w:val="00A2612E"/>
    <w:rsid w:val="00A27AB1"/>
    <w:rsid w:val="00A27AEB"/>
    <w:rsid w:val="00A30D59"/>
    <w:rsid w:val="00A31371"/>
    <w:rsid w:val="00A32888"/>
    <w:rsid w:val="00A33258"/>
    <w:rsid w:val="00A33C56"/>
    <w:rsid w:val="00A33F2C"/>
    <w:rsid w:val="00A36515"/>
    <w:rsid w:val="00A369D7"/>
    <w:rsid w:val="00A465E5"/>
    <w:rsid w:val="00A46A87"/>
    <w:rsid w:val="00A523B6"/>
    <w:rsid w:val="00A52582"/>
    <w:rsid w:val="00A5598E"/>
    <w:rsid w:val="00A61795"/>
    <w:rsid w:val="00A62D50"/>
    <w:rsid w:val="00A63BDA"/>
    <w:rsid w:val="00A645F1"/>
    <w:rsid w:val="00A6496E"/>
    <w:rsid w:val="00A64A38"/>
    <w:rsid w:val="00A64B99"/>
    <w:rsid w:val="00A65CF0"/>
    <w:rsid w:val="00A70064"/>
    <w:rsid w:val="00A71A47"/>
    <w:rsid w:val="00A71FCF"/>
    <w:rsid w:val="00A72FCC"/>
    <w:rsid w:val="00A741DB"/>
    <w:rsid w:val="00A74E27"/>
    <w:rsid w:val="00A750C8"/>
    <w:rsid w:val="00A75EC1"/>
    <w:rsid w:val="00A82317"/>
    <w:rsid w:val="00A82439"/>
    <w:rsid w:val="00A84F7E"/>
    <w:rsid w:val="00A900FC"/>
    <w:rsid w:val="00A91324"/>
    <w:rsid w:val="00A92DD3"/>
    <w:rsid w:val="00A934BA"/>
    <w:rsid w:val="00A9383D"/>
    <w:rsid w:val="00A94860"/>
    <w:rsid w:val="00A9494F"/>
    <w:rsid w:val="00A962FB"/>
    <w:rsid w:val="00A97587"/>
    <w:rsid w:val="00AA0D16"/>
    <w:rsid w:val="00AA102B"/>
    <w:rsid w:val="00AA34B8"/>
    <w:rsid w:val="00AA3DE8"/>
    <w:rsid w:val="00AA6007"/>
    <w:rsid w:val="00AB0085"/>
    <w:rsid w:val="00AB0248"/>
    <w:rsid w:val="00AB1123"/>
    <w:rsid w:val="00AB13FA"/>
    <w:rsid w:val="00AB2AF0"/>
    <w:rsid w:val="00AB3CDE"/>
    <w:rsid w:val="00AB453B"/>
    <w:rsid w:val="00AB4D51"/>
    <w:rsid w:val="00AB5889"/>
    <w:rsid w:val="00AB59E4"/>
    <w:rsid w:val="00AB6231"/>
    <w:rsid w:val="00AB6247"/>
    <w:rsid w:val="00AB62F8"/>
    <w:rsid w:val="00AB6BD3"/>
    <w:rsid w:val="00AC12F1"/>
    <w:rsid w:val="00AC29D8"/>
    <w:rsid w:val="00AC2C79"/>
    <w:rsid w:val="00AC5628"/>
    <w:rsid w:val="00AC6C21"/>
    <w:rsid w:val="00AC6D97"/>
    <w:rsid w:val="00AD0BC2"/>
    <w:rsid w:val="00AD108B"/>
    <w:rsid w:val="00AD1EB2"/>
    <w:rsid w:val="00AD231D"/>
    <w:rsid w:val="00AD30D8"/>
    <w:rsid w:val="00AD3DC4"/>
    <w:rsid w:val="00AD5713"/>
    <w:rsid w:val="00AD5EFF"/>
    <w:rsid w:val="00AD6BA9"/>
    <w:rsid w:val="00AD7A4A"/>
    <w:rsid w:val="00AD7D90"/>
    <w:rsid w:val="00AE1DFE"/>
    <w:rsid w:val="00AE24E7"/>
    <w:rsid w:val="00AE30BA"/>
    <w:rsid w:val="00AE4B7D"/>
    <w:rsid w:val="00AE641E"/>
    <w:rsid w:val="00AE7463"/>
    <w:rsid w:val="00AE7892"/>
    <w:rsid w:val="00AF4206"/>
    <w:rsid w:val="00AF4239"/>
    <w:rsid w:val="00AF53AE"/>
    <w:rsid w:val="00AF6A17"/>
    <w:rsid w:val="00AF7A2E"/>
    <w:rsid w:val="00B00ADC"/>
    <w:rsid w:val="00B04440"/>
    <w:rsid w:val="00B10BE3"/>
    <w:rsid w:val="00B11767"/>
    <w:rsid w:val="00B119AF"/>
    <w:rsid w:val="00B11D31"/>
    <w:rsid w:val="00B11D79"/>
    <w:rsid w:val="00B122DE"/>
    <w:rsid w:val="00B144DE"/>
    <w:rsid w:val="00B16076"/>
    <w:rsid w:val="00B20B24"/>
    <w:rsid w:val="00B20C3E"/>
    <w:rsid w:val="00B2198E"/>
    <w:rsid w:val="00B22A42"/>
    <w:rsid w:val="00B2364B"/>
    <w:rsid w:val="00B24F1A"/>
    <w:rsid w:val="00B26121"/>
    <w:rsid w:val="00B26F0C"/>
    <w:rsid w:val="00B277F5"/>
    <w:rsid w:val="00B317E8"/>
    <w:rsid w:val="00B33526"/>
    <w:rsid w:val="00B34DE9"/>
    <w:rsid w:val="00B3503B"/>
    <w:rsid w:val="00B36B7B"/>
    <w:rsid w:val="00B37F0F"/>
    <w:rsid w:val="00B40AFD"/>
    <w:rsid w:val="00B41DBB"/>
    <w:rsid w:val="00B430E0"/>
    <w:rsid w:val="00B433C9"/>
    <w:rsid w:val="00B442FD"/>
    <w:rsid w:val="00B443AE"/>
    <w:rsid w:val="00B45AC3"/>
    <w:rsid w:val="00B45F03"/>
    <w:rsid w:val="00B46FDD"/>
    <w:rsid w:val="00B505D6"/>
    <w:rsid w:val="00B50D68"/>
    <w:rsid w:val="00B51FAE"/>
    <w:rsid w:val="00B53593"/>
    <w:rsid w:val="00B60941"/>
    <w:rsid w:val="00B64A52"/>
    <w:rsid w:val="00B65E99"/>
    <w:rsid w:val="00B66638"/>
    <w:rsid w:val="00B67BC7"/>
    <w:rsid w:val="00B700FC"/>
    <w:rsid w:val="00B7122E"/>
    <w:rsid w:val="00B71ADD"/>
    <w:rsid w:val="00B7724E"/>
    <w:rsid w:val="00B8036D"/>
    <w:rsid w:val="00B80DBB"/>
    <w:rsid w:val="00B8314D"/>
    <w:rsid w:val="00B839B2"/>
    <w:rsid w:val="00B84B04"/>
    <w:rsid w:val="00B85729"/>
    <w:rsid w:val="00B85D2B"/>
    <w:rsid w:val="00B876D4"/>
    <w:rsid w:val="00B87B95"/>
    <w:rsid w:val="00B94B87"/>
    <w:rsid w:val="00B96875"/>
    <w:rsid w:val="00B9791F"/>
    <w:rsid w:val="00BA0C21"/>
    <w:rsid w:val="00BA0E63"/>
    <w:rsid w:val="00BA28DA"/>
    <w:rsid w:val="00BA34FB"/>
    <w:rsid w:val="00BA4794"/>
    <w:rsid w:val="00BA5C73"/>
    <w:rsid w:val="00BA763C"/>
    <w:rsid w:val="00BA79F4"/>
    <w:rsid w:val="00BB0882"/>
    <w:rsid w:val="00BB0D66"/>
    <w:rsid w:val="00BB27EE"/>
    <w:rsid w:val="00BB456F"/>
    <w:rsid w:val="00BB5A20"/>
    <w:rsid w:val="00BB5C2E"/>
    <w:rsid w:val="00BB63ED"/>
    <w:rsid w:val="00BB651E"/>
    <w:rsid w:val="00BC08B0"/>
    <w:rsid w:val="00BC0FEA"/>
    <w:rsid w:val="00BC1D13"/>
    <w:rsid w:val="00BC2319"/>
    <w:rsid w:val="00BC69CA"/>
    <w:rsid w:val="00BC76F6"/>
    <w:rsid w:val="00BC787B"/>
    <w:rsid w:val="00BC78B9"/>
    <w:rsid w:val="00BD0D06"/>
    <w:rsid w:val="00BD0DF2"/>
    <w:rsid w:val="00BD19A7"/>
    <w:rsid w:val="00BD2E9A"/>
    <w:rsid w:val="00BD44BD"/>
    <w:rsid w:val="00BD6BC4"/>
    <w:rsid w:val="00BD7613"/>
    <w:rsid w:val="00BD7F01"/>
    <w:rsid w:val="00BE0730"/>
    <w:rsid w:val="00BE1D28"/>
    <w:rsid w:val="00BE1DB7"/>
    <w:rsid w:val="00BE2EE8"/>
    <w:rsid w:val="00BE3204"/>
    <w:rsid w:val="00BE3A09"/>
    <w:rsid w:val="00BE4409"/>
    <w:rsid w:val="00BE47B9"/>
    <w:rsid w:val="00BE4CCA"/>
    <w:rsid w:val="00BE4D9E"/>
    <w:rsid w:val="00BE55AF"/>
    <w:rsid w:val="00BE6955"/>
    <w:rsid w:val="00BF03B4"/>
    <w:rsid w:val="00BF0A45"/>
    <w:rsid w:val="00BF2636"/>
    <w:rsid w:val="00BF28DF"/>
    <w:rsid w:val="00BF5D48"/>
    <w:rsid w:val="00BF7846"/>
    <w:rsid w:val="00BF796F"/>
    <w:rsid w:val="00C0046C"/>
    <w:rsid w:val="00C006C0"/>
    <w:rsid w:val="00C00743"/>
    <w:rsid w:val="00C00BC4"/>
    <w:rsid w:val="00C01ED5"/>
    <w:rsid w:val="00C029DF"/>
    <w:rsid w:val="00C02A30"/>
    <w:rsid w:val="00C02CD9"/>
    <w:rsid w:val="00C03A61"/>
    <w:rsid w:val="00C054B3"/>
    <w:rsid w:val="00C05B02"/>
    <w:rsid w:val="00C07082"/>
    <w:rsid w:val="00C11BB2"/>
    <w:rsid w:val="00C11E17"/>
    <w:rsid w:val="00C146FA"/>
    <w:rsid w:val="00C14EE5"/>
    <w:rsid w:val="00C20ED4"/>
    <w:rsid w:val="00C250FF"/>
    <w:rsid w:val="00C25832"/>
    <w:rsid w:val="00C259CA"/>
    <w:rsid w:val="00C30306"/>
    <w:rsid w:val="00C30658"/>
    <w:rsid w:val="00C334FD"/>
    <w:rsid w:val="00C33E45"/>
    <w:rsid w:val="00C35472"/>
    <w:rsid w:val="00C358AD"/>
    <w:rsid w:val="00C368DD"/>
    <w:rsid w:val="00C37F7A"/>
    <w:rsid w:val="00C425CD"/>
    <w:rsid w:val="00C4326A"/>
    <w:rsid w:val="00C44EE9"/>
    <w:rsid w:val="00C44EEA"/>
    <w:rsid w:val="00C456DC"/>
    <w:rsid w:val="00C46050"/>
    <w:rsid w:val="00C50BCF"/>
    <w:rsid w:val="00C50EE8"/>
    <w:rsid w:val="00C533B4"/>
    <w:rsid w:val="00C54967"/>
    <w:rsid w:val="00C5512A"/>
    <w:rsid w:val="00C55883"/>
    <w:rsid w:val="00C55C12"/>
    <w:rsid w:val="00C57CBD"/>
    <w:rsid w:val="00C62266"/>
    <w:rsid w:val="00C656E2"/>
    <w:rsid w:val="00C73C91"/>
    <w:rsid w:val="00C74C1E"/>
    <w:rsid w:val="00C7797F"/>
    <w:rsid w:val="00C805BF"/>
    <w:rsid w:val="00C8100A"/>
    <w:rsid w:val="00C81370"/>
    <w:rsid w:val="00C82597"/>
    <w:rsid w:val="00C83B72"/>
    <w:rsid w:val="00C849EA"/>
    <w:rsid w:val="00C84D2C"/>
    <w:rsid w:val="00C84E33"/>
    <w:rsid w:val="00C87027"/>
    <w:rsid w:val="00C903E3"/>
    <w:rsid w:val="00C9119E"/>
    <w:rsid w:val="00C924E2"/>
    <w:rsid w:val="00C93EB8"/>
    <w:rsid w:val="00C943ED"/>
    <w:rsid w:val="00C95281"/>
    <w:rsid w:val="00CA053E"/>
    <w:rsid w:val="00CA157A"/>
    <w:rsid w:val="00CA1EDF"/>
    <w:rsid w:val="00CA28FF"/>
    <w:rsid w:val="00CA3737"/>
    <w:rsid w:val="00CA416A"/>
    <w:rsid w:val="00CA47CB"/>
    <w:rsid w:val="00CA66ED"/>
    <w:rsid w:val="00CB2B94"/>
    <w:rsid w:val="00CB5B5E"/>
    <w:rsid w:val="00CB7EA8"/>
    <w:rsid w:val="00CC0419"/>
    <w:rsid w:val="00CC1040"/>
    <w:rsid w:val="00CC11C7"/>
    <w:rsid w:val="00CC153D"/>
    <w:rsid w:val="00CC15EE"/>
    <w:rsid w:val="00CC3ADC"/>
    <w:rsid w:val="00CC3DA1"/>
    <w:rsid w:val="00CC452F"/>
    <w:rsid w:val="00CC4856"/>
    <w:rsid w:val="00CC54AF"/>
    <w:rsid w:val="00CC5998"/>
    <w:rsid w:val="00CD30CA"/>
    <w:rsid w:val="00CD3240"/>
    <w:rsid w:val="00CD3B32"/>
    <w:rsid w:val="00CD4281"/>
    <w:rsid w:val="00CD5645"/>
    <w:rsid w:val="00CD65C9"/>
    <w:rsid w:val="00CE0888"/>
    <w:rsid w:val="00CE1DBB"/>
    <w:rsid w:val="00CE5747"/>
    <w:rsid w:val="00CF03EA"/>
    <w:rsid w:val="00CF07FF"/>
    <w:rsid w:val="00CF11B6"/>
    <w:rsid w:val="00CF3920"/>
    <w:rsid w:val="00CF4582"/>
    <w:rsid w:val="00D01A3E"/>
    <w:rsid w:val="00D04BE0"/>
    <w:rsid w:val="00D0548F"/>
    <w:rsid w:val="00D057BF"/>
    <w:rsid w:val="00D05FCE"/>
    <w:rsid w:val="00D07369"/>
    <w:rsid w:val="00D07ACD"/>
    <w:rsid w:val="00D07F65"/>
    <w:rsid w:val="00D10F7E"/>
    <w:rsid w:val="00D117BE"/>
    <w:rsid w:val="00D13A79"/>
    <w:rsid w:val="00D14590"/>
    <w:rsid w:val="00D14852"/>
    <w:rsid w:val="00D14EF1"/>
    <w:rsid w:val="00D16844"/>
    <w:rsid w:val="00D17C25"/>
    <w:rsid w:val="00D2035E"/>
    <w:rsid w:val="00D21513"/>
    <w:rsid w:val="00D2248C"/>
    <w:rsid w:val="00D22FBC"/>
    <w:rsid w:val="00D26A56"/>
    <w:rsid w:val="00D33ACD"/>
    <w:rsid w:val="00D34070"/>
    <w:rsid w:val="00D34352"/>
    <w:rsid w:val="00D34847"/>
    <w:rsid w:val="00D366B3"/>
    <w:rsid w:val="00D40A9C"/>
    <w:rsid w:val="00D41805"/>
    <w:rsid w:val="00D44D69"/>
    <w:rsid w:val="00D45072"/>
    <w:rsid w:val="00D52F04"/>
    <w:rsid w:val="00D5431D"/>
    <w:rsid w:val="00D5570A"/>
    <w:rsid w:val="00D5729B"/>
    <w:rsid w:val="00D57997"/>
    <w:rsid w:val="00D609F6"/>
    <w:rsid w:val="00D61DF0"/>
    <w:rsid w:val="00D62942"/>
    <w:rsid w:val="00D62EF5"/>
    <w:rsid w:val="00D64B36"/>
    <w:rsid w:val="00D65CF4"/>
    <w:rsid w:val="00D707B1"/>
    <w:rsid w:val="00D70830"/>
    <w:rsid w:val="00D70C23"/>
    <w:rsid w:val="00D71033"/>
    <w:rsid w:val="00D73284"/>
    <w:rsid w:val="00D73966"/>
    <w:rsid w:val="00D73A79"/>
    <w:rsid w:val="00D748DB"/>
    <w:rsid w:val="00D74AFE"/>
    <w:rsid w:val="00D760D3"/>
    <w:rsid w:val="00D76278"/>
    <w:rsid w:val="00D838A9"/>
    <w:rsid w:val="00D83B3A"/>
    <w:rsid w:val="00D8516F"/>
    <w:rsid w:val="00D86133"/>
    <w:rsid w:val="00D86139"/>
    <w:rsid w:val="00D86B98"/>
    <w:rsid w:val="00D87523"/>
    <w:rsid w:val="00D90D16"/>
    <w:rsid w:val="00D91B30"/>
    <w:rsid w:val="00D921A1"/>
    <w:rsid w:val="00D94D23"/>
    <w:rsid w:val="00D94D59"/>
    <w:rsid w:val="00D9582D"/>
    <w:rsid w:val="00D95F82"/>
    <w:rsid w:val="00DA1B99"/>
    <w:rsid w:val="00DA2B30"/>
    <w:rsid w:val="00DA4452"/>
    <w:rsid w:val="00DA517A"/>
    <w:rsid w:val="00DA629F"/>
    <w:rsid w:val="00DB27C3"/>
    <w:rsid w:val="00DB28CD"/>
    <w:rsid w:val="00DB3246"/>
    <w:rsid w:val="00DB4642"/>
    <w:rsid w:val="00DB4CDB"/>
    <w:rsid w:val="00DB6CD1"/>
    <w:rsid w:val="00DC2120"/>
    <w:rsid w:val="00DC27CA"/>
    <w:rsid w:val="00DC4573"/>
    <w:rsid w:val="00DC46EC"/>
    <w:rsid w:val="00DC5260"/>
    <w:rsid w:val="00DC64A4"/>
    <w:rsid w:val="00DD0795"/>
    <w:rsid w:val="00DD4403"/>
    <w:rsid w:val="00DD7BBD"/>
    <w:rsid w:val="00DD7FFE"/>
    <w:rsid w:val="00DE008A"/>
    <w:rsid w:val="00DE22BA"/>
    <w:rsid w:val="00DE3E81"/>
    <w:rsid w:val="00DE4CEE"/>
    <w:rsid w:val="00DE5CBF"/>
    <w:rsid w:val="00DE629B"/>
    <w:rsid w:val="00DE6378"/>
    <w:rsid w:val="00DE6AC1"/>
    <w:rsid w:val="00DE782F"/>
    <w:rsid w:val="00DF3065"/>
    <w:rsid w:val="00DF39C8"/>
    <w:rsid w:val="00DF3F06"/>
    <w:rsid w:val="00DF6F13"/>
    <w:rsid w:val="00DF735D"/>
    <w:rsid w:val="00DF7ADB"/>
    <w:rsid w:val="00E01A5F"/>
    <w:rsid w:val="00E02DE7"/>
    <w:rsid w:val="00E0434A"/>
    <w:rsid w:val="00E05A78"/>
    <w:rsid w:val="00E06162"/>
    <w:rsid w:val="00E0616F"/>
    <w:rsid w:val="00E10641"/>
    <w:rsid w:val="00E16DC1"/>
    <w:rsid w:val="00E17046"/>
    <w:rsid w:val="00E20292"/>
    <w:rsid w:val="00E21573"/>
    <w:rsid w:val="00E25E7E"/>
    <w:rsid w:val="00E2619E"/>
    <w:rsid w:val="00E26450"/>
    <w:rsid w:val="00E26645"/>
    <w:rsid w:val="00E26813"/>
    <w:rsid w:val="00E26C07"/>
    <w:rsid w:val="00E27871"/>
    <w:rsid w:val="00E3084C"/>
    <w:rsid w:val="00E33503"/>
    <w:rsid w:val="00E339FF"/>
    <w:rsid w:val="00E352A4"/>
    <w:rsid w:val="00E3534A"/>
    <w:rsid w:val="00E35D0C"/>
    <w:rsid w:val="00E3669C"/>
    <w:rsid w:val="00E40A65"/>
    <w:rsid w:val="00E41E5F"/>
    <w:rsid w:val="00E42078"/>
    <w:rsid w:val="00E42A78"/>
    <w:rsid w:val="00E44453"/>
    <w:rsid w:val="00E45A1B"/>
    <w:rsid w:val="00E45DBA"/>
    <w:rsid w:val="00E46CDC"/>
    <w:rsid w:val="00E5089F"/>
    <w:rsid w:val="00E5131B"/>
    <w:rsid w:val="00E51EC7"/>
    <w:rsid w:val="00E52B23"/>
    <w:rsid w:val="00E553CC"/>
    <w:rsid w:val="00E56E80"/>
    <w:rsid w:val="00E57977"/>
    <w:rsid w:val="00E636C2"/>
    <w:rsid w:val="00E65429"/>
    <w:rsid w:val="00E65BDE"/>
    <w:rsid w:val="00E665DB"/>
    <w:rsid w:val="00E67902"/>
    <w:rsid w:val="00E679D5"/>
    <w:rsid w:val="00E71E66"/>
    <w:rsid w:val="00E722E8"/>
    <w:rsid w:val="00E723FB"/>
    <w:rsid w:val="00E7335D"/>
    <w:rsid w:val="00E73433"/>
    <w:rsid w:val="00E73A50"/>
    <w:rsid w:val="00E74460"/>
    <w:rsid w:val="00E80769"/>
    <w:rsid w:val="00E8133C"/>
    <w:rsid w:val="00E832C5"/>
    <w:rsid w:val="00E844CC"/>
    <w:rsid w:val="00E85C16"/>
    <w:rsid w:val="00E86553"/>
    <w:rsid w:val="00E908B8"/>
    <w:rsid w:val="00E91A9F"/>
    <w:rsid w:val="00E92798"/>
    <w:rsid w:val="00E95552"/>
    <w:rsid w:val="00E97142"/>
    <w:rsid w:val="00E97F57"/>
    <w:rsid w:val="00EA15C6"/>
    <w:rsid w:val="00EA3736"/>
    <w:rsid w:val="00EA4844"/>
    <w:rsid w:val="00EB258A"/>
    <w:rsid w:val="00EB3B7B"/>
    <w:rsid w:val="00EB4921"/>
    <w:rsid w:val="00EB4A3F"/>
    <w:rsid w:val="00EB4EE6"/>
    <w:rsid w:val="00EB50E8"/>
    <w:rsid w:val="00EB52E2"/>
    <w:rsid w:val="00EC0166"/>
    <w:rsid w:val="00EC0F46"/>
    <w:rsid w:val="00EC1E40"/>
    <w:rsid w:val="00EC3EAC"/>
    <w:rsid w:val="00EC5000"/>
    <w:rsid w:val="00EC6E8C"/>
    <w:rsid w:val="00ED01C0"/>
    <w:rsid w:val="00ED17F3"/>
    <w:rsid w:val="00ED31FD"/>
    <w:rsid w:val="00ED3676"/>
    <w:rsid w:val="00ED409F"/>
    <w:rsid w:val="00ED561F"/>
    <w:rsid w:val="00ED5983"/>
    <w:rsid w:val="00ED6851"/>
    <w:rsid w:val="00ED70FF"/>
    <w:rsid w:val="00ED7D6A"/>
    <w:rsid w:val="00EE0566"/>
    <w:rsid w:val="00EE060E"/>
    <w:rsid w:val="00EE0EF9"/>
    <w:rsid w:val="00EE25D6"/>
    <w:rsid w:val="00EE2656"/>
    <w:rsid w:val="00EE5D0D"/>
    <w:rsid w:val="00EE6617"/>
    <w:rsid w:val="00EF0657"/>
    <w:rsid w:val="00EF1D59"/>
    <w:rsid w:val="00EF75FB"/>
    <w:rsid w:val="00F0059F"/>
    <w:rsid w:val="00F02658"/>
    <w:rsid w:val="00F02B7E"/>
    <w:rsid w:val="00F031E2"/>
    <w:rsid w:val="00F04344"/>
    <w:rsid w:val="00F06C0B"/>
    <w:rsid w:val="00F07C3E"/>
    <w:rsid w:val="00F11AC0"/>
    <w:rsid w:val="00F124D4"/>
    <w:rsid w:val="00F12B43"/>
    <w:rsid w:val="00F12D63"/>
    <w:rsid w:val="00F1373D"/>
    <w:rsid w:val="00F16524"/>
    <w:rsid w:val="00F17179"/>
    <w:rsid w:val="00F201C6"/>
    <w:rsid w:val="00F257BD"/>
    <w:rsid w:val="00F279A4"/>
    <w:rsid w:val="00F3257F"/>
    <w:rsid w:val="00F35255"/>
    <w:rsid w:val="00F355DD"/>
    <w:rsid w:val="00F44168"/>
    <w:rsid w:val="00F46422"/>
    <w:rsid w:val="00F507A1"/>
    <w:rsid w:val="00F5179B"/>
    <w:rsid w:val="00F519EF"/>
    <w:rsid w:val="00F51FBA"/>
    <w:rsid w:val="00F52EB1"/>
    <w:rsid w:val="00F5459A"/>
    <w:rsid w:val="00F54C01"/>
    <w:rsid w:val="00F553F2"/>
    <w:rsid w:val="00F55759"/>
    <w:rsid w:val="00F55D51"/>
    <w:rsid w:val="00F56DB9"/>
    <w:rsid w:val="00F5766F"/>
    <w:rsid w:val="00F60917"/>
    <w:rsid w:val="00F613A5"/>
    <w:rsid w:val="00F615B3"/>
    <w:rsid w:val="00F61C05"/>
    <w:rsid w:val="00F61E79"/>
    <w:rsid w:val="00F65A23"/>
    <w:rsid w:val="00F66587"/>
    <w:rsid w:val="00F75D80"/>
    <w:rsid w:val="00F768DC"/>
    <w:rsid w:val="00F839F9"/>
    <w:rsid w:val="00F84F26"/>
    <w:rsid w:val="00F85439"/>
    <w:rsid w:val="00F85AD7"/>
    <w:rsid w:val="00F863F2"/>
    <w:rsid w:val="00F90F0F"/>
    <w:rsid w:val="00F91B50"/>
    <w:rsid w:val="00F94263"/>
    <w:rsid w:val="00F94A01"/>
    <w:rsid w:val="00F95CA0"/>
    <w:rsid w:val="00F96274"/>
    <w:rsid w:val="00F96A9C"/>
    <w:rsid w:val="00FA0DF7"/>
    <w:rsid w:val="00FA0E74"/>
    <w:rsid w:val="00FA134F"/>
    <w:rsid w:val="00FA2F88"/>
    <w:rsid w:val="00FA3136"/>
    <w:rsid w:val="00FA318C"/>
    <w:rsid w:val="00FA4061"/>
    <w:rsid w:val="00FA500B"/>
    <w:rsid w:val="00FA5819"/>
    <w:rsid w:val="00FA5F79"/>
    <w:rsid w:val="00FA7753"/>
    <w:rsid w:val="00FA7C84"/>
    <w:rsid w:val="00FA7D46"/>
    <w:rsid w:val="00FB1F8D"/>
    <w:rsid w:val="00FB2EB8"/>
    <w:rsid w:val="00FB2EC6"/>
    <w:rsid w:val="00FB3CDD"/>
    <w:rsid w:val="00FB3ECF"/>
    <w:rsid w:val="00FB403C"/>
    <w:rsid w:val="00FB44D9"/>
    <w:rsid w:val="00FB5046"/>
    <w:rsid w:val="00FB740D"/>
    <w:rsid w:val="00FC1858"/>
    <w:rsid w:val="00FC1FBE"/>
    <w:rsid w:val="00FC21B0"/>
    <w:rsid w:val="00FC3A83"/>
    <w:rsid w:val="00FC4794"/>
    <w:rsid w:val="00FC4D7E"/>
    <w:rsid w:val="00FC5C43"/>
    <w:rsid w:val="00FC72C6"/>
    <w:rsid w:val="00FC7E91"/>
    <w:rsid w:val="00FD2789"/>
    <w:rsid w:val="00FD37D4"/>
    <w:rsid w:val="00FD39B6"/>
    <w:rsid w:val="00FE022C"/>
    <w:rsid w:val="00FE4DF6"/>
    <w:rsid w:val="00FE556A"/>
    <w:rsid w:val="00FE7DF1"/>
    <w:rsid w:val="00FF0696"/>
    <w:rsid w:val="00FF0CA6"/>
    <w:rsid w:val="00FF1504"/>
    <w:rsid w:val="00FF1E59"/>
    <w:rsid w:val="00FF261D"/>
    <w:rsid w:val="00FF350C"/>
    <w:rsid w:val="00FF3FF2"/>
    <w:rsid w:val="00FF58F8"/>
    <w:rsid w:val="022CAA98"/>
    <w:rsid w:val="0240EDB1"/>
    <w:rsid w:val="03C3B9B0"/>
    <w:rsid w:val="03E133FF"/>
    <w:rsid w:val="058DF353"/>
    <w:rsid w:val="05A41FCC"/>
    <w:rsid w:val="05B02E3D"/>
    <w:rsid w:val="06488769"/>
    <w:rsid w:val="06B94001"/>
    <w:rsid w:val="079190DA"/>
    <w:rsid w:val="0889E051"/>
    <w:rsid w:val="088F1F72"/>
    <w:rsid w:val="08995C0C"/>
    <w:rsid w:val="09C053C9"/>
    <w:rsid w:val="0A0D5CA5"/>
    <w:rsid w:val="0A66210A"/>
    <w:rsid w:val="0AE29BE7"/>
    <w:rsid w:val="0C66468A"/>
    <w:rsid w:val="0DB64808"/>
    <w:rsid w:val="0DCB63AC"/>
    <w:rsid w:val="0DFB73BF"/>
    <w:rsid w:val="0E164D94"/>
    <w:rsid w:val="0EAF9029"/>
    <w:rsid w:val="0EBCD985"/>
    <w:rsid w:val="0F0480A7"/>
    <w:rsid w:val="101C6AC6"/>
    <w:rsid w:val="102FEB85"/>
    <w:rsid w:val="10C809FB"/>
    <w:rsid w:val="11641AAD"/>
    <w:rsid w:val="11C5D41B"/>
    <w:rsid w:val="13B73C1A"/>
    <w:rsid w:val="1400CD5C"/>
    <w:rsid w:val="14F31568"/>
    <w:rsid w:val="15B90195"/>
    <w:rsid w:val="15CD2A45"/>
    <w:rsid w:val="1622F2E3"/>
    <w:rsid w:val="172E94E0"/>
    <w:rsid w:val="17A0049F"/>
    <w:rsid w:val="17BCAAC6"/>
    <w:rsid w:val="17DFE547"/>
    <w:rsid w:val="182F31F8"/>
    <w:rsid w:val="188E200E"/>
    <w:rsid w:val="1893C0FC"/>
    <w:rsid w:val="1A0EE733"/>
    <w:rsid w:val="1A518EFC"/>
    <w:rsid w:val="1A91D3FD"/>
    <w:rsid w:val="1B1E116B"/>
    <w:rsid w:val="1B4669C4"/>
    <w:rsid w:val="1B63ED5A"/>
    <w:rsid w:val="1C3653CA"/>
    <w:rsid w:val="1CC6B317"/>
    <w:rsid w:val="1E35903D"/>
    <w:rsid w:val="1EF5BA43"/>
    <w:rsid w:val="1EFD8CD6"/>
    <w:rsid w:val="1F5D245E"/>
    <w:rsid w:val="1F97778F"/>
    <w:rsid w:val="201F2C6C"/>
    <w:rsid w:val="2054EDC2"/>
    <w:rsid w:val="20E62140"/>
    <w:rsid w:val="21F6C2F9"/>
    <w:rsid w:val="220BC112"/>
    <w:rsid w:val="22BBBCCC"/>
    <w:rsid w:val="22FFB14D"/>
    <w:rsid w:val="237417BD"/>
    <w:rsid w:val="23C371A9"/>
    <w:rsid w:val="2463FA4C"/>
    <w:rsid w:val="257A0199"/>
    <w:rsid w:val="257FBB36"/>
    <w:rsid w:val="25E6BDF2"/>
    <w:rsid w:val="2602BD1C"/>
    <w:rsid w:val="26A89A79"/>
    <w:rsid w:val="26FEC2EF"/>
    <w:rsid w:val="271ADB64"/>
    <w:rsid w:val="271AE3E4"/>
    <w:rsid w:val="276B6793"/>
    <w:rsid w:val="27D74E9C"/>
    <w:rsid w:val="2898B400"/>
    <w:rsid w:val="289E2074"/>
    <w:rsid w:val="28C763FF"/>
    <w:rsid w:val="28E446E3"/>
    <w:rsid w:val="28EC13E0"/>
    <w:rsid w:val="293601BC"/>
    <w:rsid w:val="29C9D19E"/>
    <w:rsid w:val="29CB23B6"/>
    <w:rsid w:val="2A87E0CD"/>
    <w:rsid w:val="2ABFA60F"/>
    <w:rsid w:val="2AC91D8D"/>
    <w:rsid w:val="2B0E42B7"/>
    <w:rsid w:val="2B13FEFC"/>
    <w:rsid w:val="2B44C22F"/>
    <w:rsid w:val="2C573870"/>
    <w:rsid w:val="2CA91478"/>
    <w:rsid w:val="2D205B87"/>
    <w:rsid w:val="2D8DE6D4"/>
    <w:rsid w:val="2DCB7C6A"/>
    <w:rsid w:val="2E2EB20E"/>
    <w:rsid w:val="2E3EB133"/>
    <w:rsid w:val="3044ACD1"/>
    <w:rsid w:val="304B0E61"/>
    <w:rsid w:val="30989F93"/>
    <w:rsid w:val="314CC222"/>
    <w:rsid w:val="31A32285"/>
    <w:rsid w:val="31D34A27"/>
    <w:rsid w:val="31DF6F40"/>
    <w:rsid w:val="336CC5BE"/>
    <w:rsid w:val="33D55EA7"/>
    <w:rsid w:val="340C6CB4"/>
    <w:rsid w:val="344BD484"/>
    <w:rsid w:val="349AB697"/>
    <w:rsid w:val="3583DC06"/>
    <w:rsid w:val="365F6161"/>
    <w:rsid w:val="36FBC0A8"/>
    <w:rsid w:val="3792BA1B"/>
    <w:rsid w:val="38F87381"/>
    <w:rsid w:val="39254808"/>
    <w:rsid w:val="3B0B6D97"/>
    <w:rsid w:val="3B252333"/>
    <w:rsid w:val="3B293B4F"/>
    <w:rsid w:val="3B2F006C"/>
    <w:rsid w:val="3BB7877A"/>
    <w:rsid w:val="3C076B8B"/>
    <w:rsid w:val="3C0CC956"/>
    <w:rsid w:val="3C198722"/>
    <w:rsid w:val="3C36D120"/>
    <w:rsid w:val="3C5A6DF2"/>
    <w:rsid w:val="3CF52166"/>
    <w:rsid w:val="3DFBD2D8"/>
    <w:rsid w:val="3F60CA15"/>
    <w:rsid w:val="3FA56FD8"/>
    <w:rsid w:val="3FB33AF0"/>
    <w:rsid w:val="4083C6CF"/>
    <w:rsid w:val="40AC2F2F"/>
    <w:rsid w:val="40C37384"/>
    <w:rsid w:val="4122B91D"/>
    <w:rsid w:val="41DD23DF"/>
    <w:rsid w:val="4378CA1E"/>
    <w:rsid w:val="441F1367"/>
    <w:rsid w:val="443528D9"/>
    <w:rsid w:val="4449F96E"/>
    <w:rsid w:val="44AC8DC3"/>
    <w:rsid w:val="457B56FC"/>
    <w:rsid w:val="45BEEB74"/>
    <w:rsid w:val="465EF953"/>
    <w:rsid w:val="48B05BC1"/>
    <w:rsid w:val="48D53A60"/>
    <w:rsid w:val="48FEAAE7"/>
    <w:rsid w:val="496F7344"/>
    <w:rsid w:val="497DAB66"/>
    <w:rsid w:val="498878CF"/>
    <w:rsid w:val="4A02F628"/>
    <w:rsid w:val="4A7F8784"/>
    <w:rsid w:val="4AE4ABB3"/>
    <w:rsid w:val="4B478C69"/>
    <w:rsid w:val="4CC0C242"/>
    <w:rsid w:val="4DFB07D1"/>
    <w:rsid w:val="4E489B09"/>
    <w:rsid w:val="4ECEE285"/>
    <w:rsid w:val="4F074865"/>
    <w:rsid w:val="4F0D93FE"/>
    <w:rsid w:val="4F2B6991"/>
    <w:rsid w:val="4F469B70"/>
    <w:rsid w:val="4F64D3FA"/>
    <w:rsid w:val="506CA89F"/>
    <w:rsid w:val="50FA8D07"/>
    <w:rsid w:val="511FF4B7"/>
    <w:rsid w:val="5168AF66"/>
    <w:rsid w:val="518CDFE0"/>
    <w:rsid w:val="51B703A5"/>
    <w:rsid w:val="51EBAE1B"/>
    <w:rsid w:val="52B688F4"/>
    <w:rsid w:val="54877DF5"/>
    <w:rsid w:val="54B1FCC1"/>
    <w:rsid w:val="55030D94"/>
    <w:rsid w:val="550A2988"/>
    <w:rsid w:val="5523FC66"/>
    <w:rsid w:val="552A672F"/>
    <w:rsid w:val="56BED048"/>
    <w:rsid w:val="56E7EBE0"/>
    <w:rsid w:val="577280F3"/>
    <w:rsid w:val="579F11FA"/>
    <w:rsid w:val="57EA9A47"/>
    <w:rsid w:val="57F00F5F"/>
    <w:rsid w:val="58C01B08"/>
    <w:rsid w:val="58D4AA9B"/>
    <w:rsid w:val="5946E49E"/>
    <w:rsid w:val="596A0C17"/>
    <w:rsid w:val="59736762"/>
    <w:rsid w:val="59D4650F"/>
    <w:rsid w:val="59E1479D"/>
    <w:rsid w:val="5A5F359C"/>
    <w:rsid w:val="5AD8BF13"/>
    <w:rsid w:val="5B00BF90"/>
    <w:rsid w:val="5B3E92CA"/>
    <w:rsid w:val="5B8D65C6"/>
    <w:rsid w:val="5B90A306"/>
    <w:rsid w:val="5C29763B"/>
    <w:rsid w:val="5C29B365"/>
    <w:rsid w:val="5C464050"/>
    <w:rsid w:val="5CB4FCB1"/>
    <w:rsid w:val="5CDED6AD"/>
    <w:rsid w:val="5E4FAD83"/>
    <w:rsid w:val="5F6C1FD2"/>
    <w:rsid w:val="5F796060"/>
    <w:rsid w:val="5F9F6DB7"/>
    <w:rsid w:val="601BCAE0"/>
    <w:rsid w:val="6052AF53"/>
    <w:rsid w:val="6135F52A"/>
    <w:rsid w:val="61D4F64C"/>
    <w:rsid w:val="6218B4DB"/>
    <w:rsid w:val="62413263"/>
    <w:rsid w:val="6279EFF3"/>
    <w:rsid w:val="63E50D02"/>
    <w:rsid w:val="64E96F6E"/>
    <w:rsid w:val="6504E8DC"/>
    <w:rsid w:val="6557F759"/>
    <w:rsid w:val="65A3F29B"/>
    <w:rsid w:val="65F15E1D"/>
    <w:rsid w:val="66049270"/>
    <w:rsid w:val="660C2E9B"/>
    <w:rsid w:val="6627AC9D"/>
    <w:rsid w:val="662FEA1C"/>
    <w:rsid w:val="675575B5"/>
    <w:rsid w:val="67F104AA"/>
    <w:rsid w:val="687566A8"/>
    <w:rsid w:val="6897B7E2"/>
    <w:rsid w:val="68B4AB18"/>
    <w:rsid w:val="6974873D"/>
    <w:rsid w:val="6A74BA45"/>
    <w:rsid w:val="6A78BAD9"/>
    <w:rsid w:val="6AD25124"/>
    <w:rsid w:val="6B375B47"/>
    <w:rsid w:val="6B568981"/>
    <w:rsid w:val="6B8C87A9"/>
    <w:rsid w:val="6BDC29B2"/>
    <w:rsid w:val="6C2F14AC"/>
    <w:rsid w:val="6CBBDE85"/>
    <w:rsid w:val="6DA4A9AB"/>
    <w:rsid w:val="6F202086"/>
    <w:rsid w:val="6F8FFC4D"/>
    <w:rsid w:val="702465DD"/>
    <w:rsid w:val="70B47D76"/>
    <w:rsid w:val="71665338"/>
    <w:rsid w:val="717C2724"/>
    <w:rsid w:val="73570D48"/>
    <w:rsid w:val="736DF357"/>
    <w:rsid w:val="73CA25B2"/>
    <w:rsid w:val="73E4ED52"/>
    <w:rsid w:val="74944F20"/>
    <w:rsid w:val="74A21027"/>
    <w:rsid w:val="74FCFD3A"/>
    <w:rsid w:val="75C498DB"/>
    <w:rsid w:val="76533AF4"/>
    <w:rsid w:val="765BA0C4"/>
    <w:rsid w:val="76A149BF"/>
    <w:rsid w:val="770293B3"/>
    <w:rsid w:val="77347890"/>
    <w:rsid w:val="777C3320"/>
    <w:rsid w:val="78B8561D"/>
    <w:rsid w:val="78BCDFC1"/>
    <w:rsid w:val="78BD43BC"/>
    <w:rsid w:val="78EA63BC"/>
    <w:rsid w:val="78ECF526"/>
    <w:rsid w:val="792FC813"/>
    <w:rsid w:val="79AD9B42"/>
    <w:rsid w:val="7A77FA26"/>
    <w:rsid w:val="7A95F8F7"/>
    <w:rsid w:val="7ACD479E"/>
    <w:rsid w:val="7CB1410C"/>
    <w:rsid w:val="7D12BD84"/>
    <w:rsid w:val="7EF995B7"/>
    <w:rsid w:val="7F3DDC2C"/>
    <w:rsid w:val="7FE00C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DD0F0"/>
  <w15:chartTrackingRefBased/>
  <w15:docId w15:val="{140C1F4A-9BDA-4625-8B95-E215D7E8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EC"/>
    <w:rPr>
      <w:rFonts w:ascii="Garamond" w:hAnsi="Garamond"/>
      <w:sz w:val="24"/>
    </w:rPr>
  </w:style>
  <w:style w:type="paragraph" w:styleId="Heading1">
    <w:name w:val="heading 1"/>
    <w:basedOn w:val="Normal"/>
    <w:next w:val="Normal"/>
    <w:link w:val="Heading1Char"/>
    <w:uiPriority w:val="9"/>
    <w:qFormat/>
    <w:rsid w:val="00116D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BB0D66"/>
    <w:pPr>
      <w:keepNext/>
      <w:keepLines/>
      <w:spacing w:before="40" w:line="259" w:lineRule="auto"/>
      <w:outlineLvl w:val="1"/>
    </w:pPr>
    <w:rPr>
      <w:rFonts w:ascii="Arial" w:eastAsiaTheme="majorEastAsia" w:hAnsi="Arial" w:cstheme="majorBidi"/>
      <w:color w:val="000000" w:themeColor="text1"/>
      <w:kern w:val="0"/>
      <w:sz w:val="32"/>
      <w:szCs w:val="26"/>
      <w:lang w:eastAsia="en-US"/>
      <w14:ligatures w14:val="none"/>
    </w:rPr>
  </w:style>
  <w:style w:type="paragraph" w:styleId="Heading3">
    <w:name w:val="heading 3"/>
    <w:basedOn w:val="Normal"/>
    <w:next w:val="Normal"/>
    <w:link w:val="Heading3Char"/>
    <w:uiPriority w:val="9"/>
    <w:semiHidden/>
    <w:unhideWhenUsed/>
    <w:qFormat/>
    <w:rsid w:val="0085730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EC"/>
    <w:pPr>
      <w:ind w:left="720"/>
      <w:contextualSpacing/>
    </w:pPr>
  </w:style>
  <w:style w:type="paragraph" w:styleId="Header">
    <w:name w:val="header"/>
    <w:basedOn w:val="Normal"/>
    <w:link w:val="HeaderChar"/>
    <w:uiPriority w:val="99"/>
    <w:unhideWhenUsed/>
    <w:rsid w:val="003245E8"/>
    <w:pPr>
      <w:tabs>
        <w:tab w:val="center" w:pos="4513"/>
        <w:tab w:val="right" w:pos="9026"/>
      </w:tabs>
    </w:pPr>
  </w:style>
  <w:style w:type="character" w:customStyle="1" w:styleId="HeaderChar">
    <w:name w:val="Header Char"/>
    <w:basedOn w:val="DefaultParagraphFont"/>
    <w:link w:val="Header"/>
    <w:uiPriority w:val="99"/>
    <w:rsid w:val="003245E8"/>
    <w:rPr>
      <w:rFonts w:ascii="Garamond" w:hAnsi="Garamond"/>
      <w:sz w:val="24"/>
    </w:rPr>
  </w:style>
  <w:style w:type="paragraph" w:styleId="Footer">
    <w:name w:val="footer"/>
    <w:basedOn w:val="Normal"/>
    <w:link w:val="FooterChar"/>
    <w:uiPriority w:val="99"/>
    <w:unhideWhenUsed/>
    <w:rsid w:val="003245E8"/>
    <w:pPr>
      <w:tabs>
        <w:tab w:val="center" w:pos="4513"/>
        <w:tab w:val="right" w:pos="9026"/>
      </w:tabs>
    </w:pPr>
  </w:style>
  <w:style w:type="character" w:customStyle="1" w:styleId="FooterChar">
    <w:name w:val="Footer Char"/>
    <w:basedOn w:val="DefaultParagraphFont"/>
    <w:link w:val="Footer"/>
    <w:uiPriority w:val="99"/>
    <w:rsid w:val="003245E8"/>
    <w:rPr>
      <w:rFonts w:ascii="Garamond" w:hAnsi="Garamond"/>
      <w:sz w:val="24"/>
    </w:rPr>
  </w:style>
  <w:style w:type="character" w:styleId="CommentReference">
    <w:name w:val="annotation reference"/>
    <w:basedOn w:val="DefaultParagraphFont"/>
    <w:uiPriority w:val="99"/>
    <w:semiHidden/>
    <w:unhideWhenUsed/>
    <w:rsid w:val="00023894"/>
    <w:rPr>
      <w:sz w:val="16"/>
      <w:szCs w:val="16"/>
    </w:rPr>
  </w:style>
  <w:style w:type="paragraph" w:styleId="CommentText">
    <w:name w:val="annotation text"/>
    <w:basedOn w:val="Normal"/>
    <w:link w:val="CommentTextChar"/>
    <w:uiPriority w:val="99"/>
    <w:unhideWhenUsed/>
    <w:rsid w:val="00023894"/>
    <w:rPr>
      <w:sz w:val="20"/>
    </w:rPr>
  </w:style>
  <w:style w:type="character" w:customStyle="1" w:styleId="CommentTextChar">
    <w:name w:val="Comment Text Char"/>
    <w:basedOn w:val="DefaultParagraphFont"/>
    <w:link w:val="CommentText"/>
    <w:uiPriority w:val="99"/>
    <w:rsid w:val="00023894"/>
    <w:rPr>
      <w:rFonts w:ascii="Garamond" w:hAnsi="Garamond"/>
    </w:rPr>
  </w:style>
  <w:style w:type="paragraph" w:styleId="CommentSubject">
    <w:name w:val="annotation subject"/>
    <w:basedOn w:val="CommentText"/>
    <w:next w:val="CommentText"/>
    <w:link w:val="CommentSubjectChar"/>
    <w:uiPriority w:val="99"/>
    <w:semiHidden/>
    <w:unhideWhenUsed/>
    <w:rsid w:val="00023894"/>
    <w:rPr>
      <w:b/>
      <w:bCs/>
    </w:rPr>
  </w:style>
  <w:style w:type="character" w:customStyle="1" w:styleId="CommentSubjectChar">
    <w:name w:val="Comment Subject Char"/>
    <w:basedOn w:val="CommentTextChar"/>
    <w:link w:val="CommentSubject"/>
    <w:uiPriority w:val="99"/>
    <w:semiHidden/>
    <w:rsid w:val="00023894"/>
    <w:rPr>
      <w:rFonts w:ascii="Garamond" w:hAnsi="Garamond"/>
      <w:b/>
      <w:bCs/>
    </w:rPr>
  </w:style>
  <w:style w:type="paragraph" w:styleId="NormalWeb">
    <w:name w:val="Normal (Web)"/>
    <w:basedOn w:val="Normal"/>
    <w:uiPriority w:val="99"/>
    <w:semiHidden/>
    <w:unhideWhenUsed/>
    <w:rsid w:val="00B7724E"/>
    <w:rPr>
      <w:rFonts w:ascii="Times New Roman" w:hAnsi="Times New Roman"/>
      <w:szCs w:val="24"/>
    </w:rPr>
  </w:style>
  <w:style w:type="character" w:styleId="Hyperlink">
    <w:name w:val="Hyperlink"/>
    <w:basedOn w:val="DefaultParagraphFont"/>
    <w:uiPriority w:val="99"/>
    <w:unhideWhenUsed/>
    <w:rsid w:val="00985C2D"/>
    <w:rPr>
      <w:color w:val="0563C1" w:themeColor="hyperlink"/>
      <w:u w:val="single"/>
    </w:rPr>
  </w:style>
  <w:style w:type="character" w:styleId="UnresolvedMention">
    <w:name w:val="Unresolved Mention"/>
    <w:basedOn w:val="DefaultParagraphFont"/>
    <w:uiPriority w:val="99"/>
    <w:semiHidden/>
    <w:unhideWhenUsed/>
    <w:rsid w:val="00985C2D"/>
    <w:rPr>
      <w:color w:val="605E5C"/>
      <w:shd w:val="clear" w:color="auto" w:fill="E1DFDD"/>
    </w:rPr>
  </w:style>
  <w:style w:type="paragraph" w:styleId="Revision">
    <w:name w:val="Revision"/>
    <w:hidden/>
    <w:uiPriority w:val="99"/>
    <w:semiHidden/>
    <w:rsid w:val="00FE7DF1"/>
    <w:rPr>
      <w:rFonts w:ascii="Garamond" w:hAnsi="Garamond"/>
      <w:sz w:val="24"/>
    </w:rPr>
  </w:style>
  <w:style w:type="character" w:customStyle="1" w:styleId="msoins0">
    <w:name w:val="msoins"/>
    <w:basedOn w:val="DefaultParagraphFont"/>
    <w:rsid w:val="00B04440"/>
  </w:style>
  <w:style w:type="character" w:customStyle="1" w:styleId="Heading2Char">
    <w:name w:val="Heading 2 Char"/>
    <w:basedOn w:val="DefaultParagraphFont"/>
    <w:link w:val="Heading2"/>
    <w:uiPriority w:val="9"/>
    <w:rsid w:val="00BB0D66"/>
    <w:rPr>
      <w:rFonts w:ascii="Arial" w:eastAsiaTheme="majorEastAsia" w:hAnsi="Arial" w:cstheme="majorBidi"/>
      <w:color w:val="000000" w:themeColor="text1"/>
      <w:kern w:val="0"/>
      <w:sz w:val="32"/>
      <w:szCs w:val="26"/>
      <w:lang w:eastAsia="en-US"/>
      <w14:ligatures w14:val="none"/>
    </w:rPr>
  </w:style>
  <w:style w:type="character" w:customStyle="1" w:styleId="Heading3Char">
    <w:name w:val="Heading 3 Char"/>
    <w:basedOn w:val="DefaultParagraphFont"/>
    <w:link w:val="Heading3"/>
    <w:uiPriority w:val="9"/>
    <w:semiHidden/>
    <w:rsid w:val="0085730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16D0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11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2783">
      <w:bodyDiv w:val="1"/>
      <w:marLeft w:val="0"/>
      <w:marRight w:val="0"/>
      <w:marTop w:val="0"/>
      <w:marBottom w:val="0"/>
      <w:divBdr>
        <w:top w:val="none" w:sz="0" w:space="0" w:color="auto"/>
        <w:left w:val="none" w:sz="0" w:space="0" w:color="auto"/>
        <w:bottom w:val="none" w:sz="0" w:space="0" w:color="auto"/>
        <w:right w:val="none" w:sz="0" w:space="0" w:color="auto"/>
      </w:divBdr>
    </w:div>
    <w:div w:id="890767901">
      <w:bodyDiv w:val="1"/>
      <w:marLeft w:val="0"/>
      <w:marRight w:val="0"/>
      <w:marTop w:val="0"/>
      <w:marBottom w:val="0"/>
      <w:divBdr>
        <w:top w:val="none" w:sz="0" w:space="0" w:color="auto"/>
        <w:left w:val="none" w:sz="0" w:space="0" w:color="auto"/>
        <w:bottom w:val="none" w:sz="0" w:space="0" w:color="auto"/>
        <w:right w:val="none" w:sz="0" w:space="0" w:color="auto"/>
      </w:divBdr>
    </w:div>
    <w:div w:id="16556445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XboardDocuments xmlns="1b5a46f1-850f-4986-9b4a-802a30b43c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92AF25E3FDA41B89962FBEBE5FA62" ma:contentTypeVersion="12" ma:contentTypeDescription="Create a new document." ma:contentTypeScope="" ma:versionID="d464260c78a40a5aa97c5b37f53da8f4">
  <xsd:schema xmlns:xsd="http://www.w3.org/2001/XMLSchema" xmlns:xs="http://www.w3.org/2001/XMLSchema" xmlns:p="http://schemas.microsoft.com/office/2006/metadata/properties" xmlns:ns2="1b5a46f1-850f-4986-9b4a-802a30b43c65" xmlns:ns3="78731744-804d-40e0-b8af-377f2ad83d75" targetNamespace="http://schemas.microsoft.com/office/2006/metadata/properties" ma:root="true" ma:fieldsID="d6d19288e67b8c130284219cc7c7c133" ns2:_="" ns3:_="">
    <xsd:import namespace="1b5a46f1-850f-4986-9b4a-802a30b43c65"/>
    <xsd:import namespace="78731744-804d-40e0-b8af-377f2ad83d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EXboardDocument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46f1-850f-4986-9b4a-802a30b43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EXboardDocuments" ma:index="14" nillable="true" ma:displayName="EX board Documents " ma:description="Strategy documents and papers" ma:format="Dropdown" ma:internalName="EXboardDocument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31744-804d-40e0-b8af-377f2ad83d7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E2B34-BC1C-48E6-B7FF-7DDF23CD5E58}">
  <ds:schemaRefs>
    <ds:schemaRef ds:uri="http://schemas.microsoft.com/sharepoint/v3/contenttype/forms"/>
  </ds:schemaRefs>
</ds:datastoreItem>
</file>

<file path=customXml/itemProps2.xml><?xml version="1.0" encoding="utf-8"?>
<ds:datastoreItem xmlns:ds="http://schemas.openxmlformats.org/officeDocument/2006/customXml" ds:itemID="{11644C7D-BBBB-4BBB-A681-B4162AB04207}">
  <ds:schemaRefs>
    <ds:schemaRef ds:uri="http://schemas.microsoft.com/office/2006/metadata/properties"/>
    <ds:schemaRef ds:uri="http://schemas.microsoft.com/office/infopath/2007/PartnerControls"/>
    <ds:schemaRef ds:uri="1b5a46f1-850f-4986-9b4a-802a30b43c65"/>
  </ds:schemaRefs>
</ds:datastoreItem>
</file>

<file path=customXml/itemProps3.xml><?xml version="1.0" encoding="utf-8"?>
<ds:datastoreItem xmlns:ds="http://schemas.openxmlformats.org/officeDocument/2006/customXml" ds:itemID="{F6C8E13A-297B-4ACB-B7AA-CB0A987D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46f1-850f-4986-9b4a-802a30b43c65"/>
    <ds:schemaRef ds:uri="78731744-804d-40e0-b8af-377f2ad83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108379-ec3f-4459-9a6d-f531e8ec0724}" enabled="0" method="" siteId="{f3108379-ec3f-4459-9a6d-f531e8ec0724}" removed="1"/>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7466</Words>
  <Characters>46817</Characters>
  <Application>Microsoft Office Word</Application>
  <DocSecurity>0</DocSecurity>
  <Lines>1463</Lines>
  <Paragraphs>472</Paragraphs>
  <ScaleCrop>false</ScaleCrop>
  <Company/>
  <LinksUpToDate>false</LinksUpToDate>
  <CharactersWithSpaces>53811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Edwards</dc:creator>
  <cp:keywords/>
  <dc:description/>
  <cp:lastModifiedBy>SHQ - Edney, Richard</cp:lastModifiedBy>
  <cp:revision>3</cp:revision>
  <cp:lastPrinted>2026-04-30T21:23:00Z</cp:lastPrinted>
  <dcterms:created xsi:type="dcterms:W3CDTF">2026-04-30T16:46:00Z</dcterms:created>
  <dcterms:modified xsi:type="dcterms:W3CDTF">2026-04-30T16:47:00Z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0x01010033092AF25E3FDA41B89962FBEBE5FA62</vt:lpwstr>
  </property>
  <property fmtid="{D5CDD505-2E9C-101B-9397-08002B2CF9AE}" pid="3" name="HOCopyrightLevel">
    <vt:lpwstr>5;#Crown|69589897-2828-4761-976e-717fd8e631c9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4;#Policy – Standard|6ac71db3-f607-40c5-a1e1-b9c1a296a59c</vt:lpwstr>
  </property>
  <property fmtid="{D5CDD505-2E9C-101B-9397-08002B2CF9AE}" pid="6" name="HOBusinessUnit">
    <vt:lpwstr>2;#Police and Fire Funding and CJS Strategy Unit (A)|33d80622-b197-4723-874c-b0ef2ddfcf28</vt:lpwstr>
  </property>
  <property fmtid="{D5CDD505-2E9C-101B-9397-08002B2CF9AE}" pid="7" name="HOFrom">
    <vt:lpwstr/>
  </property>
  <property fmtid="{D5CDD505-2E9C-101B-9397-08002B2CF9AE}" pid="8" name="_ExtendedDescription">
    <vt:lpwstr/>
  </property>
  <property fmtid="{D5CDD505-2E9C-101B-9397-08002B2CF9AE}" pid="9" name="HOCC">
    <vt:lpwstr/>
  </property>
  <property fmtid="{D5CDD505-2E9C-101B-9397-08002B2CF9AE}" pid="10" name="HOTo">
    <vt:lpwstr/>
  </property>
  <property fmtid="{D5CDD505-2E9C-101B-9397-08002B2CF9AE}" pid="11" name="HOSubject">
    <vt:lpwstr/>
  </property>
  <property fmtid="{D5CDD505-2E9C-101B-9397-08002B2CF9AE}" pid="12" name="docLang">
    <vt:lpwstr>en</vt:lpwstr>
  </property>
  <property fmtid="{D5CDD505-2E9C-101B-9397-08002B2CF9AE}" pid="13" name="ClassificationContentMarkingHeaderShapeIds">
    <vt:lpwstr>6bdf1a83,7196bede,41161065</vt:lpwstr>
  </property>
  <property fmtid="{D5CDD505-2E9C-101B-9397-08002B2CF9AE}" pid="14" name="ClassificationContentMarkingHeaderFontProps">
    <vt:lpwstr>#000000,10,Aptos</vt:lpwstr>
  </property>
  <property fmtid="{D5CDD505-2E9C-101B-9397-08002B2CF9AE}" pid="15" name="ClassificationContentMarkingHeaderText">
    <vt:lpwstr>OFFICIAL</vt:lpwstr>
  </property>
  <property fmtid="{D5CDD505-2E9C-101B-9397-08002B2CF9AE}" pid="16" name="ClassificationContentMarkingFooterShapeIds">
    <vt:lpwstr>5a54a6de,6d84a73d,181b7109</vt:lpwstr>
  </property>
  <property fmtid="{D5CDD505-2E9C-101B-9397-08002B2CF9AE}" pid="17" name="ClassificationContentMarkingFooterFontProps">
    <vt:lpwstr>#000000,9,Aptos</vt:lpwstr>
  </property>
  <property fmtid="{D5CDD505-2E9C-101B-9397-08002B2CF9AE}" pid="18" name="ClassificationContentMarkingFooterText">
    <vt:lpwstr>OFFICIAL - SENSITIVE</vt:lpwstr>
  </property>
  <property fmtid="{D5CDD505-2E9C-101B-9397-08002B2CF9AE}" pid="19" name="MSIP_Label_e96563e4-f6b4-4f40-85c8-802e03f400e9_Enabled">
    <vt:lpwstr>true</vt:lpwstr>
  </property>
  <property fmtid="{D5CDD505-2E9C-101B-9397-08002B2CF9AE}" pid="20" name="MSIP_Label_e96563e4-f6b4-4f40-85c8-802e03f400e9_SetDate">
    <vt:lpwstr>2026-04-14T11:17:18Z</vt:lpwstr>
  </property>
  <property fmtid="{D5CDD505-2E9C-101B-9397-08002B2CF9AE}" pid="21" name="MSIP_Label_e96563e4-f6b4-4f40-85c8-802e03f400e9_Method">
    <vt:lpwstr>Standard</vt:lpwstr>
  </property>
  <property fmtid="{D5CDD505-2E9C-101B-9397-08002B2CF9AE}" pid="22" name="MSIP_Label_e96563e4-f6b4-4f40-85c8-802e03f400e9_Name">
    <vt:lpwstr>OFFICIAL – SENSITIVE – Internal Recipient Only</vt:lpwstr>
  </property>
  <property fmtid="{D5CDD505-2E9C-101B-9397-08002B2CF9AE}" pid="23" name="MSIP_Label_e96563e4-f6b4-4f40-85c8-802e03f400e9_SiteId">
    <vt:lpwstr>f3108379-ec3f-4459-9a6d-f531e8ec0724</vt:lpwstr>
  </property>
  <property fmtid="{D5CDD505-2E9C-101B-9397-08002B2CF9AE}" pid="24" name="MSIP_Label_e96563e4-f6b4-4f40-85c8-802e03f400e9_ActionId">
    <vt:lpwstr>c27e55bf-4664-467e-8f26-4012d7f20411</vt:lpwstr>
  </property>
  <property fmtid="{D5CDD505-2E9C-101B-9397-08002B2CF9AE}" pid="25" name="MSIP_Label_e96563e4-f6b4-4f40-85c8-802e03f400e9_ContentBits">
    <vt:lpwstr>2</vt:lpwstr>
  </property>
  <property fmtid="{D5CDD505-2E9C-101B-9397-08002B2CF9AE}" pid="26" name="MSIP_Label_e96563e4-f6b4-4f40-85c8-802e03f400e9_Tag">
    <vt:lpwstr>10, 1, 2, 1</vt:lpwstr>
  </property>
</Properties>
</file>