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F429" w14:textId="7BDDABCE" w:rsidR="00FC3424" w:rsidRPr="000D1445" w:rsidRDefault="00FC3424" w:rsidP="00FC3424">
      <w:pPr>
        <w:spacing w:before="240" w:after="120"/>
        <w:jc w:val="right"/>
        <w:rPr>
          <w:rFonts w:ascii="Arial" w:hAnsi="Arial"/>
          <w:b/>
          <w:sz w:val="28"/>
          <w:szCs w:val="28"/>
        </w:rPr>
      </w:pPr>
      <w:r w:rsidRPr="000D1445">
        <w:rPr>
          <w:rFonts w:ascii="Arial" w:hAnsi="Arial"/>
          <w:b/>
          <w:sz w:val="28"/>
          <w:szCs w:val="28"/>
        </w:rPr>
        <w:t>Appendix A</w:t>
      </w:r>
    </w:p>
    <w:p w14:paraId="77A25723" w14:textId="5BE18A3C" w:rsidR="00FC3424" w:rsidRPr="000D1445" w:rsidRDefault="00FC3424" w:rsidP="00FC3424">
      <w:pPr>
        <w:spacing w:before="240" w:after="120"/>
        <w:jc w:val="both"/>
        <w:rPr>
          <w:rFonts w:ascii="Arial" w:hAnsi="Arial"/>
          <w:b/>
          <w:sz w:val="28"/>
          <w:szCs w:val="28"/>
        </w:rPr>
      </w:pPr>
      <w:r w:rsidRPr="000D1445">
        <w:rPr>
          <w:rFonts w:ascii="Arial" w:hAnsi="Arial"/>
          <w:b/>
          <w:sz w:val="28"/>
          <w:szCs w:val="28"/>
        </w:rPr>
        <w:t>Medium Term Financial Strategy</w:t>
      </w:r>
    </w:p>
    <w:p w14:paraId="58F4AC96" w14:textId="038556EE" w:rsidR="00FC3424" w:rsidRPr="00C318FF" w:rsidRDefault="00FC3424" w:rsidP="00FC3424">
      <w:pPr>
        <w:spacing w:before="240" w:after="120"/>
        <w:jc w:val="both"/>
        <w:rPr>
          <w:rFonts w:ascii="Arial" w:hAnsi="Arial"/>
          <w:b/>
        </w:rPr>
      </w:pPr>
      <w:r>
        <w:rPr>
          <w:rFonts w:ascii="Arial" w:hAnsi="Arial"/>
          <w:b/>
        </w:rPr>
        <w:t>Introduction</w:t>
      </w:r>
    </w:p>
    <w:p w14:paraId="7B75462A" w14:textId="759A3A89" w:rsidR="000D1445" w:rsidRDefault="000D1445" w:rsidP="000D1445">
      <w:pPr>
        <w:pStyle w:val="Default"/>
        <w:numPr>
          <w:ilvl w:val="0"/>
          <w:numId w:val="2"/>
        </w:numPr>
        <w:spacing w:before="120" w:after="240"/>
        <w:ind w:left="635" w:hanging="635"/>
      </w:pPr>
      <w:r>
        <w:t xml:space="preserve">The purpose of the </w:t>
      </w:r>
      <w:proofErr w:type="gramStart"/>
      <w:r>
        <w:t>Medium Term</w:t>
      </w:r>
      <w:proofErr w:type="gramEnd"/>
      <w:r>
        <w:t xml:space="preserve"> Financial Strategy (MTFS) is to provide the Authority, staff, the public and other stakeholders with information on the financial outlook and the estimated available funding over the next five years. The MTFS </w:t>
      </w:r>
      <w:proofErr w:type="gramStart"/>
      <w:r>
        <w:t>takes into account</w:t>
      </w:r>
      <w:proofErr w:type="gramEnd"/>
      <w:r>
        <w:t xml:space="preserve"> future high level, potential revenue and capital expenditure over the period based upon current known information and estimates.</w:t>
      </w:r>
    </w:p>
    <w:p w14:paraId="5996A9ED" w14:textId="6317F571" w:rsidR="001228F9" w:rsidRDefault="001228F9" w:rsidP="001228F9">
      <w:pPr>
        <w:pStyle w:val="Default"/>
        <w:numPr>
          <w:ilvl w:val="0"/>
          <w:numId w:val="2"/>
        </w:numPr>
        <w:spacing w:before="120" w:after="240"/>
        <w:ind w:left="635" w:hanging="635"/>
      </w:pPr>
      <w:r>
        <w:t xml:space="preserve">The </w:t>
      </w:r>
      <w:r w:rsidR="00D24CA9">
        <w:t>MTFS</w:t>
      </w:r>
      <w:r>
        <w:t xml:space="preserve"> form</w:t>
      </w:r>
      <w:r w:rsidR="00D24CA9">
        <w:t>s part of</w:t>
      </w:r>
      <w:r>
        <w:t xml:space="preserve"> our financial strategies, they are part of our strategic planning activity and governance framework which sets out the direction of the Service and how we will achieve our aim of making Lancashire safer. These financial strategies are one of six core strategies that set out how we will provide services in line with the following priorities in our five-year Community Risk Management Plan (CRMP):</w:t>
      </w:r>
    </w:p>
    <w:p w14:paraId="0401C4E4" w14:textId="77777777" w:rsidR="001228F9" w:rsidRPr="002C045C" w:rsidRDefault="001228F9" w:rsidP="001228F9">
      <w:pPr>
        <w:pStyle w:val="ListParagraph"/>
        <w:numPr>
          <w:ilvl w:val="0"/>
          <w:numId w:val="1"/>
        </w:numPr>
        <w:spacing w:after="120"/>
        <w:ind w:left="1134" w:hanging="357"/>
        <w:contextualSpacing w:val="0"/>
        <w:rPr>
          <w:rFonts w:ascii="Arial" w:hAnsi="Arial"/>
        </w:rPr>
      </w:pPr>
      <w:r w:rsidRPr="002C045C">
        <w:rPr>
          <w:rFonts w:ascii="Arial" w:hAnsi="Arial"/>
        </w:rPr>
        <w:t>Valuing our people.</w:t>
      </w:r>
    </w:p>
    <w:p w14:paraId="52EAFF7F" w14:textId="77777777" w:rsidR="001228F9" w:rsidRPr="002C045C" w:rsidRDefault="001228F9" w:rsidP="001228F9">
      <w:pPr>
        <w:pStyle w:val="ListParagraph"/>
        <w:numPr>
          <w:ilvl w:val="0"/>
          <w:numId w:val="1"/>
        </w:numPr>
        <w:spacing w:after="120"/>
        <w:ind w:left="1134" w:hanging="357"/>
        <w:contextualSpacing w:val="0"/>
        <w:rPr>
          <w:rFonts w:ascii="Arial" w:hAnsi="Arial"/>
        </w:rPr>
      </w:pPr>
      <w:r w:rsidRPr="002C045C">
        <w:rPr>
          <w:rFonts w:ascii="Arial" w:hAnsi="Arial"/>
        </w:rPr>
        <w:t>Preventing fires.</w:t>
      </w:r>
    </w:p>
    <w:p w14:paraId="1C588C79" w14:textId="77777777" w:rsidR="001228F9" w:rsidRPr="002C045C" w:rsidRDefault="001228F9" w:rsidP="001228F9">
      <w:pPr>
        <w:pStyle w:val="ListParagraph"/>
        <w:numPr>
          <w:ilvl w:val="0"/>
          <w:numId w:val="1"/>
        </w:numPr>
        <w:spacing w:after="120"/>
        <w:ind w:left="1134" w:hanging="357"/>
        <w:contextualSpacing w:val="0"/>
        <w:rPr>
          <w:rFonts w:ascii="Arial" w:hAnsi="Arial"/>
        </w:rPr>
      </w:pPr>
      <w:r w:rsidRPr="002C045C">
        <w:rPr>
          <w:rFonts w:ascii="Arial" w:hAnsi="Arial"/>
        </w:rPr>
        <w:t>Protecting people and property.</w:t>
      </w:r>
    </w:p>
    <w:p w14:paraId="0C11AF90" w14:textId="77777777" w:rsidR="001228F9" w:rsidRPr="002C045C" w:rsidRDefault="001228F9" w:rsidP="001228F9">
      <w:pPr>
        <w:pStyle w:val="ListParagraph"/>
        <w:numPr>
          <w:ilvl w:val="0"/>
          <w:numId w:val="1"/>
        </w:numPr>
        <w:spacing w:after="120"/>
        <w:ind w:left="1134" w:hanging="357"/>
        <w:contextualSpacing w:val="0"/>
        <w:rPr>
          <w:rFonts w:ascii="Arial" w:hAnsi="Arial"/>
        </w:rPr>
      </w:pPr>
      <w:r w:rsidRPr="002C045C">
        <w:rPr>
          <w:rFonts w:ascii="Arial" w:hAnsi="Arial"/>
        </w:rPr>
        <w:t>Responding to fires and other emerg</w:t>
      </w:r>
      <w:r>
        <w:rPr>
          <w:rFonts w:ascii="Arial" w:hAnsi="Arial"/>
        </w:rPr>
        <w:t>e</w:t>
      </w:r>
      <w:r w:rsidRPr="002C045C">
        <w:rPr>
          <w:rFonts w:ascii="Arial" w:hAnsi="Arial"/>
        </w:rPr>
        <w:t xml:space="preserve">ncies. </w:t>
      </w:r>
    </w:p>
    <w:p w14:paraId="62FB3114" w14:textId="0CB6471A" w:rsidR="001228F9" w:rsidRPr="00D24CA9" w:rsidRDefault="001228F9" w:rsidP="00D24CA9">
      <w:pPr>
        <w:pStyle w:val="ListParagraph"/>
        <w:numPr>
          <w:ilvl w:val="0"/>
          <w:numId w:val="1"/>
        </w:numPr>
        <w:spacing w:after="120"/>
        <w:ind w:left="1134" w:hanging="357"/>
        <w:contextualSpacing w:val="0"/>
        <w:rPr>
          <w:rFonts w:ascii="Arial" w:hAnsi="Arial"/>
        </w:rPr>
      </w:pPr>
      <w:r w:rsidRPr="002C045C">
        <w:rPr>
          <w:rFonts w:ascii="Arial" w:hAnsi="Arial"/>
        </w:rPr>
        <w:t>Delivering value for money</w:t>
      </w:r>
      <w:r>
        <w:rPr>
          <w:rFonts w:ascii="Arial" w:hAnsi="Arial"/>
        </w:rPr>
        <w:t>.</w:t>
      </w:r>
    </w:p>
    <w:p w14:paraId="3D8DE191" w14:textId="7BC91A92" w:rsidR="00FC3424" w:rsidRPr="000D1445" w:rsidRDefault="000D1445" w:rsidP="000D1445">
      <w:pPr>
        <w:spacing w:before="240" w:after="120"/>
        <w:jc w:val="both"/>
        <w:rPr>
          <w:rFonts w:ascii="Arial" w:hAnsi="Arial"/>
          <w:b/>
        </w:rPr>
      </w:pPr>
      <w:r w:rsidRPr="000D1445">
        <w:rPr>
          <w:rFonts w:ascii="Arial" w:hAnsi="Arial"/>
          <w:b/>
        </w:rPr>
        <w:t>The Budget Strategy</w:t>
      </w:r>
    </w:p>
    <w:p w14:paraId="4364817F" w14:textId="77777777" w:rsidR="000D1445" w:rsidRDefault="000D1445" w:rsidP="000D1445">
      <w:pPr>
        <w:pStyle w:val="Default"/>
        <w:numPr>
          <w:ilvl w:val="0"/>
          <w:numId w:val="2"/>
        </w:numPr>
        <w:spacing w:before="120" w:after="240"/>
        <w:ind w:left="635" w:hanging="635"/>
      </w:pPr>
      <w:r>
        <w:t xml:space="preserve">The purpose of the budget strategy is to provide a basis for determining: </w:t>
      </w:r>
    </w:p>
    <w:p w14:paraId="01C8BF5B" w14:textId="4F31BA26"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 xml:space="preserve">The level of funding available in the future to deliver national and local </w:t>
      </w:r>
      <w:r w:rsidR="00425320" w:rsidRPr="000D1445">
        <w:rPr>
          <w:rFonts w:ascii="Arial" w:hAnsi="Arial"/>
        </w:rPr>
        <w:t>priorities.</w:t>
      </w:r>
      <w:r w:rsidRPr="000D1445">
        <w:rPr>
          <w:rFonts w:ascii="Arial" w:hAnsi="Arial"/>
        </w:rPr>
        <w:t xml:space="preserve"> </w:t>
      </w:r>
    </w:p>
    <w:p w14:paraId="0D61ADD9" w14:textId="5F67AC01"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 xml:space="preserve">The future demands upon the revenue </w:t>
      </w:r>
      <w:r w:rsidR="00425320" w:rsidRPr="000D1445">
        <w:rPr>
          <w:rFonts w:ascii="Arial" w:hAnsi="Arial"/>
        </w:rPr>
        <w:t>budget.</w:t>
      </w:r>
      <w:r w:rsidRPr="000D1445">
        <w:rPr>
          <w:rFonts w:ascii="Arial" w:hAnsi="Arial"/>
        </w:rPr>
        <w:t xml:space="preserve"> </w:t>
      </w:r>
    </w:p>
    <w:p w14:paraId="7757229E" w14:textId="6DA3A361"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The impact of external factors</w:t>
      </w:r>
      <w:r w:rsidR="00425320">
        <w:rPr>
          <w:rFonts w:ascii="Arial" w:hAnsi="Arial"/>
        </w:rPr>
        <w:t>.</w:t>
      </w:r>
      <w:r w:rsidRPr="000D1445">
        <w:rPr>
          <w:rFonts w:ascii="Arial" w:hAnsi="Arial"/>
        </w:rPr>
        <w:t xml:space="preserve"> </w:t>
      </w:r>
    </w:p>
    <w:p w14:paraId="64D7EE7F" w14:textId="24AB177E"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 xml:space="preserve">The financial implications of collaborations, partnerships </w:t>
      </w:r>
      <w:r w:rsidR="00425320" w:rsidRPr="000D1445">
        <w:rPr>
          <w:rFonts w:ascii="Arial" w:hAnsi="Arial"/>
        </w:rPr>
        <w:t>etc.</w:t>
      </w:r>
      <w:r w:rsidRPr="000D1445">
        <w:rPr>
          <w:rFonts w:ascii="Arial" w:hAnsi="Arial"/>
        </w:rPr>
        <w:t xml:space="preserve"> </w:t>
      </w:r>
    </w:p>
    <w:p w14:paraId="60D0A56A" w14:textId="097DA0E0"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The amount of capital investment which is required to achieve corporate objectives</w:t>
      </w:r>
      <w:r w:rsidR="00425320">
        <w:rPr>
          <w:rFonts w:ascii="Arial" w:hAnsi="Arial"/>
        </w:rPr>
        <w:t>.</w:t>
      </w:r>
      <w:r w:rsidRPr="000D1445">
        <w:rPr>
          <w:rFonts w:ascii="Arial" w:hAnsi="Arial"/>
        </w:rPr>
        <w:t xml:space="preserve"> </w:t>
      </w:r>
    </w:p>
    <w:p w14:paraId="1550A6B8" w14:textId="6ABFFD69" w:rsid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The revenue consequences of such capital investment</w:t>
      </w:r>
      <w:r w:rsidR="00425320">
        <w:rPr>
          <w:rFonts w:ascii="Arial" w:hAnsi="Arial"/>
        </w:rPr>
        <w:t>.</w:t>
      </w:r>
      <w:r w:rsidRPr="000D1445">
        <w:rPr>
          <w:rFonts w:ascii="Arial" w:hAnsi="Arial"/>
        </w:rPr>
        <w:t xml:space="preserve"> </w:t>
      </w:r>
    </w:p>
    <w:p w14:paraId="6387A4CF" w14:textId="06922032"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The future reserve levels</w:t>
      </w:r>
      <w:r w:rsidR="00425320">
        <w:rPr>
          <w:rFonts w:ascii="Arial" w:hAnsi="Arial"/>
        </w:rPr>
        <w:t>.</w:t>
      </w:r>
      <w:r w:rsidRPr="000D1445">
        <w:rPr>
          <w:rFonts w:ascii="Arial" w:hAnsi="Arial"/>
        </w:rPr>
        <w:t xml:space="preserve"> </w:t>
      </w:r>
    </w:p>
    <w:p w14:paraId="65CA88EA" w14:textId="1C938902"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The impact of additional demands on the level of council tax that is required</w:t>
      </w:r>
      <w:r w:rsidR="00425320">
        <w:rPr>
          <w:rFonts w:ascii="Arial" w:hAnsi="Arial"/>
        </w:rPr>
        <w:t>.</w:t>
      </w:r>
      <w:r w:rsidRPr="000D1445">
        <w:rPr>
          <w:rFonts w:ascii="Arial" w:hAnsi="Arial"/>
        </w:rPr>
        <w:t xml:space="preserve"> </w:t>
      </w:r>
    </w:p>
    <w:p w14:paraId="25F3728B" w14:textId="7AA6247E"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 xml:space="preserve">The potential impact of the main financial risks facing the organisation. </w:t>
      </w:r>
    </w:p>
    <w:p w14:paraId="15B41DF2" w14:textId="734CE515" w:rsidR="000D1445" w:rsidRDefault="000D1445" w:rsidP="000D1445">
      <w:pPr>
        <w:pStyle w:val="Default"/>
        <w:numPr>
          <w:ilvl w:val="0"/>
          <w:numId w:val="2"/>
        </w:numPr>
        <w:spacing w:before="120" w:after="240"/>
        <w:ind w:left="635" w:hanging="635"/>
      </w:pPr>
      <w:r>
        <w:t>The above help</w:t>
      </w:r>
      <w:r w:rsidR="00425320">
        <w:t>s</w:t>
      </w:r>
      <w:r>
        <w:t xml:space="preserve"> to establish the anticipated level of funding and demands on finances over the MTFS period enabling strategic financial planning processes </w:t>
      </w:r>
      <w:r>
        <w:lastRenderedPageBreak/>
        <w:t>to address the challenges and outcomes. The following set</w:t>
      </w:r>
      <w:r w:rsidR="00425320">
        <w:t>s</w:t>
      </w:r>
      <w:r>
        <w:t xml:space="preserve"> out the key principles for that planning process: </w:t>
      </w:r>
    </w:p>
    <w:p w14:paraId="41DDAAAE" w14:textId="6870AC4A"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 xml:space="preserve">Ensure that plans contribute to improved outcomes in support of set priorities within the </w:t>
      </w:r>
      <w:r w:rsidR="00425320">
        <w:rPr>
          <w:rFonts w:ascii="Arial" w:hAnsi="Arial"/>
        </w:rPr>
        <w:t>Community</w:t>
      </w:r>
      <w:r w:rsidRPr="000D1445">
        <w:rPr>
          <w:rFonts w:ascii="Arial" w:hAnsi="Arial"/>
        </w:rPr>
        <w:t xml:space="preserve"> Risk Management Plan (</w:t>
      </w:r>
      <w:r w:rsidR="00425320">
        <w:rPr>
          <w:rFonts w:ascii="Arial" w:hAnsi="Arial"/>
        </w:rPr>
        <w:t>C</w:t>
      </w:r>
      <w:r w:rsidRPr="000D1445">
        <w:rPr>
          <w:rFonts w:ascii="Arial" w:hAnsi="Arial"/>
        </w:rPr>
        <w:t>RMP)</w:t>
      </w:r>
      <w:r w:rsidR="00425320">
        <w:rPr>
          <w:rFonts w:ascii="Arial" w:hAnsi="Arial"/>
        </w:rPr>
        <w:t>.</w:t>
      </w:r>
    </w:p>
    <w:p w14:paraId="6FE9AB60" w14:textId="0595C3D8"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Set a comprehensive, timely, balanced and realistic budget</w:t>
      </w:r>
      <w:r w:rsidR="00425320">
        <w:rPr>
          <w:rFonts w:ascii="Arial" w:hAnsi="Arial"/>
        </w:rPr>
        <w:t>.</w:t>
      </w:r>
    </w:p>
    <w:p w14:paraId="72607DBB" w14:textId="1CFC4E12" w:rsidR="000D1445" w:rsidRPr="000D1445" w:rsidRDefault="000D1445" w:rsidP="000D1445">
      <w:pPr>
        <w:pStyle w:val="ListParagraph"/>
        <w:numPr>
          <w:ilvl w:val="0"/>
          <w:numId w:val="1"/>
        </w:numPr>
        <w:spacing w:after="120"/>
        <w:ind w:left="1134" w:hanging="357"/>
        <w:contextualSpacing w:val="0"/>
        <w:rPr>
          <w:rFonts w:ascii="Arial" w:hAnsi="Arial"/>
        </w:rPr>
      </w:pPr>
      <w:proofErr w:type="gramStart"/>
      <w:r w:rsidRPr="000D1445">
        <w:rPr>
          <w:rFonts w:ascii="Arial" w:hAnsi="Arial"/>
        </w:rPr>
        <w:t>Take into account</w:t>
      </w:r>
      <w:proofErr w:type="gramEnd"/>
      <w:r w:rsidRPr="000D1445">
        <w:rPr>
          <w:rFonts w:ascii="Arial" w:hAnsi="Arial"/>
        </w:rPr>
        <w:t xml:space="preserve"> pay and price inflation and achievability of savings</w:t>
      </w:r>
      <w:r w:rsidR="00425320">
        <w:rPr>
          <w:rFonts w:ascii="Arial" w:hAnsi="Arial"/>
        </w:rPr>
        <w:t>.</w:t>
      </w:r>
    </w:p>
    <w:p w14:paraId="565DA5E3" w14:textId="5E5A5AE3" w:rsidR="005626F8" w:rsidRPr="000D1445" w:rsidRDefault="005626F8" w:rsidP="005626F8">
      <w:pPr>
        <w:pStyle w:val="ListParagraph"/>
        <w:numPr>
          <w:ilvl w:val="0"/>
          <w:numId w:val="1"/>
        </w:numPr>
        <w:spacing w:after="120"/>
        <w:ind w:left="1134" w:hanging="357"/>
        <w:contextualSpacing w:val="0"/>
        <w:rPr>
          <w:rFonts w:ascii="Arial" w:hAnsi="Arial"/>
        </w:rPr>
      </w:pPr>
      <w:r w:rsidRPr="000D1445">
        <w:rPr>
          <w:rFonts w:ascii="Arial" w:hAnsi="Arial"/>
        </w:rPr>
        <w:t xml:space="preserve">Ensure compliance with the approved </w:t>
      </w:r>
      <w:r>
        <w:rPr>
          <w:rFonts w:ascii="Arial" w:hAnsi="Arial"/>
        </w:rPr>
        <w:t>capital</w:t>
      </w:r>
      <w:r w:rsidRPr="000D1445">
        <w:rPr>
          <w:rFonts w:ascii="Arial" w:hAnsi="Arial"/>
        </w:rPr>
        <w:t xml:space="preserve"> strategy</w:t>
      </w:r>
      <w:r>
        <w:rPr>
          <w:rFonts w:ascii="Arial" w:hAnsi="Arial"/>
        </w:rPr>
        <w:t>.</w:t>
      </w:r>
    </w:p>
    <w:p w14:paraId="3DA531F5" w14:textId="77777777" w:rsidR="005626F8" w:rsidRPr="000D1445" w:rsidRDefault="005626F8" w:rsidP="005626F8">
      <w:pPr>
        <w:pStyle w:val="ListParagraph"/>
        <w:numPr>
          <w:ilvl w:val="0"/>
          <w:numId w:val="1"/>
        </w:numPr>
        <w:spacing w:after="120"/>
        <w:ind w:left="1134" w:hanging="357"/>
        <w:contextualSpacing w:val="0"/>
        <w:rPr>
          <w:rFonts w:ascii="Arial" w:hAnsi="Arial"/>
        </w:rPr>
      </w:pPr>
      <w:r w:rsidRPr="000D1445">
        <w:rPr>
          <w:rFonts w:ascii="Arial" w:hAnsi="Arial"/>
        </w:rPr>
        <w:t>Ensure compliance with the approved reserves strategy</w:t>
      </w:r>
      <w:r>
        <w:rPr>
          <w:rFonts w:ascii="Arial" w:hAnsi="Arial"/>
        </w:rPr>
        <w:t>.</w:t>
      </w:r>
    </w:p>
    <w:p w14:paraId="7AC45283" w14:textId="730870A8"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Ensure compliance with the approved treasury management strategy</w:t>
      </w:r>
      <w:r w:rsidR="00425320">
        <w:rPr>
          <w:rFonts w:ascii="Arial" w:hAnsi="Arial"/>
        </w:rPr>
        <w:t>.</w:t>
      </w:r>
    </w:p>
    <w:p w14:paraId="73195B96" w14:textId="00836FED"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Raise awareness of and communicate key financial messages both internally and externally</w:t>
      </w:r>
      <w:r w:rsidR="00425320">
        <w:rPr>
          <w:rFonts w:ascii="Arial" w:hAnsi="Arial"/>
        </w:rPr>
        <w:t>.</w:t>
      </w:r>
    </w:p>
    <w:p w14:paraId="34F3DDCB" w14:textId="62DF5321"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Ensure budgets set are affordable and do not jeopardise financial stability either in the short or long term</w:t>
      </w:r>
      <w:r w:rsidR="00425320">
        <w:rPr>
          <w:rFonts w:ascii="Arial" w:hAnsi="Arial"/>
        </w:rPr>
        <w:t>.</w:t>
      </w:r>
    </w:p>
    <w:p w14:paraId="0A9091D0" w14:textId="04EE4EF9"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Demonstrate that all spending plans achieve value for money</w:t>
      </w:r>
      <w:r w:rsidR="00425320">
        <w:rPr>
          <w:rFonts w:ascii="Arial" w:hAnsi="Arial"/>
        </w:rPr>
        <w:t>.</w:t>
      </w:r>
    </w:p>
    <w:p w14:paraId="67367C9A" w14:textId="6B0E8584"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Agree spending only when the necessary funding is identified and approved</w:t>
      </w:r>
      <w:r w:rsidR="00425320">
        <w:rPr>
          <w:rFonts w:ascii="Arial" w:hAnsi="Arial"/>
        </w:rPr>
        <w:t>.</w:t>
      </w:r>
    </w:p>
    <w:p w14:paraId="15D8AD40" w14:textId="4DF341B1"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Seek external funding wherever it can be used in a sustainable manner that does not lead to unforeseen costs</w:t>
      </w:r>
      <w:r w:rsidR="00425320">
        <w:rPr>
          <w:rFonts w:ascii="Arial" w:hAnsi="Arial"/>
        </w:rPr>
        <w:t>.</w:t>
      </w:r>
    </w:p>
    <w:p w14:paraId="347B3E07" w14:textId="0C6B20A2" w:rsidR="000D1445" w:rsidRPr="000D1445" w:rsidRDefault="000D1445" w:rsidP="000D1445">
      <w:pPr>
        <w:pStyle w:val="ListParagraph"/>
        <w:numPr>
          <w:ilvl w:val="0"/>
          <w:numId w:val="1"/>
        </w:numPr>
        <w:spacing w:after="120"/>
        <w:ind w:left="1134" w:hanging="357"/>
        <w:contextualSpacing w:val="0"/>
        <w:rPr>
          <w:rFonts w:ascii="Arial" w:hAnsi="Arial"/>
        </w:rPr>
      </w:pPr>
      <w:r w:rsidRPr="000D1445">
        <w:rPr>
          <w:rFonts w:ascii="Arial" w:hAnsi="Arial"/>
        </w:rPr>
        <w:t>Publicise significant budget proposals and where appropriate consult</w:t>
      </w:r>
      <w:r w:rsidR="00425320">
        <w:rPr>
          <w:rFonts w:ascii="Arial" w:hAnsi="Arial"/>
        </w:rPr>
        <w:t xml:space="preserve"> with key stakeholders.</w:t>
      </w:r>
    </w:p>
    <w:p w14:paraId="3655A626" w14:textId="0C771B22" w:rsidR="000D1445" w:rsidRPr="000D1445" w:rsidRDefault="000D1445" w:rsidP="000D1445">
      <w:pPr>
        <w:spacing w:before="240" w:after="120"/>
        <w:jc w:val="both"/>
        <w:rPr>
          <w:rFonts w:ascii="Arial" w:hAnsi="Arial"/>
          <w:b/>
        </w:rPr>
      </w:pPr>
      <w:r w:rsidRPr="000D1445">
        <w:rPr>
          <w:rFonts w:ascii="Arial" w:hAnsi="Arial"/>
          <w:b/>
        </w:rPr>
        <w:t>Financial Scenario</w:t>
      </w:r>
    </w:p>
    <w:p w14:paraId="259B081D" w14:textId="2AF3E12F" w:rsidR="000D1445" w:rsidRDefault="000D1445" w:rsidP="000D1445">
      <w:pPr>
        <w:pStyle w:val="Default"/>
        <w:numPr>
          <w:ilvl w:val="0"/>
          <w:numId w:val="2"/>
        </w:numPr>
        <w:spacing w:before="120" w:after="240"/>
        <w:ind w:left="635" w:hanging="635"/>
      </w:pPr>
      <w:r>
        <w:t>It is imperative that the MTF</w:t>
      </w:r>
      <w:r w:rsidR="00425320">
        <w:t>S</w:t>
      </w:r>
      <w:r>
        <w:t xml:space="preserve"> takes account of the local, regional, national and global economies. This provides a basis for the estimates and assumptions used. </w:t>
      </w:r>
    </w:p>
    <w:p w14:paraId="0EEDFC01" w14:textId="5A353E38" w:rsidR="00006AF3" w:rsidRDefault="000D1445" w:rsidP="00006AF3">
      <w:pPr>
        <w:pStyle w:val="Default"/>
        <w:numPr>
          <w:ilvl w:val="0"/>
          <w:numId w:val="2"/>
        </w:numPr>
        <w:spacing w:before="120" w:after="240"/>
        <w:ind w:left="635" w:hanging="635"/>
      </w:pPr>
      <w:r>
        <w:t xml:space="preserve">The Authority receives its main funding from three sources – Government </w:t>
      </w:r>
      <w:r w:rsidR="00425320">
        <w:t>grants</w:t>
      </w:r>
      <w:r>
        <w:t xml:space="preserve">, business rates and local council tax (known as a precept). </w:t>
      </w:r>
      <w:r w:rsidR="005223E7">
        <w:t xml:space="preserve">Council Tax and Business Rates represents </w:t>
      </w:r>
      <w:r w:rsidR="00E03FD8">
        <w:t xml:space="preserve">over </w:t>
      </w:r>
      <w:r w:rsidR="005223E7">
        <w:t>8</w:t>
      </w:r>
      <w:r w:rsidR="00E03FD8">
        <w:t>0</w:t>
      </w:r>
      <w:r w:rsidR="005223E7">
        <w:t>% of our funding</w:t>
      </w:r>
      <w:r w:rsidR="00006AF3">
        <w:t>.</w:t>
      </w:r>
      <w:r w:rsidR="005223E7">
        <w:t xml:space="preserve"> </w:t>
      </w:r>
    </w:p>
    <w:p w14:paraId="732B5FA7" w14:textId="77777777" w:rsidR="00250D83" w:rsidRDefault="00250D83" w:rsidP="00250D83">
      <w:pPr>
        <w:pStyle w:val="Default"/>
        <w:numPr>
          <w:ilvl w:val="0"/>
          <w:numId w:val="2"/>
        </w:numPr>
        <w:spacing w:before="120" w:after="240"/>
        <w:ind w:left="635" w:hanging="635"/>
      </w:pPr>
      <w:bookmarkStart w:id="0" w:name="_Hlk157417280"/>
      <w:r>
        <w:t xml:space="preserve">Prior to the Autumn Budget and finance settlement the </w:t>
      </w:r>
      <w:r w:rsidRPr="00FE5BF6">
        <w:t>National Fire Chiefs Council (</w:t>
      </w:r>
      <w:r>
        <w:t xml:space="preserve">NFCC) and Lancashire Fire and Rescue Service (LFRS) asked Government </w:t>
      </w:r>
      <w:r w:rsidRPr="00FE5BF6">
        <w:t xml:space="preserve">to consider increased </w:t>
      </w:r>
      <w:r>
        <w:t xml:space="preserve">council tax </w:t>
      </w:r>
      <w:r w:rsidRPr="00FE5BF6">
        <w:t>precept flexibility, protect grant funding in real terms, and providing suitable capital grant funding</w:t>
      </w:r>
      <w:r>
        <w:t>.</w:t>
      </w:r>
    </w:p>
    <w:p w14:paraId="62016FF2" w14:textId="77777777" w:rsidR="00250D83" w:rsidRDefault="00250D83" w:rsidP="00250D83">
      <w:pPr>
        <w:pStyle w:val="Default"/>
        <w:numPr>
          <w:ilvl w:val="0"/>
          <w:numId w:val="2"/>
        </w:numPr>
        <w:spacing w:before="120" w:after="240"/>
        <w:ind w:left="635" w:hanging="635"/>
      </w:pPr>
      <w:r>
        <w:t>The Autumn 2024 Budget announced the Government’s intention to pursue a comprehensive set of reforms to place local government in a more sustainable position, and the Autumn Budget promised a deprivation-based approach in 2025/26, followed by broader reform through a multi-year settlement from 2026/27. O</w:t>
      </w:r>
      <w:r w:rsidRPr="00321046">
        <w:t xml:space="preserve">n </w:t>
      </w:r>
      <w:r>
        <w:t>18</w:t>
      </w:r>
      <w:r w:rsidRPr="00321046">
        <w:t xml:space="preserve"> </w:t>
      </w:r>
      <w:r>
        <w:t>December 2024</w:t>
      </w:r>
      <w:r w:rsidRPr="00321046">
        <w:t xml:space="preserve">, the </w:t>
      </w:r>
      <w:r w:rsidRPr="008D280C">
        <w:t xml:space="preserve">Minister of State (Minister for Local Government and English Devolution) </w:t>
      </w:r>
      <w:r w:rsidRPr="00321046">
        <w:t xml:space="preserve">released the </w:t>
      </w:r>
      <w:r>
        <w:t>provisional</w:t>
      </w:r>
      <w:r w:rsidRPr="00321046">
        <w:t xml:space="preserve"> local government finance settlement </w:t>
      </w:r>
      <w:r>
        <w:t xml:space="preserve">for </w:t>
      </w:r>
      <w:r w:rsidRPr="00321046">
        <w:t>202</w:t>
      </w:r>
      <w:r>
        <w:t>5</w:t>
      </w:r>
      <w:r w:rsidRPr="00321046">
        <w:t>/2</w:t>
      </w:r>
      <w:r>
        <w:t xml:space="preserve">6. </w:t>
      </w:r>
      <w:bookmarkStart w:id="1" w:name="_Hlk157417363"/>
      <w:bookmarkEnd w:id="0"/>
      <w:r>
        <w:t>The main headlines for the 2025/26 budget are:</w:t>
      </w:r>
    </w:p>
    <w:p w14:paraId="6C307A0B" w14:textId="77777777" w:rsidR="00250D83" w:rsidRDefault="00250D83" w:rsidP="00250D83">
      <w:pPr>
        <w:pStyle w:val="ListParagraph"/>
        <w:numPr>
          <w:ilvl w:val="0"/>
          <w:numId w:val="1"/>
        </w:numPr>
        <w:spacing w:after="120"/>
        <w:ind w:left="1134" w:hanging="357"/>
        <w:contextualSpacing w:val="0"/>
        <w:rPr>
          <w:rFonts w:ascii="Arial" w:hAnsi="Arial"/>
        </w:rPr>
      </w:pPr>
      <w:r w:rsidRPr="0020794B">
        <w:rPr>
          <w:rFonts w:ascii="Arial" w:hAnsi="Arial"/>
        </w:rPr>
        <w:lastRenderedPageBreak/>
        <w:t xml:space="preserve">Fire and Rescue Authorities will be able to raise council tax </w:t>
      </w:r>
      <w:r>
        <w:rPr>
          <w:rFonts w:ascii="Arial" w:hAnsi="Arial"/>
        </w:rPr>
        <w:t xml:space="preserve">(for a band D property) </w:t>
      </w:r>
      <w:r w:rsidRPr="0020794B">
        <w:rPr>
          <w:rFonts w:ascii="Arial" w:hAnsi="Arial"/>
        </w:rPr>
        <w:t>by up to £5</w:t>
      </w:r>
      <w:r>
        <w:rPr>
          <w:rFonts w:ascii="Arial" w:hAnsi="Arial"/>
        </w:rPr>
        <w:t xml:space="preserve"> (</w:t>
      </w:r>
      <w:r w:rsidRPr="0020794B">
        <w:rPr>
          <w:rFonts w:ascii="Arial" w:hAnsi="Arial"/>
        </w:rPr>
        <w:t xml:space="preserve">for </w:t>
      </w:r>
      <w:r>
        <w:rPr>
          <w:rFonts w:ascii="Arial" w:hAnsi="Arial"/>
        </w:rPr>
        <w:t xml:space="preserve">information </w:t>
      </w:r>
      <w:r w:rsidRPr="0020794B">
        <w:rPr>
          <w:rFonts w:ascii="Arial" w:hAnsi="Arial"/>
        </w:rPr>
        <w:t>the threshold</w:t>
      </w:r>
      <w:r>
        <w:rPr>
          <w:rFonts w:ascii="Arial" w:hAnsi="Arial"/>
        </w:rPr>
        <w:t xml:space="preserve"> for Police</w:t>
      </w:r>
      <w:r w:rsidRPr="0020794B">
        <w:rPr>
          <w:rFonts w:ascii="Arial" w:hAnsi="Arial"/>
        </w:rPr>
        <w:t xml:space="preserve"> will rise to £14</w:t>
      </w:r>
      <w:r>
        <w:rPr>
          <w:rFonts w:ascii="Arial" w:hAnsi="Arial"/>
        </w:rPr>
        <w:t>).</w:t>
      </w:r>
    </w:p>
    <w:p w14:paraId="1AC6DDC0" w14:textId="77777777" w:rsidR="00250D83" w:rsidRDefault="00250D83" w:rsidP="00250D83">
      <w:pPr>
        <w:pStyle w:val="ListParagraph"/>
        <w:numPr>
          <w:ilvl w:val="0"/>
          <w:numId w:val="1"/>
        </w:numPr>
        <w:spacing w:after="120"/>
        <w:ind w:left="1134" w:hanging="357"/>
        <w:contextualSpacing w:val="0"/>
        <w:rPr>
          <w:rFonts w:ascii="Arial" w:hAnsi="Arial"/>
        </w:rPr>
      </w:pPr>
      <w:r>
        <w:rPr>
          <w:rFonts w:ascii="Arial" w:hAnsi="Arial"/>
        </w:rPr>
        <w:t xml:space="preserve">The Funding Guarantee Grant received in 2023/24 will not continue (for LFRS this was £0.9m in 2023/24). For information this grant </w:t>
      </w:r>
      <w:r w:rsidRPr="00213DF3">
        <w:rPr>
          <w:rFonts w:ascii="Arial" w:hAnsi="Arial"/>
        </w:rPr>
        <w:t>was designed to ensure that no local authority would see a reduction in their Core Spending Power compared to the previous yea</w:t>
      </w:r>
      <w:r>
        <w:rPr>
          <w:rFonts w:ascii="Arial" w:hAnsi="Arial"/>
        </w:rPr>
        <w:t>r.</w:t>
      </w:r>
    </w:p>
    <w:p w14:paraId="5A35DC00" w14:textId="77777777" w:rsidR="00250D83" w:rsidRDefault="00250D83" w:rsidP="00250D83">
      <w:pPr>
        <w:pStyle w:val="ListParagraph"/>
        <w:numPr>
          <w:ilvl w:val="0"/>
          <w:numId w:val="1"/>
        </w:numPr>
        <w:spacing w:after="120"/>
        <w:ind w:left="1134" w:hanging="357"/>
        <w:contextualSpacing w:val="0"/>
        <w:rPr>
          <w:rFonts w:ascii="Arial" w:hAnsi="Arial"/>
        </w:rPr>
      </w:pPr>
      <w:r w:rsidRPr="0077013E">
        <w:rPr>
          <w:rFonts w:ascii="Arial" w:hAnsi="Arial"/>
        </w:rPr>
        <w:t>Standalone FRAs are not eligible for the one-off Recovery Grant</w:t>
      </w:r>
      <w:r>
        <w:rPr>
          <w:rFonts w:ascii="Arial" w:hAnsi="Arial"/>
        </w:rPr>
        <w:t>; this grant is</w:t>
      </w:r>
      <w:r w:rsidRPr="0077013E">
        <w:t xml:space="preserve"> </w:t>
      </w:r>
      <w:r w:rsidRPr="0077013E">
        <w:rPr>
          <w:rFonts w:ascii="Arial" w:hAnsi="Arial"/>
        </w:rPr>
        <w:t>designed to support local authorities in managing financial pressures and ensuring the continuity of essential services.</w:t>
      </w:r>
      <w:r>
        <w:rPr>
          <w:rFonts w:ascii="Arial" w:hAnsi="Arial"/>
        </w:rPr>
        <w:t xml:space="preserve"> </w:t>
      </w:r>
    </w:p>
    <w:p w14:paraId="5F45D041" w14:textId="77777777" w:rsidR="00250D83" w:rsidRDefault="00250D83" w:rsidP="00250D83">
      <w:pPr>
        <w:pStyle w:val="ListParagraph"/>
        <w:numPr>
          <w:ilvl w:val="0"/>
          <w:numId w:val="1"/>
        </w:numPr>
        <w:spacing w:after="120"/>
        <w:ind w:left="1134" w:hanging="357"/>
        <w:contextualSpacing w:val="0"/>
        <w:rPr>
          <w:rFonts w:ascii="Arial" w:hAnsi="Arial"/>
        </w:rPr>
      </w:pPr>
      <w:r w:rsidRPr="00321046">
        <w:rPr>
          <w:rFonts w:ascii="Arial" w:hAnsi="Arial"/>
        </w:rPr>
        <w:t xml:space="preserve">The September CPI figure of </w:t>
      </w:r>
      <w:r>
        <w:rPr>
          <w:rFonts w:ascii="Arial" w:hAnsi="Arial"/>
        </w:rPr>
        <w:t>1</w:t>
      </w:r>
      <w:r w:rsidRPr="00321046">
        <w:rPr>
          <w:rFonts w:ascii="Arial" w:hAnsi="Arial"/>
        </w:rPr>
        <w:t xml:space="preserve">.7% has been applied to increase business rates </w:t>
      </w:r>
      <w:r>
        <w:rPr>
          <w:rFonts w:ascii="Arial" w:hAnsi="Arial"/>
        </w:rPr>
        <w:t xml:space="preserve">grants </w:t>
      </w:r>
      <w:r w:rsidRPr="00321046">
        <w:rPr>
          <w:rFonts w:ascii="Arial" w:hAnsi="Arial"/>
        </w:rPr>
        <w:t xml:space="preserve">Revenue Support </w:t>
      </w:r>
      <w:r>
        <w:rPr>
          <w:rFonts w:ascii="Arial" w:hAnsi="Arial"/>
        </w:rPr>
        <w:t>grant funding; last year this was an increase of 6.7%. The increase is below the current CPI rate which is 2.5% at the time of writing.</w:t>
      </w:r>
    </w:p>
    <w:p w14:paraId="145328CE" w14:textId="77777777" w:rsidR="00250D83" w:rsidRDefault="00250D83" w:rsidP="00250D83">
      <w:pPr>
        <w:pStyle w:val="ListParagraph"/>
        <w:numPr>
          <w:ilvl w:val="0"/>
          <w:numId w:val="1"/>
        </w:numPr>
        <w:spacing w:after="120"/>
        <w:ind w:left="1134" w:hanging="357"/>
        <w:contextualSpacing w:val="0"/>
        <w:rPr>
          <w:rFonts w:ascii="Arial" w:hAnsi="Arial"/>
        </w:rPr>
      </w:pPr>
      <w:r w:rsidRPr="00805396">
        <w:rPr>
          <w:rFonts w:ascii="Arial" w:hAnsi="Arial"/>
        </w:rPr>
        <w:t>The Autumn Budget included an increase to employer’s National Insurance contributions</w:t>
      </w:r>
      <w:r>
        <w:rPr>
          <w:rFonts w:ascii="Arial" w:hAnsi="Arial"/>
        </w:rPr>
        <w:t xml:space="preserve"> with a commitment that additional funding will be provided for the public sector to help manage the increased costs. The provisional finance settlement provided guidance on this additional funding and for LFRS there is a funding shortfall that results in an unfunded pressure of £0.7m.</w:t>
      </w:r>
    </w:p>
    <w:p w14:paraId="55511C7C" w14:textId="77777777" w:rsidR="00250D83" w:rsidRDefault="00250D83" w:rsidP="00250D83">
      <w:pPr>
        <w:pStyle w:val="ListParagraph"/>
        <w:numPr>
          <w:ilvl w:val="0"/>
          <w:numId w:val="1"/>
        </w:numPr>
        <w:spacing w:after="120"/>
        <w:ind w:left="1134" w:hanging="357"/>
        <w:contextualSpacing w:val="0"/>
        <w:rPr>
          <w:rFonts w:ascii="Arial" w:hAnsi="Arial"/>
        </w:rPr>
      </w:pPr>
      <w:r>
        <w:rPr>
          <w:rFonts w:ascii="Arial" w:hAnsi="Arial"/>
        </w:rPr>
        <w:t>No capital grant funding was provided for in the provisional settlement.</w:t>
      </w:r>
    </w:p>
    <w:bookmarkEnd w:id="1"/>
    <w:p w14:paraId="23BE9CFC" w14:textId="77777777" w:rsidR="00250D83" w:rsidRDefault="00250D83" w:rsidP="00250D83">
      <w:pPr>
        <w:pStyle w:val="Default"/>
        <w:numPr>
          <w:ilvl w:val="0"/>
          <w:numId w:val="2"/>
        </w:numPr>
        <w:spacing w:before="120" w:after="240"/>
        <w:ind w:left="635" w:hanging="635"/>
      </w:pPr>
      <w:r>
        <w:t xml:space="preserve">Government </w:t>
      </w:r>
      <w:proofErr w:type="gramStart"/>
      <w:r>
        <w:t>measure</w:t>
      </w:r>
      <w:proofErr w:type="gramEnd"/>
      <w:r>
        <w:t xml:space="preserve"> t</w:t>
      </w:r>
      <w:r w:rsidRPr="00C71A38">
        <w:t>he resources available to local authorities to fund service delivery</w:t>
      </w:r>
      <w:r>
        <w:t xml:space="preserve"> through a mechanism called Core Spending Power (CSP), it doesn’t exactly mirror spending but is a useful measure when considering spend across the sector. Following the settlement, and assuming all fire authorities increase council tax by £5, Government have confirmed that CSP for the fire sector has increased by 2.8%, which is broadly in line with current CPI inflation, for LFRS the increase is 3.2%. After </w:t>
      </w:r>
      <w:proofErr w:type="gramStart"/>
      <w:r>
        <w:t>taking into account</w:t>
      </w:r>
      <w:proofErr w:type="gramEnd"/>
      <w:r>
        <w:t xml:space="preserve"> of the shortfall in national insurance funding this results in an increase of just 2.2%, which is below inflation and creates additional financial strain for the Authority. </w:t>
      </w:r>
    </w:p>
    <w:p w14:paraId="62994484" w14:textId="77777777" w:rsidR="00250D83" w:rsidRDefault="00250D83" w:rsidP="00250D83">
      <w:pPr>
        <w:pStyle w:val="Default"/>
        <w:numPr>
          <w:ilvl w:val="0"/>
          <w:numId w:val="2"/>
        </w:numPr>
        <w:spacing w:before="120" w:after="240"/>
        <w:ind w:left="635" w:hanging="635"/>
      </w:pPr>
      <w:r>
        <w:t xml:space="preserve">Against the NFCC and LFRS budget asks of government; for </w:t>
      </w:r>
      <w:r w:rsidRPr="0082299C">
        <w:t xml:space="preserve">increased council tax precept flexibility, </w:t>
      </w:r>
      <w:r>
        <w:t xml:space="preserve">to </w:t>
      </w:r>
      <w:r w:rsidRPr="0082299C">
        <w:t>protect grant funding in real terms, and providing suitable capital grant funding</w:t>
      </w:r>
      <w:r>
        <w:t>, only the precept flexibility has been delivered (assuming the £5 precept is agreed by the CFA), and ultimately this settlement represents a real term reduction in funding for LFRS.</w:t>
      </w:r>
    </w:p>
    <w:p w14:paraId="75D6554E" w14:textId="77777777" w:rsidR="00E03FD8" w:rsidRPr="00AA11EF" w:rsidRDefault="00E03FD8" w:rsidP="00E03FD8">
      <w:pPr>
        <w:spacing w:before="240" w:after="120"/>
        <w:jc w:val="both"/>
        <w:rPr>
          <w:rFonts w:ascii="Arial" w:hAnsi="Arial"/>
          <w:b/>
        </w:rPr>
      </w:pPr>
      <w:r w:rsidRPr="00AA11EF">
        <w:rPr>
          <w:rFonts w:ascii="Arial" w:hAnsi="Arial"/>
          <w:b/>
        </w:rPr>
        <w:t>Funding Reform</w:t>
      </w:r>
    </w:p>
    <w:p w14:paraId="4BFE22C8" w14:textId="77777777" w:rsidR="00250D83" w:rsidRDefault="00250D83" w:rsidP="00250D83">
      <w:pPr>
        <w:pStyle w:val="Default"/>
        <w:numPr>
          <w:ilvl w:val="0"/>
          <w:numId w:val="2"/>
        </w:numPr>
        <w:spacing w:before="120" w:after="240"/>
        <w:ind w:left="635" w:hanging="635"/>
      </w:pPr>
      <w:r>
        <w:t>For almost a decade local government funding reform has been on the horizon and presented both a risk and an opportunity for authorities. The recent national election has brought about some renewed momentum in this area:</w:t>
      </w:r>
    </w:p>
    <w:p w14:paraId="6F8937A8" w14:textId="77777777" w:rsidR="00250D83" w:rsidRPr="00F03526" w:rsidRDefault="00250D83" w:rsidP="00250D83">
      <w:pPr>
        <w:pStyle w:val="ListParagraph"/>
        <w:numPr>
          <w:ilvl w:val="0"/>
          <w:numId w:val="1"/>
        </w:numPr>
        <w:spacing w:after="120"/>
        <w:ind w:left="1134" w:hanging="357"/>
        <w:contextualSpacing w:val="0"/>
        <w:rPr>
          <w:rFonts w:ascii="Arial" w:hAnsi="Arial"/>
        </w:rPr>
      </w:pPr>
      <w:r w:rsidRPr="00F03526">
        <w:rPr>
          <w:rFonts w:ascii="Arial" w:hAnsi="Arial"/>
        </w:rPr>
        <w:t xml:space="preserve">Alongside the Provisional Settlement Government published a consultation on funding reform. The funding formula has not been updated since 2013/14 and there is consensus amongst independent voices and across the political spectrum that it no longer reflects need and reform is necessary. The aim of this reform is to allocate funding efficiently to reflect </w:t>
      </w:r>
      <w:r w:rsidRPr="00F03526">
        <w:rPr>
          <w:rFonts w:ascii="Arial" w:hAnsi="Arial"/>
        </w:rPr>
        <w:lastRenderedPageBreak/>
        <w:t xml:space="preserve">an updated assessment of local need and revenues and build on the previous government’s proposed ‘Fair Funding’ reforms. It is expected that 2026/27 will be the first multi-year funding settlement for local government. Initial projections indicate that funding for individual fire authorities may increase or decrease by as much as 15%, although there will likely be a phasing in of these changes. </w:t>
      </w:r>
    </w:p>
    <w:p w14:paraId="7E292289" w14:textId="77777777" w:rsidR="00250D83" w:rsidRDefault="00250D83" w:rsidP="00250D83">
      <w:pPr>
        <w:pStyle w:val="ListParagraph"/>
        <w:numPr>
          <w:ilvl w:val="0"/>
          <w:numId w:val="1"/>
        </w:numPr>
        <w:spacing w:after="120"/>
        <w:ind w:left="1134" w:hanging="357"/>
        <w:contextualSpacing w:val="0"/>
        <w:rPr>
          <w:rFonts w:ascii="Arial" w:hAnsi="Arial"/>
        </w:rPr>
      </w:pPr>
      <w:r w:rsidRPr="00F03526">
        <w:rPr>
          <w:rFonts w:ascii="Arial" w:hAnsi="Arial"/>
        </w:rPr>
        <w:t>Whilst developing and implementing funding reforms Government also intends to implement the proposals in the English Devolution White Paper published on the 16 December 2024.</w:t>
      </w:r>
    </w:p>
    <w:p w14:paraId="0B1EE160" w14:textId="77777777" w:rsidR="00250D83" w:rsidRPr="00F03526" w:rsidRDefault="00250D83" w:rsidP="00250D83">
      <w:pPr>
        <w:pStyle w:val="ListParagraph"/>
        <w:numPr>
          <w:ilvl w:val="0"/>
          <w:numId w:val="1"/>
        </w:numPr>
        <w:spacing w:after="120"/>
        <w:ind w:left="1134" w:hanging="357"/>
        <w:contextualSpacing w:val="0"/>
        <w:rPr>
          <w:rFonts w:ascii="Arial" w:hAnsi="Arial"/>
        </w:rPr>
      </w:pPr>
      <w:r>
        <w:rPr>
          <w:rFonts w:ascii="Arial" w:hAnsi="Arial"/>
        </w:rPr>
        <w:t>Also, t</w:t>
      </w:r>
      <w:r w:rsidRPr="00312262">
        <w:rPr>
          <w:rFonts w:ascii="Arial" w:hAnsi="Arial"/>
        </w:rPr>
        <w:t xml:space="preserve">he business rates reset for local authorities is scheduled to take place in </w:t>
      </w:r>
      <w:r>
        <w:rPr>
          <w:rFonts w:ascii="Arial" w:hAnsi="Arial"/>
        </w:rPr>
        <w:t xml:space="preserve">the </w:t>
      </w:r>
      <w:r w:rsidRPr="00312262">
        <w:rPr>
          <w:rFonts w:ascii="Arial" w:hAnsi="Arial"/>
        </w:rPr>
        <w:t xml:space="preserve">2026/27 financial year. </w:t>
      </w:r>
      <w:r>
        <w:rPr>
          <w:rFonts w:ascii="Arial" w:hAnsi="Arial"/>
        </w:rPr>
        <w:t>For those authorities that have experienced a real term growth in business rates, as part of the business rates retention system, there is a risk that the</w:t>
      </w:r>
      <w:r w:rsidRPr="00312262">
        <w:rPr>
          <w:rFonts w:ascii="Arial" w:hAnsi="Arial"/>
        </w:rPr>
        <w:t xml:space="preserve"> reset </w:t>
      </w:r>
      <w:r>
        <w:rPr>
          <w:rFonts w:ascii="Arial" w:hAnsi="Arial"/>
        </w:rPr>
        <w:t xml:space="preserve">may result in the redistribution of the growth to those local authorities have experienced as a reduction. LFRS benefits from the growth experienced across Lancashire and therefore there is a risk that business rates funding may reduce by approximately £1m per year; again, we would expect </w:t>
      </w:r>
      <w:r w:rsidRPr="00F03526">
        <w:rPr>
          <w:rFonts w:ascii="Arial" w:hAnsi="Arial"/>
        </w:rPr>
        <w:t>a phasing in of these changes</w:t>
      </w:r>
      <w:r>
        <w:rPr>
          <w:rFonts w:ascii="Arial" w:hAnsi="Arial"/>
        </w:rPr>
        <w:t>.</w:t>
      </w:r>
    </w:p>
    <w:p w14:paraId="3AB8E03D" w14:textId="77777777" w:rsidR="00250D83" w:rsidRDefault="00250D83" w:rsidP="00250D83">
      <w:pPr>
        <w:pStyle w:val="Default"/>
        <w:numPr>
          <w:ilvl w:val="0"/>
          <w:numId w:val="2"/>
        </w:numPr>
        <w:spacing w:before="120" w:after="240"/>
        <w:ind w:left="635" w:hanging="635"/>
      </w:pPr>
      <w:r>
        <w:t>Certainty of funding is essential for long term planning and whilst a o</w:t>
      </w:r>
      <w:r w:rsidRPr="00B132CC">
        <w:t>ne-year settlement</w:t>
      </w:r>
      <w:r>
        <w:t xml:space="preserve"> was expected, progress with funding reform is beneficial for the sector. </w:t>
      </w:r>
    </w:p>
    <w:p w14:paraId="617F5F1F" w14:textId="1E7D915C" w:rsidR="00250D83" w:rsidRDefault="00250D83" w:rsidP="00250D83">
      <w:pPr>
        <w:pStyle w:val="Default"/>
        <w:numPr>
          <w:ilvl w:val="0"/>
          <w:numId w:val="2"/>
        </w:numPr>
        <w:spacing w:before="120" w:after="240"/>
        <w:ind w:left="635" w:hanging="635"/>
      </w:pPr>
      <w:r>
        <w:t xml:space="preserve">Council Tax income is based on the precept approved by the Authority and the estimated taxbase; this is the number of band D equivalent properties in the area. Factors influencing the taxbase include changes to property numbers, collection rates in each local authority, local authority discounts and changes in benefit claimants. The estimated taxbase for 2025/26 increased by 1.43% compared with 1.38% in 2024/25. </w:t>
      </w:r>
    </w:p>
    <w:p w14:paraId="35C97339" w14:textId="4FF8F00A" w:rsidR="000D1445" w:rsidRDefault="000D1445" w:rsidP="00E03FD8">
      <w:pPr>
        <w:pStyle w:val="Default"/>
        <w:numPr>
          <w:ilvl w:val="0"/>
          <w:numId w:val="2"/>
        </w:numPr>
        <w:spacing w:before="120" w:after="240"/>
        <w:ind w:left="635" w:hanging="635"/>
      </w:pPr>
      <w:r>
        <w:t xml:space="preserve">A precept is levied on the council tax to partly fund </w:t>
      </w:r>
      <w:r w:rsidR="005223E7">
        <w:t>the</w:t>
      </w:r>
      <w:r>
        <w:t xml:space="preserve"> </w:t>
      </w:r>
      <w:proofErr w:type="gramStart"/>
      <w:r w:rsidR="005223E7">
        <w:t>a</w:t>
      </w:r>
      <w:r>
        <w:t>uthority</w:t>
      </w:r>
      <w:proofErr w:type="gramEnd"/>
      <w:r>
        <w:t xml:space="preserve"> and it is the responsibility of the Authority to set the level of precept as part of the annual budget setting process. To calculate the level of council tax funding, each local authority calculates the taxbase (the assimilated number of council tax bills issued) </w:t>
      </w:r>
      <w:proofErr w:type="gramStart"/>
      <w:r>
        <w:t>taking into account</w:t>
      </w:r>
      <w:proofErr w:type="gramEnd"/>
      <w:r>
        <w:t xml:space="preserve"> changes in the number of houses, council tax benefits etc. These vary each year and the MTF</w:t>
      </w:r>
      <w:r w:rsidR="005223E7">
        <w:t>S</w:t>
      </w:r>
      <w:r>
        <w:t xml:space="preserve"> includes assumptions for these changes based on discussions with and forecasts supplied by the local </w:t>
      </w:r>
      <w:r w:rsidR="005223E7">
        <w:t xml:space="preserve">collection </w:t>
      </w:r>
      <w:r>
        <w:t xml:space="preserve">authorities. </w:t>
      </w:r>
    </w:p>
    <w:p w14:paraId="73FB3EE2" w14:textId="625DCF0F" w:rsidR="000D1445" w:rsidRDefault="000D1445" w:rsidP="000D1445">
      <w:pPr>
        <w:pStyle w:val="Default"/>
        <w:numPr>
          <w:ilvl w:val="0"/>
          <w:numId w:val="2"/>
        </w:numPr>
        <w:spacing w:before="120" w:after="240"/>
        <w:ind w:left="635" w:hanging="635"/>
      </w:pPr>
      <w:r>
        <w:t>It is now standard for the Government to set a limit on the amount by which a local authority can increase its council tax each year, with any increase above this limit requiring a referendum. The Provisional Local Government Finance Settlement confirmed that for 202</w:t>
      </w:r>
      <w:r w:rsidR="00E03FD8">
        <w:t>5</w:t>
      </w:r>
      <w:r w:rsidR="005223E7">
        <w:t>/2</w:t>
      </w:r>
      <w:r w:rsidR="00E03FD8">
        <w:t>6</w:t>
      </w:r>
      <w:r>
        <w:t xml:space="preserve"> this is </w:t>
      </w:r>
      <w:r w:rsidR="00E03FD8">
        <w:t>£5</w:t>
      </w:r>
      <w:r>
        <w:t xml:space="preserve"> </w:t>
      </w:r>
      <w:r w:rsidR="00E03FD8">
        <w:t>for a</w:t>
      </w:r>
      <w:r>
        <w:t xml:space="preserve"> Band D </w:t>
      </w:r>
      <w:r w:rsidR="00E03FD8">
        <w:t>property</w:t>
      </w:r>
      <w:r>
        <w:t xml:space="preserve">. </w:t>
      </w:r>
    </w:p>
    <w:p w14:paraId="28CE240D" w14:textId="257897FE" w:rsidR="000D1445" w:rsidRDefault="000D1445" w:rsidP="000D1445">
      <w:pPr>
        <w:pStyle w:val="Default"/>
        <w:numPr>
          <w:ilvl w:val="0"/>
          <w:numId w:val="2"/>
        </w:numPr>
        <w:spacing w:before="120" w:after="240"/>
        <w:ind w:left="635" w:hanging="635"/>
      </w:pPr>
      <w:r>
        <w:t xml:space="preserve">Each year the council tax income is calculated based on assumed levels of collection rates by the local authorities. This means that at the end of each year, an adjustment </w:t>
      </w:r>
      <w:proofErr w:type="gramStart"/>
      <w:r>
        <w:t>has to</w:t>
      </w:r>
      <w:proofErr w:type="gramEnd"/>
      <w:r>
        <w:t xml:space="preserve"> be made to reflect the actual collection rate. If more has been collected, the fund will be in surplus; if less has been collected, the fund will be in deficit. The Authority will either receive its share of any surplus </w:t>
      </w:r>
      <w:r>
        <w:lastRenderedPageBreak/>
        <w:t xml:space="preserve">or be required to pay its share of any deficit and this is </w:t>
      </w:r>
      <w:proofErr w:type="gramStart"/>
      <w:r>
        <w:t>taken into account</w:t>
      </w:r>
      <w:proofErr w:type="gramEnd"/>
      <w:r>
        <w:t xml:space="preserve"> as part of the overall budget setting process.</w:t>
      </w:r>
    </w:p>
    <w:p w14:paraId="3ED3A633" w14:textId="741BDB4B" w:rsidR="000D1445" w:rsidRDefault="000D1445" w:rsidP="000D1445">
      <w:pPr>
        <w:pStyle w:val="Default"/>
        <w:numPr>
          <w:ilvl w:val="0"/>
          <w:numId w:val="2"/>
        </w:numPr>
        <w:spacing w:before="120" w:after="240"/>
        <w:ind w:left="635" w:hanging="635"/>
      </w:pPr>
      <w:r>
        <w:t>The same process applies to the collection of local business rates in which the Authority has a 1% stake. The details of these are published by the end of the January prior to setting the budget.</w:t>
      </w:r>
    </w:p>
    <w:p w14:paraId="58893D59" w14:textId="7A1D33B8" w:rsidR="00424F21" w:rsidRPr="00424F21" w:rsidRDefault="004614E7" w:rsidP="00424F21">
      <w:pPr>
        <w:spacing w:before="240" w:after="120"/>
        <w:jc w:val="both"/>
        <w:rPr>
          <w:rFonts w:ascii="Arial" w:hAnsi="Arial"/>
          <w:b/>
        </w:rPr>
      </w:pPr>
      <w:r>
        <w:rPr>
          <w:rFonts w:ascii="Arial" w:hAnsi="Arial"/>
          <w:b/>
        </w:rPr>
        <w:t xml:space="preserve">MTFS </w:t>
      </w:r>
      <w:r w:rsidR="00D65621">
        <w:rPr>
          <w:rFonts w:ascii="Arial" w:hAnsi="Arial"/>
          <w:b/>
        </w:rPr>
        <w:t xml:space="preserve">Key </w:t>
      </w:r>
      <w:r w:rsidR="00424F21" w:rsidRPr="00424F21">
        <w:rPr>
          <w:rFonts w:ascii="Arial" w:hAnsi="Arial"/>
          <w:b/>
        </w:rPr>
        <w:t>Financial Assumptions</w:t>
      </w:r>
    </w:p>
    <w:p w14:paraId="423226FD" w14:textId="0B014A4E" w:rsidR="004614E7" w:rsidRDefault="004614E7" w:rsidP="004614E7">
      <w:pPr>
        <w:pStyle w:val="Default"/>
        <w:numPr>
          <w:ilvl w:val="0"/>
          <w:numId w:val="2"/>
        </w:numPr>
        <w:spacing w:before="120" w:after="240"/>
        <w:ind w:left="635" w:hanging="635"/>
      </w:pPr>
      <w:r>
        <w:t xml:space="preserve">Some of the key financial assumptions and estimates </w:t>
      </w:r>
      <w:r w:rsidR="00214169">
        <w:t xml:space="preserve">in the </w:t>
      </w:r>
      <w:proofErr w:type="gramStart"/>
      <w:r w:rsidR="00214169">
        <w:t>five year</w:t>
      </w:r>
      <w:proofErr w:type="gramEnd"/>
      <w:r w:rsidR="00214169">
        <w:t xml:space="preserve"> MTFS </w:t>
      </w:r>
      <w:r>
        <w:t>are set out below:</w:t>
      </w:r>
    </w:p>
    <w:tbl>
      <w:tblPr>
        <w:tblW w:w="858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5"/>
        <w:gridCol w:w="878"/>
        <w:gridCol w:w="878"/>
        <w:gridCol w:w="878"/>
        <w:gridCol w:w="878"/>
        <w:gridCol w:w="878"/>
      </w:tblGrid>
      <w:tr w:rsidR="00E03FD8" w:rsidRPr="00176082" w14:paraId="792C1EF5" w14:textId="77777777" w:rsidTr="005B6B01">
        <w:tc>
          <w:tcPr>
            <w:tcW w:w="4195" w:type="dxa"/>
            <w:tcBorders>
              <w:top w:val="nil"/>
              <w:left w:val="nil"/>
              <w:bottom w:val="single" w:sz="4" w:space="0" w:color="auto"/>
            </w:tcBorders>
            <w:tcMar>
              <w:top w:w="0" w:type="dxa"/>
              <w:left w:w="108" w:type="dxa"/>
              <w:bottom w:w="0" w:type="dxa"/>
              <w:right w:w="108" w:type="dxa"/>
            </w:tcMar>
            <w:vAlign w:val="center"/>
          </w:tcPr>
          <w:p w14:paraId="0CA6AEF3" w14:textId="77777777" w:rsidR="00E03FD8" w:rsidRPr="00DD5050" w:rsidRDefault="00E03FD8" w:rsidP="00E03FD8">
            <w:pPr>
              <w:pStyle w:val="Default"/>
              <w:rPr>
                <w:b/>
                <w:bCs/>
              </w:rPr>
            </w:pPr>
            <w:r>
              <w:rPr>
                <w:b/>
                <w:bCs/>
              </w:rPr>
              <w:t>Key Assumptions</w:t>
            </w:r>
          </w:p>
        </w:tc>
        <w:tc>
          <w:tcPr>
            <w:tcW w:w="878" w:type="dxa"/>
            <w:tcBorders>
              <w:bottom w:val="single" w:sz="4" w:space="0" w:color="auto"/>
            </w:tcBorders>
          </w:tcPr>
          <w:p w14:paraId="5730C43B" w14:textId="77777777" w:rsidR="00E03FD8" w:rsidRDefault="00E03FD8" w:rsidP="00E03FD8">
            <w:pPr>
              <w:pStyle w:val="Default"/>
              <w:jc w:val="center"/>
              <w:rPr>
                <w:b/>
                <w:bCs/>
              </w:rPr>
            </w:pPr>
            <w:r w:rsidRPr="00176082">
              <w:rPr>
                <w:b/>
                <w:bCs/>
              </w:rPr>
              <w:t>25/26</w:t>
            </w:r>
          </w:p>
          <w:p w14:paraId="142875DC" w14:textId="77777777" w:rsidR="00E03FD8" w:rsidRPr="00176082" w:rsidRDefault="00E03FD8" w:rsidP="00E03FD8">
            <w:pPr>
              <w:pStyle w:val="Default"/>
              <w:jc w:val="center"/>
              <w:rPr>
                <w:b/>
                <w:bCs/>
              </w:rPr>
            </w:pPr>
          </w:p>
        </w:tc>
        <w:tc>
          <w:tcPr>
            <w:tcW w:w="878" w:type="dxa"/>
            <w:tcBorders>
              <w:bottom w:val="single" w:sz="4" w:space="0" w:color="auto"/>
            </w:tcBorders>
          </w:tcPr>
          <w:p w14:paraId="04E500DA" w14:textId="77777777" w:rsidR="00E03FD8" w:rsidRDefault="00E03FD8" w:rsidP="00E03FD8">
            <w:pPr>
              <w:pStyle w:val="Default"/>
              <w:jc w:val="center"/>
              <w:rPr>
                <w:b/>
                <w:bCs/>
              </w:rPr>
            </w:pPr>
            <w:r w:rsidRPr="00176082">
              <w:rPr>
                <w:b/>
                <w:bCs/>
              </w:rPr>
              <w:t>26/27</w:t>
            </w:r>
          </w:p>
          <w:p w14:paraId="40370B59" w14:textId="77777777" w:rsidR="00E03FD8" w:rsidRPr="00176082" w:rsidRDefault="00E03FD8" w:rsidP="00E03FD8">
            <w:pPr>
              <w:pStyle w:val="Default"/>
              <w:jc w:val="center"/>
              <w:rPr>
                <w:b/>
                <w:bCs/>
              </w:rPr>
            </w:pPr>
          </w:p>
        </w:tc>
        <w:tc>
          <w:tcPr>
            <w:tcW w:w="878" w:type="dxa"/>
            <w:tcBorders>
              <w:bottom w:val="single" w:sz="4" w:space="0" w:color="auto"/>
            </w:tcBorders>
          </w:tcPr>
          <w:p w14:paraId="605E6783" w14:textId="77777777" w:rsidR="00E03FD8" w:rsidRDefault="00E03FD8" w:rsidP="00E03FD8">
            <w:pPr>
              <w:pStyle w:val="Default"/>
              <w:jc w:val="center"/>
              <w:rPr>
                <w:b/>
                <w:bCs/>
              </w:rPr>
            </w:pPr>
            <w:r w:rsidRPr="00176082">
              <w:rPr>
                <w:b/>
                <w:bCs/>
              </w:rPr>
              <w:t>27/28</w:t>
            </w:r>
          </w:p>
          <w:p w14:paraId="17671B2E" w14:textId="77777777" w:rsidR="00E03FD8" w:rsidRPr="00176082" w:rsidRDefault="00E03FD8" w:rsidP="00E03FD8">
            <w:pPr>
              <w:pStyle w:val="Default"/>
              <w:jc w:val="center"/>
              <w:rPr>
                <w:b/>
                <w:bCs/>
              </w:rPr>
            </w:pPr>
          </w:p>
        </w:tc>
        <w:tc>
          <w:tcPr>
            <w:tcW w:w="878" w:type="dxa"/>
            <w:tcBorders>
              <w:bottom w:val="single" w:sz="4" w:space="0" w:color="auto"/>
            </w:tcBorders>
          </w:tcPr>
          <w:p w14:paraId="20B5EEE6" w14:textId="77777777" w:rsidR="00E03FD8" w:rsidRDefault="00E03FD8" w:rsidP="00E03FD8">
            <w:pPr>
              <w:pStyle w:val="Default"/>
              <w:jc w:val="center"/>
              <w:rPr>
                <w:b/>
                <w:bCs/>
              </w:rPr>
            </w:pPr>
            <w:r w:rsidRPr="00176082">
              <w:rPr>
                <w:b/>
                <w:bCs/>
              </w:rPr>
              <w:t>28/29</w:t>
            </w:r>
          </w:p>
          <w:p w14:paraId="7F99979A" w14:textId="77777777" w:rsidR="00E03FD8" w:rsidRPr="00176082" w:rsidRDefault="00E03FD8" w:rsidP="00E03FD8">
            <w:pPr>
              <w:pStyle w:val="Default"/>
              <w:jc w:val="center"/>
              <w:rPr>
                <w:b/>
                <w:bCs/>
              </w:rPr>
            </w:pPr>
          </w:p>
        </w:tc>
        <w:tc>
          <w:tcPr>
            <w:tcW w:w="878" w:type="dxa"/>
            <w:tcBorders>
              <w:bottom w:val="single" w:sz="4" w:space="0" w:color="auto"/>
            </w:tcBorders>
          </w:tcPr>
          <w:p w14:paraId="12674BB8" w14:textId="5198B209" w:rsidR="00E03FD8" w:rsidRDefault="00E03FD8" w:rsidP="00E03FD8">
            <w:pPr>
              <w:pStyle w:val="Default"/>
              <w:jc w:val="center"/>
              <w:rPr>
                <w:b/>
                <w:bCs/>
              </w:rPr>
            </w:pPr>
            <w:r w:rsidRPr="00176082">
              <w:rPr>
                <w:b/>
                <w:bCs/>
              </w:rPr>
              <w:t>2</w:t>
            </w:r>
            <w:r>
              <w:rPr>
                <w:b/>
                <w:bCs/>
              </w:rPr>
              <w:t>9/30</w:t>
            </w:r>
          </w:p>
          <w:p w14:paraId="10ED42E6" w14:textId="77777777" w:rsidR="00E03FD8" w:rsidRPr="00176082" w:rsidRDefault="00E03FD8" w:rsidP="00E03FD8">
            <w:pPr>
              <w:pStyle w:val="Default"/>
              <w:jc w:val="center"/>
              <w:rPr>
                <w:b/>
                <w:bCs/>
              </w:rPr>
            </w:pPr>
          </w:p>
        </w:tc>
      </w:tr>
      <w:tr w:rsidR="00E03FD8" w14:paraId="3E6D3B33" w14:textId="77777777" w:rsidTr="005B6B01">
        <w:tc>
          <w:tcPr>
            <w:tcW w:w="4195" w:type="dxa"/>
            <w:tcMar>
              <w:top w:w="0" w:type="dxa"/>
              <w:left w:w="108" w:type="dxa"/>
              <w:bottom w:w="0" w:type="dxa"/>
              <w:right w:w="108" w:type="dxa"/>
            </w:tcMar>
            <w:vAlign w:val="center"/>
          </w:tcPr>
          <w:p w14:paraId="2CACA00E" w14:textId="77777777" w:rsidR="00E03FD8" w:rsidRPr="004530BE" w:rsidRDefault="00E03FD8" w:rsidP="00E03FD8">
            <w:pPr>
              <w:pStyle w:val="Default"/>
              <w:ind w:right="177"/>
            </w:pPr>
            <w:r>
              <w:t>Uniform Pay Award (Apr - Jun)</w:t>
            </w:r>
          </w:p>
        </w:tc>
        <w:tc>
          <w:tcPr>
            <w:tcW w:w="878" w:type="dxa"/>
            <w:tcBorders>
              <w:top w:val="single" w:sz="4" w:space="0" w:color="auto"/>
              <w:left w:val="nil"/>
              <w:bottom w:val="single" w:sz="4" w:space="0" w:color="auto"/>
              <w:right w:val="single" w:sz="4" w:space="0" w:color="auto"/>
            </w:tcBorders>
            <w:shd w:val="clear" w:color="auto" w:fill="auto"/>
            <w:vAlign w:val="center"/>
          </w:tcPr>
          <w:p w14:paraId="75850715" w14:textId="0A5E3A25" w:rsidR="00E03FD8" w:rsidRDefault="00E03FD8" w:rsidP="00E03FD8">
            <w:pPr>
              <w:pStyle w:val="Default"/>
              <w:jc w:val="center"/>
            </w:pPr>
            <w:r>
              <w:t>4%</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B6DB435" w14:textId="465080F1"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AA7073C" w14:textId="62B75AD8"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4CD4231" w14:textId="3AE97492"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17130E3" w14:textId="20AB0907" w:rsidR="00E03FD8" w:rsidRDefault="00E03FD8" w:rsidP="00E03FD8">
            <w:pPr>
              <w:pStyle w:val="Default"/>
              <w:jc w:val="center"/>
            </w:pPr>
            <w:r>
              <w:t>3%</w:t>
            </w:r>
          </w:p>
        </w:tc>
      </w:tr>
      <w:tr w:rsidR="00E03FD8" w14:paraId="21B61B27" w14:textId="77777777" w:rsidTr="005B6B01">
        <w:tc>
          <w:tcPr>
            <w:tcW w:w="4195" w:type="dxa"/>
            <w:tcMar>
              <w:top w:w="0" w:type="dxa"/>
              <w:left w:w="108" w:type="dxa"/>
              <w:bottom w:w="0" w:type="dxa"/>
              <w:right w:w="108" w:type="dxa"/>
            </w:tcMar>
            <w:vAlign w:val="center"/>
          </w:tcPr>
          <w:p w14:paraId="7F84D8FB" w14:textId="77777777" w:rsidR="00E03FD8" w:rsidRPr="004530BE" w:rsidRDefault="00E03FD8" w:rsidP="00E03FD8">
            <w:pPr>
              <w:pStyle w:val="Default"/>
              <w:ind w:right="177"/>
            </w:pPr>
            <w:r>
              <w:t>Uniform Pay Award (Jul - Mar)</w:t>
            </w:r>
          </w:p>
        </w:tc>
        <w:tc>
          <w:tcPr>
            <w:tcW w:w="878" w:type="dxa"/>
            <w:tcBorders>
              <w:top w:val="single" w:sz="4" w:space="0" w:color="auto"/>
              <w:left w:val="nil"/>
              <w:bottom w:val="single" w:sz="4" w:space="0" w:color="auto"/>
              <w:right w:val="single" w:sz="4" w:space="0" w:color="auto"/>
            </w:tcBorders>
            <w:shd w:val="clear" w:color="auto" w:fill="auto"/>
            <w:vAlign w:val="center"/>
          </w:tcPr>
          <w:p w14:paraId="26852400" w14:textId="26B45A5A" w:rsidR="00E03FD8" w:rsidRDefault="00E03FD8" w:rsidP="00E03FD8">
            <w:pPr>
              <w:pStyle w:val="Default"/>
              <w:jc w:val="center"/>
            </w:pPr>
            <w:r>
              <w:t>3%</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C2CF91" w14:textId="15799D39"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8A1D707" w14:textId="643EC6E5"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3C2E9DB" w14:textId="4714EB05"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9246E1" w14:textId="1FABBDC3" w:rsidR="00E03FD8" w:rsidRDefault="00E03FD8" w:rsidP="00E03FD8">
            <w:pPr>
              <w:pStyle w:val="Default"/>
              <w:jc w:val="center"/>
            </w:pPr>
            <w:r>
              <w:t>2%</w:t>
            </w:r>
          </w:p>
        </w:tc>
      </w:tr>
      <w:tr w:rsidR="00E03FD8" w14:paraId="2FB78093" w14:textId="77777777" w:rsidTr="005B6B01">
        <w:tc>
          <w:tcPr>
            <w:tcW w:w="4195" w:type="dxa"/>
            <w:tcMar>
              <w:top w:w="0" w:type="dxa"/>
              <w:left w:w="108" w:type="dxa"/>
              <w:bottom w:w="0" w:type="dxa"/>
              <w:right w:w="108" w:type="dxa"/>
            </w:tcMar>
            <w:vAlign w:val="center"/>
          </w:tcPr>
          <w:p w14:paraId="623C72D8" w14:textId="77777777" w:rsidR="00E03FD8" w:rsidRPr="004530BE" w:rsidRDefault="00E03FD8" w:rsidP="00E03FD8">
            <w:pPr>
              <w:pStyle w:val="Default"/>
              <w:ind w:right="177"/>
            </w:pPr>
            <w:r>
              <w:t>Non-uniform Pay Award</w:t>
            </w:r>
          </w:p>
        </w:tc>
        <w:tc>
          <w:tcPr>
            <w:tcW w:w="878" w:type="dxa"/>
            <w:tcBorders>
              <w:top w:val="single" w:sz="4" w:space="0" w:color="auto"/>
              <w:left w:val="nil"/>
              <w:bottom w:val="single" w:sz="4" w:space="0" w:color="auto"/>
              <w:right w:val="single" w:sz="4" w:space="0" w:color="auto"/>
            </w:tcBorders>
            <w:shd w:val="clear" w:color="auto" w:fill="auto"/>
            <w:vAlign w:val="center"/>
          </w:tcPr>
          <w:p w14:paraId="440EB3D7" w14:textId="23BD776C" w:rsidR="00E03FD8" w:rsidRDefault="00E03FD8" w:rsidP="00E03FD8">
            <w:pPr>
              <w:pStyle w:val="Default"/>
              <w:jc w:val="center"/>
            </w:pPr>
            <w:r>
              <w:t>3%</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316241D" w14:textId="6BE017BA"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3741A52" w14:textId="55ABDF74"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8226E98" w14:textId="7C1A429E"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BF98D87" w14:textId="607F3648" w:rsidR="00E03FD8" w:rsidRDefault="00E03FD8" w:rsidP="00E03FD8">
            <w:pPr>
              <w:pStyle w:val="Default"/>
              <w:jc w:val="center"/>
            </w:pPr>
            <w:r>
              <w:t>2%</w:t>
            </w:r>
          </w:p>
        </w:tc>
      </w:tr>
      <w:tr w:rsidR="00E03FD8" w14:paraId="2D08D928" w14:textId="77777777" w:rsidTr="005B6B01">
        <w:tc>
          <w:tcPr>
            <w:tcW w:w="4195" w:type="dxa"/>
            <w:tcMar>
              <w:top w:w="0" w:type="dxa"/>
              <w:left w:w="108" w:type="dxa"/>
              <w:bottom w:w="0" w:type="dxa"/>
              <w:right w:w="108" w:type="dxa"/>
            </w:tcMar>
            <w:vAlign w:val="center"/>
          </w:tcPr>
          <w:p w14:paraId="2DCC4153" w14:textId="77777777" w:rsidR="00E03FD8" w:rsidRPr="004530BE" w:rsidRDefault="00E03FD8" w:rsidP="00E03FD8">
            <w:pPr>
              <w:pStyle w:val="Default"/>
              <w:ind w:right="177"/>
            </w:pPr>
            <w:r>
              <w:t>General inflation</w:t>
            </w:r>
          </w:p>
        </w:tc>
        <w:tc>
          <w:tcPr>
            <w:tcW w:w="878" w:type="dxa"/>
            <w:tcBorders>
              <w:top w:val="single" w:sz="4" w:space="0" w:color="auto"/>
              <w:left w:val="nil"/>
              <w:bottom w:val="single" w:sz="4" w:space="0" w:color="auto"/>
              <w:right w:val="single" w:sz="4" w:space="0" w:color="auto"/>
            </w:tcBorders>
            <w:shd w:val="clear" w:color="auto" w:fill="auto"/>
            <w:vAlign w:val="center"/>
          </w:tcPr>
          <w:p w14:paraId="0FF2D04B" w14:textId="7993BB3D"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12D7721" w14:textId="46D8451D"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8401B6E" w14:textId="461D8DAC"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E694146" w14:textId="4630CB2F" w:rsidR="00E03FD8" w:rsidRDefault="00E03FD8" w:rsidP="00E03FD8">
            <w:pPr>
              <w:pStyle w:val="Default"/>
              <w:jc w:val="center"/>
            </w:pPr>
            <w: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F9ED14" w14:textId="70F6800F" w:rsidR="00E03FD8" w:rsidRDefault="00E03FD8" w:rsidP="00E03FD8">
            <w:pPr>
              <w:pStyle w:val="Default"/>
              <w:jc w:val="center"/>
            </w:pPr>
            <w:r>
              <w:t>2%</w:t>
            </w:r>
          </w:p>
        </w:tc>
      </w:tr>
      <w:tr w:rsidR="00E03FD8" w:rsidRPr="00AA78ED" w14:paraId="0B7E6F3B" w14:textId="77777777" w:rsidTr="005B6B01">
        <w:tc>
          <w:tcPr>
            <w:tcW w:w="4195" w:type="dxa"/>
            <w:tcMar>
              <w:top w:w="0" w:type="dxa"/>
              <w:left w:w="108" w:type="dxa"/>
              <w:bottom w:w="0" w:type="dxa"/>
              <w:right w:w="108" w:type="dxa"/>
            </w:tcMar>
            <w:vAlign w:val="center"/>
          </w:tcPr>
          <w:p w14:paraId="477F928C" w14:textId="77777777" w:rsidR="00E03FD8" w:rsidRPr="00EF6914" w:rsidRDefault="00E03FD8" w:rsidP="00E03FD8">
            <w:pPr>
              <w:pStyle w:val="Default"/>
              <w:ind w:right="177"/>
            </w:pPr>
            <w:r>
              <w:t>Establishment start of year</w:t>
            </w:r>
          </w:p>
        </w:tc>
        <w:tc>
          <w:tcPr>
            <w:tcW w:w="878" w:type="dxa"/>
            <w:tcBorders>
              <w:top w:val="single" w:sz="4" w:space="0" w:color="auto"/>
              <w:left w:val="nil"/>
              <w:bottom w:val="single" w:sz="4" w:space="0" w:color="auto"/>
              <w:right w:val="single" w:sz="4" w:space="0" w:color="auto"/>
            </w:tcBorders>
            <w:shd w:val="clear" w:color="auto" w:fill="auto"/>
            <w:vAlign w:val="center"/>
          </w:tcPr>
          <w:p w14:paraId="0425D57C" w14:textId="7E478477" w:rsidR="00E03FD8" w:rsidRPr="00AA78ED" w:rsidRDefault="00E03FD8" w:rsidP="00E03FD8">
            <w:pPr>
              <w:pStyle w:val="Default"/>
              <w:jc w:val="center"/>
              <w:rPr>
                <w:b/>
                <w:bCs/>
              </w:rPr>
            </w:pPr>
            <w:r>
              <w:t>636</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A7BBA9B" w14:textId="648B2227" w:rsidR="00E03FD8" w:rsidRPr="00AA78ED" w:rsidRDefault="00E03FD8" w:rsidP="00E03FD8">
            <w:pPr>
              <w:pStyle w:val="Default"/>
              <w:jc w:val="center"/>
              <w:rPr>
                <w:b/>
                <w:bCs/>
              </w:rPr>
            </w:pPr>
            <w:r>
              <w:t>6</w:t>
            </w:r>
            <w:r w:rsidR="00BE706A">
              <w:t>1</w:t>
            </w:r>
            <w:r w:rsidR="00250D83">
              <w:t>9</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7B2ADDE" w14:textId="25B84874" w:rsidR="00E03FD8" w:rsidRPr="00AA78ED" w:rsidRDefault="00E03FD8" w:rsidP="00E03FD8">
            <w:pPr>
              <w:pStyle w:val="Default"/>
              <w:jc w:val="center"/>
              <w:rPr>
                <w:b/>
                <w:bCs/>
              </w:rPr>
            </w:pPr>
            <w:r>
              <w:t>6</w:t>
            </w:r>
            <w:r w:rsidR="00250D83">
              <w:t>22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C4E428" w14:textId="48D67B43" w:rsidR="00E03FD8" w:rsidRPr="00AA78ED" w:rsidRDefault="00E03FD8" w:rsidP="00E03FD8">
            <w:pPr>
              <w:pStyle w:val="Default"/>
              <w:jc w:val="center"/>
              <w:rPr>
                <w:b/>
                <w:bCs/>
              </w:rPr>
            </w:pPr>
            <w:r>
              <w:t>6</w:t>
            </w:r>
            <w:r w:rsidR="00250D83">
              <w:t>31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871A974" w14:textId="02208512" w:rsidR="00E03FD8" w:rsidRPr="00AA78ED" w:rsidRDefault="00E03FD8" w:rsidP="00E03FD8">
            <w:pPr>
              <w:pStyle w:val="Default"/>
              <w:jc w:val="center"/>
              <w:rPr>
                <w:b/>
                <w:bCs/>
              </w:rPr>
            </w:pPr>
            <w:r>
              <w:t>63</w:t>
            </w:r>
            <w:r w:rsidR="00BE706A">
              <w:t>4</w:t>
            </w:r>
          </w:p>
        </w:tc>
      </w:tr>
      <w:tr w:rsidR="00E03FD8" w:rsidRPr="00176082" w14:paraId="5ED8520E" w14:textId="77777777" w:rsidTr="005B6B01">
        <w:tc>
          <w:tcPr>
            <w:tcW w:w="4195" w:type="dxa"/>
            <w:tcBorders>
              <w:bottom w:val="single" w:sz="4" w:space="0" w:color="auto"/>
            </w:tcBorders>
            <w:tcMar>
              <w:top w:w="0" w:type="dxa"/>
              <w:left w:w="108" w:type="dxa"/>
              <w:bottom w:w="0" w:type="dxa"/>
              <w:right w:w="108" w:type="dxa"/>
            </w:tcMar>
            <w:vAlign w:val="center"/>
          </w:tcPr>
          <w:p w14:paraId="0C7DE4BB" w14:textId="77777777" w:rsidR="00E03FD8" w:rsidRPr="00176082" w:rsidRDefault="00E03FD8" w:rsidP="00E03FD8">
            <w:pPr>
              <w:pStyle w:val="Default"/>
              <w:ind w:right="177"/>
              <w:rPr>
                <w:b/>
                <w:bCs/>
              </w:rPr>
            </w:pPr>
            <w:r>
              <w:t>New recruits during year</w:t>
            </w:r>
          </w:p>
        </w:tc>
        <w:tc>
          <w:tcPr>
            <w:tcW w:w="878" w:type="dxa"/>
            <w:tcBorders>
              <w:top w:val="single" w:sz="4" w:space="0" w:color="auto"/>
              <w:left w:val="nil"/>
              <w:bottom w:val="single" w:sz="4" w:space="0" w:color="auto"/>
              <w:right w:val="single" w:sz="4" w:space="0" w:color="auto"/>
            </w:tcBorders>
            <w:shd w:val="clear" w:color="auto" w:fill="auto"/>
            <w:vAlign w:val="center"/>
          </w:tcPr>
          <w:p w14:paraId="54BC998C" w14:textId="4963C431" w:rsidR="00E03FD8" w:rsidRPr="00BE706A" w:rsidRDefault="00BE706A" w:rsidP="00E03FD8">
            <w:pPr>
              <w:pStyle w:val="Default"/>
              <w:jc w:val="center"/>
            </w:pPr>
            <w:r w:rsidRPr="00BE706A">
              <w:t>0</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25B71DD" w14:textId="7FB9B352" w:rsidR="00E03FD8" w:rsidRPr="00BE706A" w:rsidRDefault="00BE706A" w:rsidP="00E03FD8">
            <w:pPr>
              <w:pStyle w:val="Default"/>
              <w:jc w:val="center"/>
            </w:pPr>
            <w:r w:rsidRPr="00BE706A">
              <w:t>24</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92C1B9A" w14:textId="22A0186F" w:rsidR="00E03FD8" w:rsidRPr="00BE706A" w:rsidRDefault="00E03FD8" w:rsidP="00E03FD8">
            <w:pPr>
              <w:pStyle w:val="Default"/>
              <w:jc w:val="center"/>
            </w:pPr>
            <w:r w:rsidRPr="00BE706A">
              <w:t>3</w:t>
            </w:r>
            <w:r w:rsidR="00BE706A" w:rsidRPr="00BE706A">
              <w:t>6</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2BC77F" w14:textId="1C65BA69" w:rsidR="00E03FD8" w:rsidRPr="00BE706A" w:rsidRDefault="00E03FD8" w:rsidP="00E03FD8">
            <w:pPr>
              <w:pStyle w:val="Default"/>
              <w:jc w:val="center"/>
            </w:pPr>
            <w:r w:rsidRPr="00BE706A">
              <w:t>2</w:t>
            </w:r>
            <w:r w:rsidR="00BE706A" w:rsidRPr="00BE706A">
              <w:t>4</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6914A33" w14:textId="6EF2792F" w:rsidR="00E03FD8" w:rsidRPr="00BE706A" w:rsidRDefault="00BE706A" w:rsidP="00E03FD8">
            <w:pPr>
              <w:pStyle w:val="Default"/>
              <w:jc w:val="center"/>
            </w:pPr>
            <w:r w:rsidRPr="00BE706A">
              <w:t>0</w:t>
            </w:r>
          </w:p>
        </w:tc>
      </w:tr>
      <w:tr w:rsidR="00E03FD8" w:rsidRPr="00AA78ED" w14:paraId="622C0F50" w14:textId="77777777" w:rsidTr="005B6B01">
        <w:tc>
          <w:tcPr>
            <w:tcW w:w="4195"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BD0C086" w14:textId="77777777" w:rsidR="00E03FD8" w:rsidRPr="00EF6914" w:rsidRDefault="00E03FD8" w:rsidP="00E03FD8">
            <w:pPr>
              <w:pStyle w:val="Default"/>
              <w:ind w:right="177"/>
            </w:pPr>
            <w:r>
              <w:t>No of Leavers</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2769B91" w14:textId="3383C09A" w:rsidR="00E03FD8" w:rsidRPr="00AA78ED" w:rsidRDefault="00E03FD8" w:rsidP="00E03FD8">
            <w:pPr>
              <w:pStyle w:val="Default"/>
              <w:jc w:val="center"/>
              <w:rPr>
                <w:b/>
                <w:bCs/>
              </w:rPr>
            </w:pPr>
            <w:r>
              <w:t>(</w:t>
            </w:r>
            <w:r w:rsidR="00BE706A">
              <w:t>17</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B3AB6B6" w14:textId="705980D6" w:rsidR="00E03FD8" w:rsidRPr="00AA78ED" w:rsidRDefault="00E03FD8" w:rsidP="00E03FD8">
            <w:pPr>
              <w:pStyle w:val="Default"/>
              <w:jc w:val="center"/>
              <w:rPr>
                <w:b/>
                <w:bCs/>
              </w:rPr>
            </w:pPr>
            <w:r>
              <w:t>(</w:t>
            </w:r>
            <w:r w:rsidR="00BE706A">
              <w:t>21</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801DF7" w14:textId="152227E5" w:rsidR="00E03FD8" w:rsidRPr="00AA78ED" w:rsidRDefault="00E03FD8" w:rsidP="00E03FD8">
            <w:pPr>
              <w:pStyle w:val="Default"/>
              <w:jc w:val="center"/>
              <w:rPr>
                <w:b/>
                <w:bCs/>
              </w:rPr>
            </w:pPr>
            <w:r>
              <w:t>(</w:t>
            </w:r>
            <w:r w:rsidR="00BE706A">
              <w:t>27</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C0A5FE6" w14:textId="48049CBA" w:rsidR="00E03FD8" w:rsidRPr="00AA78ED" w:rsidRDefault="00E03FD8" w:rsidP="00E03FD8">
            <w:pPr>
              <w:pStyle w:val="Default"/>
              <w:jc w:val="center"/>
              <w:rPr>
                <w:b/>
                <w:bCs/>
              </w:rPr>
            </w:pPr>
            <w:r>
              <w:t>(21)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50DEC38" w14:textId="5A613549" w:rsidR="00E03FD8" w:rsidRPr="00AA78ED" w:rsidRDefault="00E03FD8" w:rsidP="00E03FD8">
            <w:pPr>
              <w:pStyle w:val="Default"/>
              <w:jc w:val="center"/>
              <w:rPr>
                <w:b/>
                <w:bCs/>
              </w:rPr>
            </w:pPr>
            <w:r>
              <w:t>(0)</w:t>
            </w:r>
          </w:p>
        </w:tc>
      </w:tr>
      <w:tr w:rsidR="00E03FD8" w:rsidRPr="00AA78ED" w14:paraId="228E361B" w14:textId="77777777" w:rsidTr="005B6B01">
        <w:tc>
          <w:tcPr>
            <w:tcW w:w="4195" w:type="dxa"/>
            <w:tcMar>
              <w:top w:w="0" w:type="dxa"/>
              <w:left w:w="108" w:type="dxa"/>
              <w:bottom w:w="0" w:type="dxa"/>
              <w:right w:w="108" w:type="dxa"/>
            </w:tcMar>
            <w:vAlign w:val="center"/>
          </w:tcPr>
          <w:p w14:paraId="55B895B5" w14:textId="77777777" w:rsidR="00E03FD8" w:rsidRPr="00AA78ED" w:rsidRDefault="00E03FD8" w:rsidP="00E03FD8">
            <w:pPr>
              <w:pStyle w:val="Default"/>
              <w:ind w:right="177"/>
              <w:rPr>
                <w:b/>
                <w:bCs/>
              </w:rPr>
            </w:pPr>
            <w:r>
              <w:t>Council Taxbase % increase</w:t>
            </w:r>
          </w:p>
        </w:tc>
        <w:tc>
          <w:tcPr>
            <w:tcW w:w="878" w:type="dxa"/>
            <w:tcBorders>
              <w:top w:val="single" w:sz="4" w:space="0" w:color="auto"/>
              <w:left w:val="nil"/>
              <w:bottom w:val="single" w:sz="4" w:space="0" w:color="auto"/>
              <w:right w:val="single" w:sz="4" w:space="0" w:color="auto"/>
            </w:tcBorders>
            <w:shd w:val="clear" w:color="auto" w:fill="auto"/>
            <w:vAlign w:val="center"/>
          </w:tcPr>
          <w:p w14:paraId="25542981" w14:textId="07F92551" w:rsidR="00E03FD8" w:rsidRPr="00AA78ED" w:rsidRDefault="00BE706A" w:rsidP="00E03FD8">
            <w:pPr>
              <w:pStyle w:val="Default"/>
              <w:jc w:val="center"/>
              <w:rPr>
                <w:b/>
                <w:bCs/>
              </w:rPr>
            </w:pPr>
            <w:r>
              <w:t>1.43</w:t>
            </w:r>
            <w:r w:rsidR="00E03FD8">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8C91128" w14:textId="6A8DC855" w:rsidR="00E03FD8" w:rsidRPr="00AA78ED" w:rsidRDefault="00250D83" w:rsidP="00E03FD8">
            <w:pPr>
              <w:pStyle w:val="Default"/>
              <w:jc w:val="center"/>
              <w:rPr>
                <w:b/>
                <w:bCs/>
              </w:rPr>
            </w:pPr>
            <w:r>
              <w:t>1.20</w:t>
            </w:r>
            <w:r w:rsidR="00E03FD8">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4A3F676" w14:textId="2B85BBA0" w:rsidR="00E03FD8" w:rsidRPr="00AA78ED" w:rsidRDefault="00250D83" w:rsidP="00E03FD8">
            <w:pPr>
              <w:pStyle w:val="Default"/>
              <w:jc w:val="center"/>
              <w:rPr>
                <w:b/>
                <w:bCs/>
              </w:rPr>
            </w:pPr>
            <w:r>
              <w:t>1.2</w:t>
            </w:r>
            <w:r w:rsidR="00BE706A">
              <w:t>0</w:t>
            </w:r>
            <w:r w:rsidR="00E03FD8">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132D8EB" w14:textId="3D80BBF4" w:rsidR="00E03FD8" w:rsidRPr="00AA78ED" w:rsidRDefault="00250D83" w:rsidP="00E03FD8">
            <w:pPr>
              <w:pStyle w:val="Default"/>
              <w:jc w:val="center"/>
              <w:rPr>
                <w:b/>
                <w:bCs/>
              </w:rPr>
            </w:pPr>
            <w:r>
              <w:t>1</w:t>
            </w:r>
            <w:r w:rsidR="00E03FD8">
              <w:t>.</w:t>
            </w:r>
            <w:r>
              <w:t>2</w:t>
            </w:r>
            <w:r w:rsidR="00BE706A">
              <w:t>0</w:t>
            </w:r>
            <w:r w:rsidR="00E03FD8">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6B89738" w14:textId="3A13207D" w:rsidR="00E03FD8" w:rsidRPr="00AA78ED" w:rsidRDefault="00250D83" w:rsidP="00E03FD8">
            <w:pPr>
              <w:pStyle w:val="Default"/>
              <w:jc w:val="center"/>
              <w:rPr>
                <w:b/>
                <w:bCs/>
              </w:rPr>
            </w:pPr>
            <w:r>
              <w:t>1</w:t>
            </w:r>
            <w:r w:rsidR="00E03FD8">
              <w:t>.</w:t>
            </w:r>
            <w:r>
              <w:t>2</w:t>
            </w:r>
            <w:r w:rsidR="00BE706A">
              <w:t>0</w:t>
            </w:r>
            <w:r w:rsidR="00E03FD8">
              <w:t>%</w:t>
            </w:r>
          </w:p>
        </w:tc>
      </w:tr>
      <w:tr w:rsidR="00E03FD8" w:rsidRPr="00AA78ED" w14:paraId="50953BBC" w14:textId="77777777" w:rsidTr="005B6B01">
        <w:tc>
          <w:tcPr>
            <w:tcW w:w="4195" w:type="dxa"/>
            <w:tcMar>
              <w:top w:w="0" w:type="dxa"/>
              <w:left w:w="108" w:type="dxa"/>
              <w:bottom w:w="0" w:type="dxa"/>
              <w:right w:w="108" w:type="dxa"/>
            </w:tcMar>
            <w:vAlign w:val="center"/>
          </w:tcPr>
          <w:p w14:paraId="44BE7FE7" w14:textId="77777777" w:rsidR="00E03FD8" w:rsidRPr="00AA78ED" w:rsidRDefault="00E03FD8" w:rsidP="00E03FD8">
            <w:pPr>
              <w:pStyle w:val="Default"/>
              <w:ind w:right="177"/>
              <w:rPr>
                <w:b/>
                <w:bCs/>
              </w:rPr>
            </w:pPr>
            <w:r>
              <w:t>Council tax precept % increase</w:t>
            </w:r>
          </w:p>
        </w:tc>
        <w:tc>
          <w:tcPr>
            <w:tcW w:w="878" w:type="dxa"/>
            <w:tcBorders>
              <w:top w:val="single" w:sz="4" w:space="0" w:color="auto"/>
              <w:left w:val="nil"/>
              <w:bottom w:val="single" w:sz="4" w:space="0" w:color="auto"/>
              <w:right w:val="single" w:sz="4" w:space="0" w:color="auto"/>
            </w:tcBorders>
            <w:shd w:val="clear" w:color="auto" w:fill="auto"/>
            <w:vAlign w:val="center"/>
          </w:tcPr>
          <w:p w14:paraId="5B3D8F71" w14:textId="463193AB" w:rsidR="00E03FD8" w:rsidRPr="00AA78ED" w:rsidRDefault="00BE706A" w:rsidP="00E03FD8">
            <w:pPr>
              <w:pStyle w:val="Default"/>
              <w:jc w:val="center"/>
              <w:rPr>
                <w:b/>
                <w:bCs/>
              </w:rPr>
            </w:pPr>
            <w:r>
              <w:t>5.90</w:t>
            </w:r>
            <w:r w:rsidR="00E03FD8">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B4C9AD" w14:textId="78F50360" w:rsidR="00E03FD8" w:rsidRPr="00AA78ED" w:rsidRDefault="00E03FD8" w:rsidP="00E03FD8">
            <w:pPr>
              <w:pStyle w:val="Default"/>
              <w:jc w:val="center"/>
              <w:rPr>
                <w:b/>
                <w:bCs/>
              </w:rPr>
            </w:pPr>
            <w:r>
              <w:t>2.</w:t>
            </w:r>
            <w:r w:rsidR="00250D83">
              <w:t>50</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9A9D3B5" w14:textId="76CE4358" w:rsidR="00E03FD8" w:rsidRPr="00AA78ED" w:rsidRDefault="00E03FD8" w:rsidP="00E03FD8">
            <w:pPr>
              <w:pStyle w:val="Default"/>
              <w:jc w:val="center"/>
              <w:rPr>
                <w:b/>
                <w:bCs/>
              </w:rPr>
            </w:pPr>
            <w:r>
              <w:t>2.</w:t>
            </w:r>
            <w:r w:rsidR="00250D83">
              <w:t>50</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32B82C5" w14:textId="0E4DD50A" w:rsidR="00E03FD8" w:rsidRPr="00AA78ED" w:rsidRDefault="00E03FD8" w:rsidP="00E03FD8">
            <w:pPr>
              <w:pStyle w:val="Default"/>
              <w:jc w:val="center"/>
              <w:rPr>
                <w:b/>
                <w:bCs/>
              </w:rPr>
            </w:pPr>
            <w:r>
              <w:t>2.</w:t>
            </w:r>
            <w:r w:rsidR="00250D83">
              <w:t>00</w:t>
            </w:r>
            <w: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744AC5C" w14:textId="2A7C5203" w:rsidR="00E03FD8" w:rsidRPr="00AA78ED" w:rsidRDefault="00E03FD8" w:rsidP="00E03FD8">
            <w:pPr>
              <w:pStyle w:val="Default"/>
              <w:jc w:val="center"/>
              <w:rPr>
                <w:b/>
                <w:bCs/>
              </w:rPr>
            </w:pPr>
            <w:r>
              <w:t>2.</w:t>
            </w:r>
            <w:r w:rsidR="00250D83">
              <w:t>00</w:t>
            </w:r>
            <w:r>
              <w:t>%</w:t>
            </w:r>
          </w:p>
        </w:tc>
      </w:tr>
    </w:tbl>
    <w:p w14:paraId="6A279C5E" w14:textId="77777777" w:rsidR="00214169" w:rsidRDefault="00214169" w:rsidP="00214169">
      <w:pPr>
        <w:pStyle w:val="Default"/>
        <w:spacing w:before="120" w:after="240"/>
        <w:ind w:left="635"/>
      </w:pPr>
    </w:p>
    <w:p w14:paraId="76A09BE0" w14:textId="77777777" w:rsidR="00280EAB" w:rsidRPr="00176082" w:rsidRDefault="00280EAB" w:rsidP="00280EAB">
      <w:pPr>
        <w:pStyle w:val="ListParagraph"/>
        <w:numPr>
          <w:ilvl w:val="0"/>
          <w:numId w:val="1"/>
        </w:numPr>
        <w:spacing w:after="120"/>
        <w:ind w:left="1134" w:hanging="357"/>
        <w:contextualSpacing w:val="0"/>
        <w:rPr>
          <w:rFonts w:ascii="Arial" w:hAnsi="Arial"/>
        </w:rPr>
      </w:pPr>
      <w:r w:rsidRPr="00176082">
        <w:rPr>
          <w:rFonts w:ascii="Arial" w:hAnsi="Arial"/>
        </w:rPr>
        <w:t>Inflation – The pay awards for 202</w:t>
      </w:r>
      <w:r>
        <w:rPr>
          <w:rFonts w:ascii="Arial" w:hAnsi="Arial"/>
        </w:rPr>
        <w:t>5</w:t>
      </w:r>
      <w:r w:rsidRPr="00176082">
        <w:rPr>
          <w:rFonts w:ascii="Arial" w:hAnsi="Arial"/>
        </w:rPr>
        <w:t>/2</w:t>
      </w:r>
      <w:r>
        <w:rPr>
          <w:rFonts w:ascii="Arial" w:hAnsi="Arial"/>
        </w:rPr>
        <w:t>6</w:t>
      </w:r>
      <w:r w:rsidRPr="00176082">
        <w:rPr>
          <w:rFonts w:ascii="Arial" w:hAnsi="Arial"/>
        </w:rPr>
        <w:t xml:space="preserve"> are estimated at 3% then 2% thereafter. </w:t>
      </w:r>
      <w:r>
        <w:rPr>
          <w:rFonts w:ascii="Arial" w:hAnsi="Arial"/>
        </w:rPr>
        <w:t>N</w:t>
      </w:r>
      <w:r w:rsidRPr="00176082">
        <w:rPr>
          <w:rFonts w:ascii="Arial" w:hAnsi="Arial"/>
        </w:rPr>
        <w:t xml:space="preserve">on-pay budgets have increased by the latest Office of Budget Responsibility (OBR) CPI figures; </w:t>
      </w:r>
      <w:r>
        <w:rPr>
          <w:rFonts w:ascii="Arial" w:hAnsi="Arial"/>
        </w:rPr>
        <w:t>1.7</w:t>
      </w:r>
      <w:r w:rsidRPr="00176082">
        <w:rPr>
          <w:rFonts w:ascii="Arial" w:hAnsi="Arial"/>
        </w:rPr>
        <w:t>% in 202</w:t>
      </w:r>
      <w:r>
        <w:rPr>
          <w:rFonts w:ascii="Arial" w:hAnsi="Arial"/>
        </w:rPr>
        <w:t>5</w:t>
      </w:r>
      <w:r w:rsidRPr="00176082">
        <w:rPr>
          <w:rFonts w:ascii="Arial" w:hAnsi="Arial"/>
        </w:rPr>
        <w:t>/2</w:t>
      </w:r>
      <w:r>
        <w:rPr>
          <w:rFonts w:ascii="Arial" w:hAnsi="Arial"/>
        </w:rPr>
        <w:t>6</w:t>
      </w:r>
      <w:r w:rsidRPr="00176082">
        <w:rPr>
          <w:rFonts w:ascii="Arial" w:hAnsi="Arial"/>
        </w:rPr>
        <w:t xml:space="preserve"> and 2% thereafter</w:t>
      </w:r>
      <w:r>
        <w:rPr>
          <w:rFonts w:ascii="Arial" w:hAnsi="Arial"/>
        </w:rPr>
        <w:t>. Income earned on investments is expected to reduce as cash balances reduce and interest rates reduce from 4.25% to 3.5% over the period of the MTFS.</w:t>
      </w:r>
    </w:p>
    <w:p w14:paraId="0A88D292" w14:textId="556DC2CE" w:rsidR="00280EAB" w:rsidRDefault="00280EAB" w:rsidP="00280EAB">
      <w:pPr>
        <w:pStyle w:val="ListParagraph"/>
        <w:numPr>
          <w:ilvl w:val="0"/>
          <w:numId w:val="1"/>
        </w:numPr>
        <w:spacing w:after="120"/>
        <w:ind w:left="1134" w:hanging="357"/>
        <w:contextualSpacing w:val="0"/>
        <w:rPr>
          <w:rFonts w:ascii="Arial" w:hAnsi="Arial"/>
        </w:rPr>
      </w:pPr>
      <w:r>
        <w:rPr>
          <w:rFonts w:ascii="Arial" w:hAnsi="Arial"/>
        </w:rPr>
        <w:t xml:space="preserve">Commitments – The 2026/27 budget allows for an £0.5m increase in LGPS contributions and increase in revenue contribution to Capital of £0.5m which is also budgeted for in </w:t>
      </w:r>
      <w:r w:rsidR="00250D83">
        <w:rPr>
          <w:rFonts w:ascii="Arial" w:hAnsi="Arial"/>
        </w:rPr>
        <w:t xml:space="preserve">2026/27, </w:t>
      </w:r>
      <w:r>
        <w:rPr>
          <w:rFonts w:ascii="Arial" w:hAnsi="Arial"/>
        </w:rPr>
        <w:t>2027/28 and 2028/29.</w:t>
      </w:r>
    </w:p>
    <w:p w14:paraId="197A2755" w14:textId="77777777" w:rsidR="00861594" w:rsidRDefault="00861594" w:rsidP="00861594">
      <w:pPr>
        <w:pStyle w:val="ListParagraph"/>
        <w:numPr>
          <w:ilvl w:val="0"/>
          <w:numId w:val="1"/>
        </w:numPr>
        <w:spacing w:after="120"/>
        <w:ind w:left="1134" w:hanging="357"/>
        <w:rPr>
          <w:rFonts w:ascii="Arial" w:hAnsi="Arial"/>
        </w:rPr>
      </w:pPr>
      <w:r w:rsidRPr="00356441">
        <w:rPr>
          <w:rFonts w:ascii="Arial" w:hAnsi="Arial"/>
        </w:rPr>
        <w:t>Increases in Resourcing</w:t>
      </w:r>
      <w:r>
        <w:rPr>
          <w:rFonts w:ascii="Arial" w:hAnsi="Arial"/>
        </w:rPr>
        <w:t xml:space="preserve">: </w:t>
      </w:r>
    </w:p>
    <w:p w14:paraId="7E43AC36" w14:textId="77777777" w:rsidR="00861594" w:rsidRDefault="00861594" w:rsidP="00861594">
      <w:pPr>
        <w:pStyle w:val="ListParagraph"/>
        <w:numPr>
          <w:ilvl w:val="1"/>
          <w:numId w:val="1"/>
        </w:numPr>
        <w:spacing w:after="120"/>
        <w:ind w:left="1497" w:hanging="357"/>
        <w:contextualSpacing w:val="0"/>
        <w:rPr>
          <w:rFonts w:ascii="Arial" w:hAnsi="Arial"/>
        </w:rPr>
      </w:pPr>
      <w:r w:rsidRPr="00426FD6">
        <w:rPr>
          <w:rFonts w:ascii="Arial" w:hAnsi="Arial"/>
        </w:rPr>
        <w:t xml:space="preserve">32 of LFRS’s 58 Fire Engines are crewed by firefighters working the on-call duty system. There are national challenges in relation to on-call Fire Engine availability and LFRS is facing similar challenges. An extensive work programme is underway and there are signs of improvement in the emergency cover provided by our On-Call crews. It is anticipated that additional revenue costs will be required </w:t>
      </w:r>
      <w:proofErr w:type="gramStart"/>
      <w:r w:rsidRPr="00426FD6">
        <w:rPr>
          <w:rFonts w:ascii="Arial" w:hAnsi="Arial"/>
        </w:rPr>
        <w:t>in order to</w:t>
      </w:r>
      <w:proofErr w:type="gramEnd"/>
      <w:r w:rsidRPr="00426FD6">
        <w:rPr>
          <w:rFonts w:ascii="Arial" w:hAnsi="Arial"/>
        </w:rPr>
        <w:t xml:space="preserve"> continue to improve the availability and future sustainability of this duty system, therefore it would be prudent to assign up to £0.5m additional revenue costs across the 32 On-Call appliances.</w:t>
      </w:r>
    </w:p>
    <w:p w14:paraId="053286A3" w14:textId="77777777" w:rsidR="00861594" w:rsidRPr="00426FD6" w:rsidRDefault="00861594" w:rsidP="00861594">
      <w:pPr>
        <w:pStyle w:val="ListParagraph"/>
        <w:numPr>
          <w:ilvl w:val="1"/>
          <w:numId w:val="1"/>
        </w:numPr>
        <w:spacing w:after="120"/>
        <w:ind w:left="1497" w:hanging="357"/>
        <w:contextualSpacing w:val="0"/>
        <w:rPr>
          <w:rFonts w:ascii="Arial" w:hAnsi="Arial"/>
        </w:rPr>
      </w:pPr>
      <w:r>
        <w:rPr>
          <w:rFonts w:ascii="Arial" w:hAnsi="Arial"/>
        </w:rPr>
        <w:t>I</w:t>
      </w:r>
      <w:r w:rsidRPr="00426FD6">
        <w:rPr>
          <w:rFonts w:ascii="Arial" w:hAnsi="Arial"/>
        </w:rPr>
        <w:t>nvestment in support services in 2025/26 and capital financing costs from 2026/27 to meet the costs associated with borrowing to largely fund the major projects in the capital programme; by the end of the capital programme borrowing costs are forecast at £3.8m</w:t>
      </w:r>
      <w:r>
        <w:rPr>
          <w:rFonts w:ascii="Arial" w:hAnsi="Arial"/>
        </w:rPr>
        <w:t xml:space="preserve"> per annum</w:t>
      </w:r>
      <w:r w:rsidRPr="00426FD6">
        <w:rPr>
          <w:rFonts w:ascii="Arial" w:hAnsi="Arial"/>
        </w:rPr>
        <w:t>.</w:t>
      </w:r>
    </w:p>
    <w:p w14:paraId="470E1BD8" w14:textId="77777777" w:rsidR="00861594" w:rsidRPr="005E0041" w:rsidRDefault="00861594" w:rsidP="00861594">
      <w:pPr>
        <w:pStyle w:val="ListParagraph"/>
        <w:numPr>
          <w:ilvl w:val="0"/>
          <w:numId w:val="1"/>
        </w:numPr>
        <w:spacing w:after="120"/>
        <w:ind w:left="1134" w:hanging="357"/>
        <w:contextualSpacing w:val="0"/>
        <w:rPr>
          <w:rFonts w:ascii="Arial" w:hAnsi="Arial"/>
        </w:rPr>
      </w:pPr>
      <w:r w:rsidRPr="453D4910">
        <w:rPr>
          <w:rFonts w:ascii="Arial" w:hAnsi="Arial"/>
        </w:rPr>
        <w:lastRenderedPageBreak/>
        <w:t>Decreases in Resourcing are required to balance the budget and meet the costs associated with funding the borrowing costs. Over the period of the MTFS £5m of savings is required to be delivered; £0.5m in 2025/26, £1.0m in 2026/27, £1.5m in 2027/28 and 2028/29 and £0.5m in 2029/30.</w:t>
      </w:r>
      <w:r>
        <w:rPr>
          <w:rFonts w:ascii="Arial" w:hAnsi="Arial"/>
        </w:rPr>
        <w:t xml:space="preserve"> To deliver the savings a review of services will commence in 2025.</w:t>
      </w:r>
    </w:p>
    <w:p w14:paraId="1B8AA893" w14:textId="77777777" w:rsidR="00280EAB" w:rsidRDefault="00280EAB" w:rsidP="00280EAB">
      <w:pPr>
        <w:pStyle w:val="ListParagraph"/>
        <w:numPr>
          <w:ilvl w:val="0"/>
          <w:numId w:val="1"/>
        </w:numPr>
        <w:spacing w:after="120"/>
        <w:ind w:left="1134" w:hanging="357"/>
        <w:contextualSpacing w:val="0"/>
        <w:rPr>
          <w:rFonts w:ascii="Arial" w:hAnsi="Arial"/>
        </w:rPr>
      </w:pPr>
      <w:r>
        <w:rPr>
          <w:rFonts w:ascii="Arial" w:hAnsi="Arial"/>
        </w:rPr>
        <w:t xml:space="preserve">Funding – Detailed assumptions are included in the MTFS, in broad terms the funding is expected to increase between 2% to 3% however, the outcome of the comprehensive spending review and review of the funding formula is likely to impact on these assumptions which is expected to be determined during late 2025. </w:t>
      </w:r>
    </w:p>
    <w:p w14:paraId="239E2693" w14:textId="44D6CC36" w:rsidR="004614E7" w:rsidRDefault="00214169" w:rsidP="00214169">
      <w:pPr>
        <w:pStyle w:val="Default"/>
        <w:numPr>
          <w:ilvl w:val="0"/>
          <w:numId w:val="2"/>
        </w:numPr>
        <w:spacing w:before="120" w:after="240"/>
        <w:ind w:left="635" w:hanging="635"/>
      </w:pPr>
      <w:r>
        <w:t xml:space="preserve">The summary MTFS is set out below and in more detail in Appendix 1 </w:t>
      </w:r>
      <w:r w:rsidR="00A37816">
        <w:t xml:space="preserve">and 2 </w:t>
      </w:r>
      <w:r>
        <w:t xml:space="preserve">of this report. </w:t>
      </w:r>
    </w:p>
    <w:tbl>
      <w:tblPr>
        <w:tblW w:w="85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32"/>
        <w:gridCol w:w="1117"/>
        <w:gridCol w:w="1117"/>
        <w:gridCol w:w="1117"/>
        <w:gridCol w:w="1117"/>
        <w:gridCol w:w="1117"/>
      </w:tblGrid>
      <w:tr w:rsidR="00280EAB" w:rsidRPr="00DD5050" w14:paraId="5B35C821" w14:textId="77777777" w:rsidTr="004D0DDB">
        <w:tc>
          <w:tcPr>
            <w:tcW w:w="2932" w:type="dxa"/>
            <w:tcBorders>
              <w:top w:val="nil"/>
              <w:left w:val="nil"/>
            </w:tcBorders>
            <w:tcMar>
              <w:top w:w="0" w:type="dxa"/>
              <w:left w:w="108" w:type="dxa"/>
              <w:bottom w:w="0" w:type="dxa"/>
              <w:right w:w="108" w:type="dxa"/>
            </w:tcMar>
            <w:vAlign w:val="center"/>
          </w:tcPr>
          <w:p w14:paraId="1945DD02" w14:textId="66757069" w:rsidR="00280EAB" w:rsidRPr="00DD5050" w:rsidRDefault="00861594" w:rsidP="00280EAB">
            <w:pPr>
              <w:pStyle w:val="Default"/>
              <w:rPr>
                <w:b/>
                <w:bCs/>
              </w:rPr>
            </w:pPr>
            <w:r>
              <w:rPr>
                <w:rFonts w:ascii="Times New Roman" w:eastAsia="Times New Roman" w:hAnsi="Times New Roman" w:cs="Times New Roman"/>
                <w:color w:val="auto"/>
                <w:szCs w:val="20"/>
              </w:rPr>
              <w:br w:type="page"/>
            </w:r>
            <w:r w:rsidR="00280EAB">
              <w:rPr>
                <w:b/>
                <w:bCs/>
              </w:rPr>
              <w:t>Revenue MTFS</w:t>
            </w:r>
          </w:p>
        </w:tc>
        <w:tc>
          <w:tcPr>
            <w:tcW w:w="1117" w:type="dxa"/>
            <w:tcBorders>
              <w:bottom w:val="single" w:sz="4" w:space="0" w:color="auto"/>
            </w:tcBorders>
          </w:tcPr>
          <w:p w14:paraId="5B206706" w14:textId="77777777" w:rsidR="00280EAB" w:rsidRDefault="00280EAB" w:rsidP="00280EAB">
            <w:pPr>
              <w:pStyle w:val="Default"/>
              <w:jc w:val="center"/>
              <w:rPr>
                <w:b/>
                <w:bCs/>
              </w:rPr>
            </w:pPr>
            <w:r w:rsidRPr="00176082">
              <w:rPr>
                <w:b/>
                <w:bCs/>
              </w:rPr>
              <w:t>25/26</w:t>
            </w:r>
          </w:p>
          <w:p w14:paraId="2E3845E3" w14:textId="051D2CF9" w:rsidR="00280EAB" w:rsidRPr="00176082" w:rsidRDefault="00280EAB" w:rsidP="00280EAB">
            <w:pPr>
              <w:pStyle w:val="Default"/>
              <w:jc w:val="center"/>
              <w:rPr>
                <w:b/>
                <w:bCs/>
              </w:rPr>
            </w:pPr>
            <w:r>
              <w:rPr>
                <w:b/>
                <w:bCs/>
              </w:rPr>
              <w:t>£m</w:t>
            </w:r>
          </w:p>
        </w:tc>
        <w:tc>
          <w:tcPr>
            <w:tcW w:w="1117" w:type="dxa"/>
            <w:tcBorders>
              <w:bottom w:val="single" w:sz="4" w:space="0" w:color="auto"/>
            </w:tcBorders>
          </w:tcPr>
          <w:p w14:paraId="475FC5F5" w14:textId="77777777" w:rsidR="00280EAB" w:rsidRDefault="00280EAB" w:rsidP="00280EAB">
            <w:pPr>
              <w:pStyle w:val="Default"/>
              <w:jc w:val="center"/>
              <w:rPr>
                <w:b/>
                <w:bCs/>
              </w:rPr>
            </w:pPr>
            <w:r w:rsidRPr="00176082">
              <w:rPr>
                <w:b/>
                <w:bCs/>
              </w:rPr>
              <w:t>26/27</w:t>
            </w:r>
          </w:p>
          <w:p w14:paraId="40325502" w14:textId="403A1FF8" w:rsidR="00280EAB" w:rsidRPr="00176082" w:rsidRDefault="00280EAB" w:rsidP="00280EAB">
            <w:pPr>
              <w:pStyle w:val="Default"/>
              <w:jc w:val="center"/>
              <w:rPr>
                <w:b/>
                <w:bCs/>
              </w:rPr>
            </w:pPr>
            <w:r>
              <w:rPr>
                <w:b/>
                <w:bCs/>
              </w:rPr>
              <w:t>£m</w:t>
            </w:r>
          </w:p>
        </w:tc>
        <w:tc>
          <w:tcPr>
            <w:tcW w:w="1117" w:type="dxa"/>
            <w:tcBorders>
              <w:bottom w:val="single" w:sz="4" w:space="0" w:color="auto"/>
            </w:tcBorders>
          </w:tcPr>
          <w:p w14:paraId="61BD4033" w14:textId="77777777" w:rsidR="00280EAB" w:rsidRDefault="00280EAB" w:rsidP="00280EAB">
            <w:pPr>
              <w:pStyle w:val="Default"/>
              <w:jc w:val="center"/>
              <w:rPr>
                <w:b/>
                <w:bCs/>
              </w:rPr>
            </w:pPr>
            <w:r w:rsidRPr="00176082">
              <w:rPr>
                <w:b/>
                <w:bCs/>
              </w:rPr>
              <w:t>27/28</w:t>
            </w:r>
          </w:p>
          <w:p w14:paraId="5DC1D81F" w14:textId="3454CFC0" w:rsidR="00280EAB" w:rsidRPr="00176082" w:rsidRDefault="00280EAB" w:rsidP="00280EAB">
            <w:pPr>
              <w:pStyle w:val="Default"/>
              <w:jc w:val="center"/>
              <w:rPr>
                <w:b/>
                <w:bCs/>
              </w:rPr>
            </w:pPr>
            <w:r>
              <w:rPr>
                <w:b/>
                <w:bCs/>
              </w:rPr>
              <w:t>£m</w:t>
            </w:r>
          </w:p>
        </w:tc>
        <w:tc>
          <w:tcPr>
            <w:tcW w:w="1117" w:type="dxa"/>
            <w:tcBorders>
              <w:bottom w:val="single" w:sz="4" w:space="0" w:color="auto"/>
            </w:tcBorders>
          </w:tcPr>
          <w:p w14:paraId="4ADB6150" w14:textId="77777777" w:rsidR="00280EAB" w:rsidRDefault="00280EAB" w:rsidP="00280EAB">
            <w:pPr>
              <w:pStyle w:val="Default"/>
              <w:jc w:val="center"/>
              <w:rPr>
                <w:b/>
                <w:bCs/>
              </w:rPr>
            </w:pPr>
            <w:r w:rsidRPr="00176082">
              <w:rPr>
                <w:b/>
                <w:bCs/>
              </w:rPr>
              <w:t>28/29</w:t>
            </w:r>
          </w:p>
          <w:p w14:paraId="6E93C837" w14:textId="5D31127A" w:rsidR="00280EAB" w:rsidRPr="00176082" w:rsidRDefault="00280EAB" w:rsidP="00280EAB">
            <w:pPr>
              <w:pStyle w:val="Default"/>
              <w:jc w:val="center"/>
              <w:rPr>
                <w:b/>
                <w:bCs/>
              </w:rPr>
            </w:pPr>
            <w:r>
              <w:rPr>
                <w:b/>
                <w:bCs/>
              </w:rPr>
              <w:t>£m</w:t>
            </w:r>
          </w:p>
        </w:tc>
        <w:tc>
          <w:tcPr>
            <w:tcW w:w="1117" w:type="dxa"/>
            <w:tcBorders>
              <w:bottom w:val="single" w:sz="4" w:space="0" w:color="auto"/>
            </w:tcBorders>
          </w:tcPr>
          <w:p w14:paraId="6A2DDC52" w14:textId="62B8C821" w:rsidR="00280EAB" w:rsidRDefault="00280EAB" w:rsidP="00280EAB">
            <w:pPr>
              <w:pStyle w:val="Default"/>
              <w:jc w:val="center"/>
              <w:rPr>
                <w:b/>
                <w:bCs/>
              </w:rPr>
            </w:pPr>
            <w:r>
              <w:rPr>
                <w:b/>
                <w:bCs/>
              </w:rPr>
              <w:t>29</w:t>
            </w:r>
            <w:r w:rsidRPr="00176082">
              <w:rPr>
                <w:b/>
                <w:bCs/>
              </w:rPr>
              <w:t>/</w:t>
            </w:r>
            <w:r>
              <w:rPr>
                <w:b/>
                <w:bCs/>
              </w:rPr>
              <w:t>30</w:t>
            </w:r>
          </w:p>
          <w:p w14:paraId="3903A09F" w14:textId="7C6A2342" w:rsidR="00280EAB" w:rsidRPr="00176082" w:rsidRDefault="00280EAB" w:rsidP="00280EAB">
            <w:pPr>
              <w:pStyle w:val="Default"/>
              <w:jc w:val="center"/>
              <w:rPr>
                <w:b/>
                <w:bCs/>
              </w:rPr>
            </w:pPr>
            <w:r>
              <w:rPr>
                <w:b/>
                <w:bCs/>
              </w:rPr>
              <w:t>£m</w:t>
            </w:r>
          </w:p>
        </w:tc>
      </w:tr>
      <w:tr w:rsidR="00861594" w:rsidRPr="004B670F" w14:paraId="7F5441A6" w14:textId="77777777" w:rsidTr="004D0DDB">
        <w:tc>
          <w:tcPr>
            <w:tcW w:w="2932" w:type="dxa"/>
            <w:tcMar>
              <w:top w:w="0" w:type="dxa"/>
              <w:left w:w="108" w:type="dxa"/>
              <w:bottom w:w="0" w:type="dxa"/>
              <w:right w:w="108" w:type="dxa"/>
            </w:tcMar>
            <w:vAlign w:val="center"/>
          </w:tcPr>
          <w:p w14:paraId="394B880F" w14:textId="1ABFC089" w:rsidR="00861594" w:rsidRPr="004530BE" w:rsidRDefault="00861594" w:rsidP="00861594">
            <w:pPr>
              <w:pStyle w:val="Default"/>
              <w:ind w:right="177"/>
            </w:pPr>
            <w:r>
              <w:t>Base Budget</w:t>
            </w:r>
          </w:p>
        </w:tc>
        <w:tc>
          <w:tcPr>
            <w:tcW w:w="1117" w:type="dxa"/>
            <w:tcBorders>
              <w:top w:val="single" w:sz="4" w:space="0" w:color="auto"/>
              <w:left w:val="nil"/>
              <w:bottom w:val="single" w:sz="4" w:space="0" w:color="auto"/>
              <w:right w:val="single" w:sz="4" w:space="0" w:color="auto"/>
            </w:tcBorders>
            <w:shd w:val="clear" w:color="auto" w:fill="auto"/>
            <w:vAlign w:val="center"/>
          </w:tcPr>
          <w:p w14:paraId="21AF7AC6" w14:textId="34064425" w:rsidR="00861594" w:rsidRDefault="00861594" w:rsidP="00861594">
            <w:pPr>
              <w:pStyle w:val="Default"/>
              <w:ind w:right="177"/>
              <w:jc w:val="right"/>
            </w:pPr>
            <w:r>
              <w:t>75.2</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05B0CE" w14:textId="5CD8DF62" w:rsidR="00861594" w:rsidRDefault="00861594" w:rsidP="00861594">
            <w:pPr>
              <w:pStyle w:val="Default"/>
              <w:ind w:right="177"/>
              <w:jc w:val="right"/>
            </w:pPr>
            <w:r>
              <w:t>77.5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CB57D" w14:textId="722FF0C0" w:rsidR="00861594" w:rsidRDefault="00861594" w:rsidP="00861594">
            <w:pPr>
              <w:pStyle w:val="Default"/>
              <w:ind w:right="177"/>
              <w:jc w:val="right"/>
            </w:pPr>
            <w:r>
              <w:t>79.8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AB5069" w14:textId="455BC6D3" w:rsidR="00861594" w:rsidRDefault="00861594" w:rsidP="00861594">
            <w:pPr>
              <w:pStyle w:val="Default"/>
              <w:ind w:right="177"/>
              <w:jc w:val="right"/>
            </w:pPr>
            <w:r>
              <w:t>82.1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387103" w14:textId="020C3BB4" w:rsidR="00861594" w:rsidRDefault="00861594" w:rsidP="00861594">
            <w:pPr>
              <w:pStyle w:val="Default"/>
              <w:ind w:right="177"/>
              <w:jc w:val="right"/>
            </w:pPr>
            <w:r>
              <w:t>84.3</w:t>
            </w:r>
          </w:p>
        </w:tc>
      </w:tr>
      <w:tr w:rsidR="00861594" w:rsidRPr="004B670F" w14:paraId="7991C1A8" w14:textId="77777777" w:rsidTr="004D0DDB">
        <w:tc>
          <w:tcPr>
            <w:tcW w:w="2932" w:type="dxa"/>
            <w:tcMar>
              <w:top w:w="0" w:type="dxa"/>
              <w:left w:w="108" w:type="dxa"/>
              <w:bottom w:w="0" w:type="dxa"/>
              <w:right w:w="108" w:type="dxa"/>
            </w:tcMar>
            <w:vAlign w:val="center"/>
          </w:tcPr>
          <w:p w14:paraId="5E677B08" w14:textId="5938196F" w:rsidR="00861594" w:rsidRPr="004530BE" w:rsidRDefault="00861594" w:rsidP="00861594">
            <w:pPr>
              <w:pStyle w:val="Default"/>
              <w:ind w:right="177"/>
            </w:pPr>
            <w:r>
              <w:t>Inflation</w:t>
            </w:r>
          </w:p>
        </w:tc>
        <w:tc>
          <w:tcPr>
            <w:tcW w:w="1117" w:type="dxa"/>
            <w:tcBorders>
              <w:top w:val="single" w:sz="4" w:space="0" w:color="auto"/>
              <w:left w:val="nil"/>
              <w:bottom w:val="single" w:sz="4" w:space="0" w:color="auto"/>
              <w:right w:val="single" w:sz="4" w:space="0" w:color="auto"/>
            </w:tcBorders>
            <w:shd w:val="clear" w:color="auto" w:fill="auto"/>
            <w:vAlign w:val="center"/>
          </w:tcPr>
          <w:p w14:paraId="42E7DA51" w14:textId="031DF2C7" w:rsidR="00861594" w:rsidRDefault="00861594" w:rsidP="00861594">
            <w:pPr>
              <w:pStyle w:val="Default"/>
              <w:ind w:right="177"/>
              <w:jc w:val="right"/>
            </w:pPr>
            <w:r>
              <w:t>2.7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AF2B4B" w14:textId="64261A25" w:rsidR="00861594" w:rsidRDefault="00861594" w:rsidP="00861594">
            <w:pPr>
              <w:pStyle w:val="Default"/>
              <w:ind w:right="177"/>
              <w:jc w:val="right"/>
            </w:pPr>
            <w:r>
              <w:t>2.3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1CBC3C" w14:textId="597B41CE" w:rsidR="00861594" w:rsidRDefault="00861594" w:rsidP="00861594">
            <w:pPr>
              <w:pStyle w:val="Default"/>
              <w:ind w:right="177"/>
              <w:jc w:val="right"/>
            </w:pPr>
            <w:r>
              <w:t>1.7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36DF110" w14:textId="36CB2324" w:rsidR="00861594" w:rsidRDefault="00861594" w:rsidP="00861594">
            <w:pPr>
              <w:pStyle w:val="Default"/>
              <w:ind w:right="177"/>
              <w:jc w:val="right"/>
            </w:pPr>
            <w:r>
              <w:t>2.0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C5AD2F" w14:textId="41544A4D" w:rsidR="00861594" w:rsidRDefault="00861594" w:rsidP="00861594">
            <w:pPr>
              <w:pStyle w:val="Default"/>
              <w:ind w:right="177"/>
              <w:jc w:val="right"/>
            </w:pPr>
            <w:r>
              <w:t>1.8</w:t>
            </w:r>
          </w:p>
        </w:tc>
      </w:tr>
      <w:tr w:rsidR="00861594" w:rsidRPr="004B670F" w14:paraId="648FBDC1" w14:textId="77777777" w:rsidTr="004D0DDB">
        <w:tc>
          <w:tcPr>
            <w:tcW w:w="2932" w:type="dxa"/>
            <w:tcMar>
              <w:top w:w="0" w:type="dxa"/>
              <w:left w:w="108" w:type="dxa"/>
              <w:bottom w:w="0" w:type="dxa"/>
              <w:right w:w="108" w:type="dxa"/>
            </w:tcMar>
            <w:vAlign w:val="center"/>
          </w:tcPr>
          <w:p w14:paraId="67BF4536" w14:textId="01BC9D42" w:rsidR="00861594" w:rsidRPr="004530BE" w:rsidRDefault="00861594" w:rsidP="00861594">
            <w:pPr>
              <w:pStyle w:val="Default"/>
              <w:ind w:right="177"/>
            </w:pPr>
            <w:r>
              <w:t xml:space="preserve">Commitments </w:t>
            </w:r>
          </w:p>
        </w:tc>
        <w:tc>
          <w:tcPr>
            <w:tcW w:w="1117" w:type="dxa"/>
            <w:tcBorders>
              <w:top w:val="single" w:sz="4" w:space="0" w:color="auto"/>
              <w:left w:val="nil"/>
              <w:bottom w:val="single" w:sz="4" w:space="0" w:color="auto"/>
              <w:right w:val="single" w:sz="4" w:space="0" w:color="auto"/>
            </w:tcBorders>
            <w:shd w:val="clear" w:color="auto" w:fill="auto"/>
            <w:vAlign w:val="center"/>
          </w:tcPr>
          <w:p w14:paraId="2FCF1A23" w14:textId="4EB500C9" w:rsidR="00861594" w:rsidRDefault="00861594" w:rsidP="00861594">
            <w:pPr>
              <w:pStyle w:val="Default"/>
              <w:ind w:right="177"/>
              <w:jc w:val="right"/>
            </w:pPr>
            <w:r>
              <w:t>(0.7)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2A6B4F" w14:textId="46A8ADC0" w:rsidR="00861594" w:rsidRDefault="00861594" w:rsidP="00861594">
            <w:pPr>
              <w:pStyle w:val="Default"/>
              <w:ind w:right="177"/>
              <w:jc w:val="right"/>
            </w:pPr>
            <w:r>
              <w:t>1.0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3912F" w14:textId="3C8384D6" w:rsidR="00861594" w:rsidRDefault="00861594" w:rsidP="00861594">
            <w:pPr>
              <w:pStyle w:val="Default"/>
              <w:ind w:right="177"/>
              <w:jc w:val="right"/>
            </w:pPr>
            <w:r>
              <w:t>0.6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C5AFF6" w14:textId="3E8E5779" w:rsidR="00861594" w:rsidRDefault="00861594" w:rsidP="00861594">
            <w:pPr>
              <w:pStyle w:val="Default"/>
              <w:ind w:right="177"/>
              <w:jc w:val="right"/>
            </w:pPr>
            <w:r>
              <w:t>0.6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1FC3BD2" w14:textId="2955FCAF" w:rsidR="00861594" w:rsidRDefault="00861594" w:rsidP="00861594">
            <w:pPr>
              <w:pStyle w:val="Default"/>
              <w:ind w:right="177"/>
              <w:jc w:val="right"/>
            </w:pPr>
            <w:r>
              <w:t>(0.3)</w:t>
            </w:r>
          </w:p>
        </w:tc>
      </w:tr>
      <w:tr w:rsidR="00861594" w:rsidRPr="004B670F" w14:paraId="1E12CE93" w14:textId="77777777" w:rsidTr="004D0DDB">
        <w:tc>
          <w:tcPr>
            <w:tcW w:w="2932" w:type="dxa"/>
            <w:tcMar>
              <w:top w:w="0" w:type="dxa"/>
              <w:left w:w="108" w:type="dxa"/>
              <w:bottom w:w="0" w:type="dxa"/>
              <w:right w:w="108" w:type="dxa"/>
            </w:tcMar>
            <w:vAlign w:val="center"/>
          </w:tcPr>
          <w:p w14:paraId="796F867A" w14:textId="19DAA6EB" w:rsidR="00861594" w:rsidRPr="004530BE" w:rsidRDefault="00861594" w:rsidP="00861594">
            <w:pPr>
              <w:pStyle w:val="Default"/>
              <w:ind w:right="177"/>
            </w:pPr>
            <w:r>
              <w:t>Increases in Resourcing</w:t>
            </w:r>
          </w:p>
        </w:tc>
        <w:tc>
          <w:tcPr>
            <w:tcW w:w="1117" w:type="dxa"/>
            <w:tcBorders>
              <w:top w:val="single" w:sz="4" w:space="0" w:color="auto"/>
              <w:left w:val="nil"/>
              <w:bottom w:val="single" w:sz="4" w:space="0" w:color="auto"/>
              <w:right w:val="single" w:sz="4" w:space="0" w:color="auto"/>
            </w:tcBorders>
            <w:shd w:val="clear" w:color="auto" w:fill="auto"/>
            <w:vAlign w:val="center"/>
          </w:tcPr>
          <w:p w14:paraId="4686EFB4" w14:textId="34DE2327" w:rsidR="00861594" w:rsidRDefault="00861594" w:rsidP="00861594">
            <w:pPr>
              <w:pStyle w:val="Default"/>
              <w:ind w:right="177"/>
              <w:jc w:val="right"/>
            </w:pPr>
            <w:r>
              <w:t>0.6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A6B01F" w14:textId="53B5A3BB" w:rsidR="00861594" w:rsidRDefault="00861594" w:rsidP="00861594">
            <w:pPr>
              <w:pStyle w:val="Default"/>
              <w:ind w:right="177"/>
              <w:jc w:val="right"/>
            </w:pPr>
            <w:r>
              <w:t>0.4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F6609" w14:textId="792B85F2" w:rsidR="00861594" w:rsidRDefault="00861594" w:rsidP="00861594">
            <w:pPr>
              <w:pStyle w:val="Default"/>
              <w:ind w:right="177"/>
              <w:jc w:val="right"/>
            </w:pPr>
            <w:r>
              <w:t>1.4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BA39C3" w14:textId="490A0D10" w:rsidR="00861594" w:rsidRDefault="00861594" w:rsidP="00861594">
            <w:pPr>
              <w:pStyle w:val="Default"/>
              <w:ind w:right="177"/>
              <w:jc w:val="right"/>
            </w:pPr>
            <w:r>
              <w:t>1.3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A46ED84" w14:textId="2A339418" w:rsidR="00861594" w:rsidRDefault="00861594" w:rsidP="00861594">
            <w:pPr>
              <w:pStyle w:val="Default"/>
              <w:ind w:right="177"/>
              <w:jc w:val="right"/>
            </w:pPr>
            <w:r>
              <w:t>0.7</w:t>
            </w:r>
          </w:p>
        </w:tc>
      </w:tr>
      <w:tr w:rsidR="00861594" w:rsidRPr="00AA78ED" w14:paraId="580EE2A6" w14:textId="77777777" w:rsidTr="004D0DDB">
        <w:tc>
          <w:tcPr>
            <w:tcW w:w="2932" w:type="dxa"/>
            <w:tcMar>
              <w:top w:w="0" w:type="dxa"/>
              <w:left w:w="108" w:type="dxa"/>
              <w:bottom w:w="0" w:type="dxa"/>
              <w:right w:w="108" w:type="dxa"/>
            </w:tcMar>
            <w:vAlign w:val="center"/>
          </w:tcPr>
          <w:p w14:paraId="528BAD46" w14:textId="54C2AF77" w:rsidR="00861594" w:rsidRPr="00EF6914" w:rsidRDefault="00861594" w:rsidP="00861594">
            <w:pPr>
              <w:pStyle w:val="Default"/>
              <w:ind w:right="177"/>
            </w:pPr>
            <w:r w:rsidRPr="00EF6914">
              <w:t>One-off items</w:t>
            </w:r>
          </w:p>
        </w:tc>
        <w:tc>
          <w:tcPr>
            <w:tcW w:w="1117" w:type="dxa"/>
            <w:tcBorders>
              <w:top w:val="single" w:sz="4" w:space="0" w:color="auto"/>
              <w:left w:val="nil"/>
              <w:bottom w:val="single" w:sz="4" w:space="0" w:color="auto"/>
              <w:right w:val="single" w:sz="4" w:space="0" w:color="auto"/>
            </w:tcBorders>
            <w:shd w:val="clear" w:color="auto" w:fill="auto"/>
            <w:vAlign w:val="center"/>
          </w:tcPr>
          <w:p w14:paraId="53834865" w14:textId="7EA378FA" w:rsidR="00861594" w:rsidRPr="00AA78ED" w:rsidRDefault="00861594" w:rsidP="00861594">
            <w:pPr>
              <w:pStyle w:val="Default"/>
              <w:ind w:right="177"/>
              <w:jc w:val="right"/>
              <w:rPr>
                <w:b/>
                <w:bCs/>
              </w:rPr>
            </w:pPr>
            <w:r>
              <w:t>0.1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7D2F18" w14:textId="21B0377A" w:rsidR="00861594" w:rsidRPr="00AA78ED" w:rsidRDefault="00861594" w:rsidP="00861594">
            <w:pPr>
              <w:pStyle w:val="Default"/>
              <w:ind w:right="177"/>
              <w:jc w:val="right"/>
              <w:rPr>
                <w:b/>
                <w:bCs/>
              </w:rPr>
            </w:pPr>
            <w:r>
              <w:t>(0.4)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494D8" w14:textId="2465591E" w:rsidR="00861594" w:rsidRPr="00AA78ED" w:rsidRDefault="00861594" w:rsidP="00861594">
            <w:pPr>
              <w:pStyle w:val="Default"/>
              <w:ind w:right="177"/>
              <w:jc w:val="right"/>
              <w:rPr>
                <w:b/>
                <w:bCs/>
              </w:rPr>
            </w:pPr>
            <w: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4EF651" w14:textId="4F9A798E" w:rsidR="00861594" w:rsidRPr="00AA78ED" w:rsidRDefault="00861594" w:rsidP="00861594">
            <w:pPr>
              <w:pStyle w:val="Default"/>
              <w:ind w:right="177"/>
              <w:jc w:val="right"/>
              <w:rPr>
                <w:b/>
                <w:bCs/>
              </w:rPr>
            </w:pPr>
            <w:r>
              <w:t>(0.2)</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4C3EB8" w14:textId="5C152D9A" w:rsidR="00861594" w:rsidRPr="00AA78ED" w:rsidRDefault="00861594" w:rsidP="00861594">
            <w:pPr>
              <w:pStyle w:val="Default"/>
              <w:ind w:right="177"/>
              <w:jc w:val="right"/>
              <w:rPr>
                <w:b/>
                <w:bCs/>
              </w:rPr>
            </w:pPr>
            <w:r>
              <w:t>0.6</w:t>
            </w:r>
          </w:p>
        </w:tc>
      </w:tr>
      <w:tr w:rsidR="00861594" w:rsidRPr="00AA78ED" w14:paraId="4F738937" w14:textId="77777777" w:rsidTr="004D0DDB">
        <w:tc>
          <w:tcPr>
            <w:tcW w:w="2932" w:type="dxa"/>
            <w:tcMar>
              <w:top w:w="0" w:type="dxa"/>
              <w:left w:w="108" w:type="dxa"/>
              <w:bottom w:w="0" w:type="dxa"/>
              <w:right w:w="108" w:type="dxa"/>
            </w:tcMar>
            <w:vAlign w:val="center"/>
          </w:tcPr>
          <w:p w14:paraId="4E19D0EC" w14:textId="02EB2C93" w:rsidR="00861594" w:rsidRPr="00EF6914" w:rsidRDefault="00861594" w:rsidP="00861594">
            <w:pPr>
              <w:pStyle w:val="Default"/>
              <w:ind w:right="177"/>
            </w:pPr>
            <w:r>
              <w:t>Decreases in Resourcing</w:t>
            </w:r>
          </w:p>
        </w:tc>
        <w:tc>
          <w:tcPr>
            <w:tcW w:w="1117" w:type="dxa"/>
            <w:tcBorders>
              <w:top w:val="single" w:sz="4" w:space="0" w:color="auto"/>
              <w:left w:val="nil"/>
              <w:bottom w:val="single" w:sz="4" w:space="0" w:color="auto"/>
              <w:right w:val="single" w:sz="4" w:space="0" w:color="auto"/>
            </w:tcBorders>
            <w:shd w:val="clear" w:color="auto" w:fill="auto"/>
            <w:vAlign w:val="center"/>
          </w:tcPr>
          <w:p w14:paraId="4F70C6AC" w14:textId="502808B5" w:rsidR="00861594" w:rsidRPr="00AA78ED" w:rsidRDefault="00861594" w:rsidP="00861594">
            <w:pPr>
              <w:pStyle w:val="Default"/>
              <w:ind w:right="177"/>
              <w:jc w:val="right"/>
              <w:rPr>
                <w:b/>
                <w:bCs/>
              </w:rPr>
            </w:pPr>
            <w:r>
              <w:t>(0.5)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82A5A1" w14:textId="5B62E7FF" w:rsidR="00861594" w:rsidRPr="00AA78ED" w:rsidRDefault="00861594" w:rsidP="00861594">
            <w:pPr>
              <w:pStyle w:val="Default"/>
              <w:ind w:right="177"/>
              <w:jc w:val="right"/>
              <w:rPr>
                <w:b/>
                <w:bCs/>
              </w:rPr>
            </w:pPr>
            <w:r>
              <w:t>(1.0)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18CF9B" w14:textId="2F66872F" w:rsidR="00861594" w:rsidRPr="00AA78ED" w:rsidRDefault="00861594" w:rsidP="00861594">
            <w:pPr>
              <w:pStyle w:val="Default"/>
              <w:ind w:right="177"/>
              <w:jc w:val="right"/>
              <w:rPr>
                <w:b/>
                <w:bCs/>
              </w:rPr>
            </w:pPr>
            <w:r>
              <w:t>(1.5)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E1370A" w14:textId="0475D7D3" w:rsidR="00861594" w:rsidRPr="00AA78ED" w:rsidRDefault="00861594" w:rsidP="00861594">
            <w:pPr>
              <w:pStyle w:val="Default"/>
              <w:ind w:right="177"/>
              <w:jc w:val="right"/>
              <w:rPr>
                <w:b/>
                <w:bCs/>
              </w:rPr>
            </w:pPr>
            <w:r>
              <w:t>(1.5)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094A49" w14:textId="799805A3" w:rsidR="00861594" w:rsidRPr="00AA78ED" w:rsidRDefault="00861594" w:rsidP="00861594">
            <w:pPr>
              <w:pStyle w:val="Default"/>
              <w:ind w:right="177"/>
              <w:jc w:val="right"/>
              <w:rPr>
                <w:b/>
                <w:bCs/>
              </w:rPr>
            </w:pPr>
            <w:r>
              <w:t>(0.5)</w:t>
            </w:r>
          </w:p>
        </w:tc>
      </w:tr>
      <w:tr w:rsidR="00861594" w:rsidRPr="00176082" w14:paraId="7A323837" w14:textId="77777777" w:rsidTr="004D0DDB">
        <w:tc>
          <w:tcPr>
            <w:tcW w:w="2932" w:type="dxa"/>
            <w:tcBorders>
              <w:bottom w:val="single" w:sz="4" w:space="0" w:color="auto"/>
            </w:tcBorders>
            <w:tcMar>
              <w:top w:w="0" w:type="dxa"/>
              <w:left w:w="108" w:type="dxa"/>
              <w:bottom w:w="0" w:type="dxa"/>
              <w:right w:w="108" w:type="dxa"/>
            </w:tcMar>
            <w:vAlign w:val="center"/>
          </w:tcPr>
          <w:p w14:paraId="1E63F3C0" w14:textId="4E6A1B4B" w:rsidR="00861594" w:rsidRPr="00176082" w:rsidRDefault="00861594" w:rsidP="00861594">
            <w:pPr>
              <w:pStyle w:val="Default"/>
              <w:ind w:right="177"/>
              <w:rPr>
                <w:b/>
                <w:bCs/>
              </w:rPr>
            </w:pPr>
            <w:r w:rsidRPr="00B661E4">
              <w:rPr>
                <w:b/>
                <w:bCs/>
              </w:rPr>
              <w:t>Net Budget</w:t>
            </w:r>
          </w:p>
        </w:tc>
        <w:tc>
          <w:tcPr>
            <w:tcW w:w="1117" w:type="dxa"/>
            <w:tcBorders>
              <w:top w:val="single" w:sz="4" w:space="0" w:color="auto"/>
              <w:left w:val="nil"/>
              <w:bottom w:val="single" w:sz="4" w:space="0" w:color="auto"/>
              <w:right w:val="single" w:sz="4" w:space="0" w:color="auto"/>
            </w:tcBorders>
            <w:shd w:val="clear" w:color="auto" w:fill="auto"/>
            <w:vAlign w:val="center"/>
          </w:tcPr>
          <w:p w14:paraId="7B8ACE62" w14:textId="742CE969" w:rsidR="00861594" w:rsidRPr="00176082" w:rsidRDefault="00861594" w:rsidP="00861594">
            <w:pPr>
              <w:pStyle w:val="Default"/>
              <w:ind w:right="177"/>
              <w:jc w:val="right"/>
              <w:rPr>
                <w:b/>
                <w:bCs/>
              </w:rPr>
            </w:pPr>
            <w:r>
              <w:rPr>
                <w:b/>
                <w:bCs/>
              </w:rPr>
              <w:t>77.5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1C8A4D" w14:textId="6BB527F1" w:rsidR="00861594" w:rsidRPr="00176082" w:rsidRDefault="00861594" w:rsidP="00861594">
            <w:pPr>
              <w:pStyle w:val="Default"/>
              <w:ind w:right="177"/>
              <w:jc w:val="right"/>
              <w:rPr>
                <w:b/>
                <w:bCs/>
              </w:rPr>
            </w:pPr>
            <w:r>
              <w:rPr>
                <w:b/>
                <w:bCs/>
              </w:rPr>
              <w:t>79.8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F279D3" w14:textId="2A061786" w:rsidR="00861594" w:rsidRPr="00176082" w:rsidRDefault="00861594" w:rsidP="00861594">
            <w:pPr>
              <w:pStyle w:val="Default"/>
              <w:ind w:right="177"/>
              <w:jc w:val="right"/>
              <w:rPr>
                <w:b/>
                <w:bCs/>
              </w:rPr>
            </w:pPr>
            <w:r>
              <w:rPr>
                <w:b/>
                <w:bCs/>
              </w:rPr>
              <w:t>82.1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862ED" w14:textId="7CD88B65" w:rsidR="00861594" w:rsidRPr="00176082" w:rsidRDefault="00861594" w:rsidP="00861594">
            <w:pPr>
              <w:pStyle w:val="Default"/>
              <w:ind w:right="177"/>
              <w:jc w:val="right"/>
              <w:rPr>
                <w:b/>
                <w:bCs/>
              </w:rPr>
            </w:pPr>
            <w:r>
              <w:rPr>
                <w:b/>
                <w:bCs/>
              </w:rPr>
              <w:t>84.3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37FEAE" w14:textId="3A7986FA" w:rsidR="00861594" w:rsidRPr="00176082" w:rsidRDefault="00861594" w:rsidP="00861594">
            <w:pPr>
              <w:pStyle w:val="Default"/>
              <w:ind w:right="177"/>
              <w:jc w:val="right"/>
              <w:rPr>
                <w:b/>
                <w:bCs/>
              </w:rPr>
            </w:pPr>
            <w:r>
              <w:rPr>
                <w:b/>
                <w:bCs/>
              </w:rPr>
              <w:t>86.6</w:t>
            </w:r>
          </w:p>
        </w:tc>
      </w:tr>
      <w:tr w:rsidR="00861594" w:rsidRPr="00AA78ED" w14:paraId="0392F651" w14:textId="77777777" w:rsidTr="004D0DDB">
        <w:tc>
          <w:tcPr>
            <w:tcW w:w="2932" w:type="dxa"/>
            <w:tcBorders>
              <w:left w:val="nil"/>
              <w:bottom w:val="single" w:sz="4" w:space="0" w:color="auto"/>
              <w:right w:val="single" w:sz="4" w:space="0" w:color="auto"/>
            </w:tcBorders>
            <w:tcMar>
              <w:top w:w="0" w:type="dxa"/>
              <w:left w:w="108" w:type="dxa"/>
              <w:bottom w:w="0" w:type="dxa"/>
              <w:right w:w="108" w:type="dxa"/>
            </w:tcMar>
            <w:vAlign w:val="center"/>
          </w:tcPr>
          <w:p w14:paraId="73A3A278" w14:textId="77777777" w:rsidR="00861594" w:rsidRPr="00EF6914" w:rsidRDefault="00861594" w:rsidP="00861594">
            <w:pPr>
              <w:pStyle w:val="Default"/>
              <w:ind w:right="177"/>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9CC59C" w14:textId="77777777" w:rsidR="00861594" w:rsidRPr="00AA78ED" w:rsidRDefault="00861594" w:rsidP="00861594">
            <w:pPr>
              <w:pStyle w:val="Default"/>
              <w:ind w:right="177"/>
              <w:jc w:val="right"/>
              <w:rPr>
                <w:b/>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55E0CB" w14:textId="77777777" w:rsidR="00861594" w:rsidRPr="00AA78ED" w:rsidRDefault="00861594" w:rsidP="00861594">
            <w:pPr>
              <w:pStyle w:val="Default"/>
              <w:ind w:right="177"/>
              <w:jc w:val="right"/>
              <w:rPr>
                <w:b/>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9D8D88" w14:textId="77777777" w:rsidR="00861594" w:rsidRPr="00AA78ED" w:rsidRDefault="00861594" w:rsidP="00861594">
            <w:pPr>
              <w:pStyle w:val="Default"/>
              <w:ind w:right="177"/>
              <w:jc w:val="right"/>
              <w:rPr>
                <w:b/>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4B86AD" w14:textId="77777777" w:rsidR="00861594" w:rsidRPr="00AA78ED" w:rsidRDefault="00861594" w:rsidP="00861594">
            <w:pPr>
              <w:pStyle w:val="Default"/>
              <w:ind w:right="177"/>
              <w:jc w:val="right"/>
              <w:rPr>
                <w:b/>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C7A86D1" w14:textId="77777777" w:rsidR="00861594" w:rsidRPr="00AA78ED" w:rsidRDefault="00861594" w:rsidP="00861594">
            <w:pPr>
              <w:pStyle w:val="Default"/>
              <w:ind w:right="177"/>
              <w:jc w:val="right"/>
              <w:rPr>
                <w:b/>
                <w:bCs/>
              </w:rPr>
            </w:pPr>
          </w:p>
        </w:tc>
      </w:tr>
      <w:tr w:rsidR="00861594" w:rsidRPr="00BC5DC8" w14:paraId="75D03263" w14:textId="77777777" w:rsidTr="004D0DDB">
        <w:tc>
          <w:tcPr>
            <w:tcW w:w="2932" w:type="dxa"/>
            <w:tcMar>
              <w:top w:w="0" w:type="dxa"/>
              <w:left w:w="108" w:type="dxa"/>
              <w:bottom w:w="0" w:type="dxa"/>
              <w:right w:w="108" w:type="dxa"/>
            </w:tcMar>
            <w:vAlign w:val="center"/>
          </w:tcPr>
          <w:p w14:paraId="3800349A" w14:textId="6E53EFB2" w:rsidR="00861594" w:rsidRPr="00BC5DC8" w:rsidRDefault="00861594" w:rsidP="00861594">
            <w:pPr>
              <w:pStyle w:val="Default"/>
              <w:ind w:right="177"/>
            </w:pPr>
            <w:r w:rsidRPr="00BC5DC8">
              <w:t>Council Tax</w:t>
            </w:r>
          </w:p>
        </w:tc>
        <w:tc>
          <w:tcPr>
            <w:tcW w:w="1117" w:type="dxa"/>
            <w:tcBorders>
              <w:top w:val="single" w:sz="4" w:space="0" w:color="auto"/>
              <w:left w:val="nil"/>
              <w:bottom w:val="single" w:sz="4" w:space="0" w:color="auto"/>
              <w:right w:val="single" w:sz="4" w:space="0" w:color="auto"/>
            </w:tcBorders>
            <w:shd w:val="clear" w:color="auto" w:fill="auto"/>
            <w:vAlign w:val="center"/>
          </w:tcPr>
          <w:p w14:paraId="7AEED41B" w14:textId="0F0D11ED" w:rsidR="00861594" w:rsidRPr="00BC5DC8" w:rsidRDefault="00861594" w:rsidP="00861594">
            <w:pPr>
              <w:pStyle w:val="Default"/>
              <w:ind w:right="177"/>
              <w:jc w:val="right"/>
            </w:pPr>
            <w:r>
              <w:t>(42.3)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4BF9AF" w14:textId="47CBA227" w:rsidR="00861594" w:rsidRPr="00BC5DC8" w:rsidRDefault="00861594" w:rsidP="00861594">
            <w:pPr>
              <w:pStyle w:val="Default"/>
              <w:ind w:right="177"/>
              <w:jc w:val="right"/>
            </w:pPr>
            <w:r>
              <w:t>(43.8)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8B67B5F" w14:textId="4D9CF96B" w:rsidR="00861594" w:rsidRPr="00BC5DC8" w:rsidRDefault="00861594" w:rsidP="00861594">
            <w:pPr>
              <w:pStyle w:val="Default"/>
              <w:ind w:right="177"/>
              <w:jc w:val="right"/>
            </w:pPr>
            <w:r>
              <w:t>(45.5)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7F2B0" w14:textId="5CB36B58" w:rsidR="00861594" w:rsidRPr="00BC5DC8" w:rsidRDefault="00861594" w:rsidP="00861594">
            <w:pPr>
              <w:pStyle w:val="Default"/>
              <w:ind w:right="177"/>
              <w:jc w:val="right"/>
            </w:pPr>
            <w:r>
              <w:t>(46.9)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15F120" w14:textId="661FAFFF" w:rsidR="00861594" w:rsidRPr="00BC5DC8" w:rsidRDefault="00861594" w:rsidP="00861594">
            <w:pPr>
              <w:pStyle w:val="Default"/>
              <w:ind w:right="177"/>
              <w:jc w:val="right"/>
            </w:pPr>
            <w:r>
              <w:t>(48.4)</w:t>
            </w:r>
          </w:p>
        </w:tc>
      </w:tr>
      <w:tr w:rsidR="00861594" w:rsidRPr="00AA78ED" w14:paraId="79B40A0A" w14:textId="77777777" w:rsidTr="004D0DDB">
        <w:tc>
          <w:tcPr>
            <w:tcW w:w="2932" w:type="dxa"/>
            <w:tcMar>
              <w:top w:w="0" w:type="dxa"/>
              <w:left w:w="108" w:type="dxa"/>
              <w:bottom w:w="0" w:type="dxa"/>
              <w:right w:w="108" w:type="dxa"/>
            </w:tcMar>
            <w:vAlign w:val="center"/>
          </w:tcPr>
          <w:p w14:paraId="4F29F108" w14:textId="07D0BBEE" w:rsidR="00861594" w:rsidRPr="00AA78ED" w:rsidRDefault="00861594" w:rsidP="00861594">
            <w:pPr>
              <w:pStyle w:val="Default"/>
              <w:ind w:right="177"/>
              <w:rPr>
                <w:b/>
                <w:bCs/>
              </w:rPr>
            </w:pPr>
            <w:r>
              <w:t>Business Rates</w:t>
            </w:r>
          </w:p>
        </w:tc>
        <w:tc>
          <w:tcPr>
            <w:tcW w:w="1117" w:type="dxa"/>
            <w:tcBorders>
              <w:top w:val="single" w:sz="4" w:space="0" w:color="auto"/>
              <w:left w:val="nil"/>
              <w:bottom w:val="single" w:sz="4" w:space="0" w:color="auto"/>
              <w:right w:val="single" w:sz="4" w:space="0" w:color="auto"/>
            </w:tcBorders>
            <w:shd w:val="clear" w:color="auto" w:fill="auto"/>
            <w:vAlign w:val="center"/>
          </w:tcPr>
          <w:p w14:paraId="17109D7F" w14:textId="38C586F6" w:rsidR="00861594" w:rsidRPr="00AA78ED" w:rsidRDefault="00861594" w:rsidP="00861594">
            <w:pPr>
              <w:pStyle w:val="Default"/>
              <w:ind w:right="177"/>
              <w:jc w:val="right"/>
              <w:rPr>
                <w:b/>
                <w:bCs/>
              </w:rPr>
            </w:pPr>
            <w:r>
              <w:t>(21.6)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76BF97" w14:textId="3EC28EE2" w:rsidR="00861594" w:rsidRPr="00AA78ED" w:rsidRDefault="00861594" w:rsidP="00861594">
            <w:pPr>
              <w:pStyle w:val="Default"/>
              <w:ind w:right="177"/>
              <w:jc w:val="right"/>
              <w:rPr>
                <w:b/>
                <w:bCs/>
              </w:rPr>
            </w:pPr>
            <w:r>
              <w:t>(22.1)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A0F560" w14:textId="44C2D58B" w:rsidR="00861594" w:rsidRPr="00AA78ED" w:rsidRDefault="00861594" w:rsidP="00861594">
            <w:pPr>
              <w:pStyle w:val="Default"/>
              <w:ind w:right="177"/>
              <w:jc w:val="right"/>
              <w:rPr>
                <w:b/>
                <w:bCs/>
              </w:rPr>
            </w:pPr>
            <w:r>
              <w:t>(22.5)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F21E8C" w14:textId="35B1C46C" w:rsidR="00861594" w:rsidRPr="00AA78ED" w:rsidRDefault="00861594" w:rsidP="00861594">
            <w:pPr>
              <w:pStyle w:val="Default"/>
              <w:ind w:right="177"/>
              <w:jc w:val="right"/>
              <w:rPr>
                <w:b/>
                <w:bCs/>
              </w:rPr>
            </w:pPr>
            <w:r>
              <w:t>(22.9)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8A9CF3" w14:textId="66BA3937" w:rsidR="00861594" w:rsidRPr="00AA78ED" w:rsidRDefault="00861594" w:rsidP="00861594">
            <w:pPr>
              <w:pStyle w:val="Default"/>
              <w:ind w:right="177"/>
              <w:jc w:val="right"/>
              <w:rPr>
                <w:b/>
                <w:bCs/>
              </w:rPr>
            </w:pPr>
            <w:r>
              <w:t>(23.4)</w:t>
            </w:r>
          </w:p>
        </w:tc>
      </w:tr>
      <w:tr w:rsidR="00861594" w:rsidRPr="00AA78ED" w14:paraId="5EBD4636" w14:textId="77777777" w:rsidTr="004D0DDB">
        <w:tc>
          <w:tcPr>
            <w:tcW w:w="2932" w:type="dxa"/>
            <w:tcMar>
              <w:top w:w="0" w:type="dxa"/>
              <w:left w:w="108" w:type="dxa"/>
              <w:bottom w:w="0" w:type="dxa"/>
              <w:right w:w="108" w:type="dxa"/>
            </w:tcMar>
            <w:vAlign w:val="center"/>
          </w:tcPr>
          <w:p w14:paraId="0AF213E7" w14:textId="0E47D452" w:rsidR="00861594" w:rsidRPr="00AA78ED" w:rsidRDefault="00861594" w:rsidP="00861594">
            <w:pPr>
              <w:pStyle w:val="Default"/>
              <w:ind w:right="177"/>
              <w:rPr>
                <w:b/>
                <w:bCs/>
              </w:rPr>
            </w:pPr>
            <w:r>
              <w:t>Revenue Support Grant</w:t>
            </w:r>
          </w:p>
        </w:tc>
        <w:tc>
          <w:tcPr>
            <w:tcW w:w="1117" w:type="dxa"/>
            <w:tcBorders>
              <w:top w:val="single" w:sz="4" w:space="0" w:color="auto"/>
              <w:left w:val="nil"/>
              <w:bottom w:val="single" w:sz="4" w:space="0" w:color="auto"/>
              <w:right w:val="single" w:sz="4" w:space="0" w:color="auto"/>
            </w:tcBorders>
            <w:shd w:val="clear" w:color="auto" w:fill="auto"/>
            <w:vAlign w:val="center"/>
          </w:tcPr>
          <w:p w14:paraId="03F2388C" w14:textId="43FAA75E" w:rsidR="00861594" w:rsidRPr="00AA78ED" w:rsidRDefault="00861594" w:rsidP="00861594">
            <w:pPr>
              <w:pStyle w:val="Default"/>
              <w:ind w:right="177"/>
              <w:jc w:val="right"/>
              <w:rPr>
                <w:b/>
                <w:bCs/>
              </w:rPr>
            </w:pPr>
            <w:r>
              <w:t>(13.7)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700C1A" w14:textId="7987EDD6" w:rsidR="00861594" w:rsidRPr="00AA78ED" w:rsidRDefault="00861594" w:rsidP="00861594">
            <w:pPr>
              <w:pStyle w:val="Default"/>
              <w:ind w:right="177"/>
              <w:jc w:val="right"/>
              <w:rPr>
                <w:b/>
                <w:bCs/>
              </w:rPr>
            </w:pPr>
            <w:r>
              <w:t>(13.9)</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8D38F5" w14:textId="44F36124" w:rsidR="00861594" w:rsidRPr="00AA78ED" w:rsidRDefault="00861594" w:rsidP="00861594">
            <w:pPr>
              <w:pStyle w:val="Default"/>
              <w:ind w:right="177"/>
              <w:jc w:val="right"/>
              <w:rPr>
                <w:b/>
                <w:bCs/>
              </w:rPr>
            </w:pPr>
            <w:r>
              <w:t>(14.2)</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CEDE0D" w14:textId="545193B8" w:rsidR="00861594" w:rsidRPr="00AA78ED" w:rsidRDefault="00861594" w:rsidP="00861594">
            <w:pPr>
              <w:pStyle w:val="Default"/>
              <w:ind w:right="177"/>
              <w:jc w:val="right"/>
              <w:rPr>
                <w:b/>
                <w:bCs/>
              </w:rPr>
            </w:pPr>
            <w:r>
              <w:t>(14.4)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298AC4" w14:textId="134F33CD" w:rsidR="00861594" w:rsidRPr="00AA78ED" w:rsidRDefault="00861594" w:rsidP="00861594">
            <w:pPr>
              <w:pStyle w:val="Default"/>
              <w:ind w:right="177"/>
              <w:jc w:val="right"/>
              <w:rPr>
                <w:b/>
                <w:bCs/>
              </w:rPr>
            </w:pPr>
            <w:r>
              <w:t>(14.7)</w:t>
            </w:r>
          </w:p>
        </w:tc>
      </w:tr>
      <w:tr w:rsidR="00861594" w:rsidRPr="00AA78ED" w14:paraId="540B41AF" w14:textId="77777777" w:rsidTr="004D0DDB">
        <w:tc>
          <w:tcPr>
            <w:tcW w:w="2932" w:type="dxa"/>
            <w:tcMar>
              <w:top w:w="0" w:type="dxa"/>
              <w:left w:w="108" w:type="dxa"/>
              <w:bottom w:w="0" w:type="dxa"/>
              <w:right w:w="108" w:type="dxa"/>
            </w:tcMar>
            <w:vAlign w:val="center"/>
          </w:tcPr>
          <w:p w14:paraId="1E3B6A9F" w14:textId="515EA367" w:rsidR="00861594" w:rsidRPr="00AA78ED" w:rsidRDefault="00861594" w:rsidP="00861594">
            <w:pPr>
              <w:pStyle w:val="Default"/>
              <w:ind w:right="177"/>
              <w:rPr>
                <w:b/>
                <w:bCs/>
              </w:rPr>
            </w:pPr>
            <w:r>
              <w:t>Other Grants</w:t>
            </w:r>
          </w:p>
        </w:tc>
        <w:tc>
          <w:tcPr>
            <w:tcW w:w="1117" w:type="dxa"/>
            <w:tcBorders>
              <w:top w:val="single" w:sz="4" w:space="0" w:color="auto"/>
              <w:left w:val="nil"/>
              <w:bottom w:val="single" w:sz="4" w:space="0" w:color="auto"/>
              <w:right w:val="single" w:sz="4" w:space="0" w:color="auto"/>
            </w:tcBorders>
            <w:shd w:val="clear" w:color="auto" w:fill="auto"/>
            <w:vAlign w:val="center"/>
          </w:tcPr>
          <w:p w14:paraId="687629E7" w14:textId="1C475396" w:rsidR="00861594" w:rsidRPr="00AA78ED" w:rsidRDefault="00861594" w:rsidP="00861594">
            <w:pPr>
              <w:pStyle w:val="Default"/>
              <w:ind w:right="177"/>
              <w:jc w:val="right"/>
              <w:rPr>
                <w:b/>
                <w:bCs/>
              </w:rPr>
            </w:pPr>
            <w: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328273" w14:textId="7D274F23" w:rsidR="00861594" w:rsidRPr="00AA78ED" w:rsidRDefault="00861594" w:rsidP="00861594">
            <w:pPr>
              <w:pStyle w:val="Default"/>
              <w:ind w:right="177"/>
              <w:jc w:val="right"/>
              <w:rPr>
                <w:b/>
                <w:bCs/>
              </w:rPr>
            </w:pPr>
            <w: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C32F18" w14:textId="5DEA3080" w:rsidR="00861594" w:rsidRPr="00AA78ED" w:rsidRDefault="00861594" w:rsidP="00861594">
            <w:pPr>
              <w:pStyle w:val="Default"/>
              <w:ind w:right="177"/>
              <w:jc w:val="right"/>
              <w:rPr>
                <w:b/>
                <w:bCs/>
              </w:rPr>
            </w:pPr>
            <w: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F2AA33" w14:textId="29B80DB8" w:rsidR="00861594" w:rsidRPr="00AA78ED" w:rsidRDefault="00861594" w:rsidP="00861594">
            <w:pPr>
              <w:pStyle w:val="Default"/>
              <w:ind w:right="177"/>
              <w:jc w:val="right"/>
              <w:rPr>
                <w:b/>
                <w:bCs/>
              </w:rPr>
            </w:pPr>
            <w:r>
              <w:t>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783162" w14:textId="4B5BE5E3" w:rsidR="00861594" w:rsidRPr="00AA78ED" w:rsidRDefault="00861594" w:rsidP="00861594">
            <w:pPr>
              <w:pStyle w:val="Default"/>
              <w:ind w:right="177"/>
              <w:jc w:val="right"/>
              <w:rPr>
                <w:b/>
                <w:bCs/>
              </w:rPr>
            </w:pPr>
            <w:r>
              <w:t>0.0</w:t>
            </w:r>
          </w:p>
        </w:tc>
      </w:tr>
      <w:tr w:rsidR="00861594" w:rsidRPr="00176082" w14:paraId="581507F9" w14:textId="77777777" w:rsidTr="004D0DDB">
        <w:tc>
          <w:tcPr>
            <w:tcW w:w="2932" w:type="dxa"/>
            <w:tcBorders>
              <w:bottom w:val="single" w:sz="4" w:space="0" w:color="auto"/>
            </w:tcBorders>
            <w:tcMar>
              <w:top w:w="0" w:type="dxa"/>
              <w:left w:w="108" w:type="dxa"/>
              <w:bottom w:w="0" w:type="dxa"/>
              <w:right w:w="108" w:type="dxa"/>
            </w:tcMar>
            <w:vAlign w:val="center"/>
          </w:tcPr>
          <w:p w14:paraId="4EE3C28C" w14:textId="79701ACA" w:rsidR="00861594" w:rsidRPr="00176082" w:rsidRDefault="00861594" w:rsidP="00861594">
            <w:pPr>
              <w:pStyle w:val="Default"/>
              <w:ind w:right="177"/>
              <w:rPr>
                <w:b/>
                <w:bCs/>
              </w:rPr>
            </w:pPr>
            <w:r w:rsidRPr="00B661E4">
              <w:rPr>
                <w:b/>
                <w:bCs/>
              </w:rPr>
              <w:t>Funding</w:t>
            </w:r>
          </w:p>
        </w:tc>
        <w:tc>
          <w:tcPr>
            <w:tcW w:w="1117" w:type="dxa"/>
            <w:tcBorders>
              <w:top w:val="single" w:sz="4" w:space="0" w:color="auto"/>
              <w:left w:val="nil"/>
              <w:bottom w:val="single" w:sz="4" w:space="0" w:color="auto"/>
              <w:right w:val="single" w:sz="4" w:space="0" w:color="auto"/>
            </w:tcBorders>
            <w:shd w:val="clear" w:color="auto" w:fill="auto"/>
            <w:vAlign w:val="center"/>
          </w:tcPr>
          <w:p w14:paraId="12AB44E3" w14:textId="519DCEBA" w:rsidR="00861594" w:rsidRPr="00176082" w:rsidRDefault="00861594" w:rsidP="00861594">
            <w:pPr>
              <w:pStyle w:val="Default"/>
              <w:ind w:right="177"/>
              <w:jc w:val="right"/>
              <w:rPr>
                <w:b/>
                <w:bCs/>
              </w:rPr>
            </w:pPr>
            <w:r>
              <w:rPr>
                <w:b/>
                <w:bCs/>
              </w:rPr>
              <w:t>(77.5)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7E6BA4" w14:textId="4D743424" w:rsidR="00861594" w:rsidRPr="00176082" w:rsidRDefault="00861594" w:rsidP="00861594">
            <w:pPr>
              <w:pStyle w:val="Default"/>
              <w:ind w:right="177"/>
              <w:jc w:val="right"/>
              <w:rPr>
                <w:b/>
                <w:bCs/>
              </w:rPr>
            </w:pPr>
            <w:r>
              <w:rPr>
                <w:b/>
                <w:bCs/>
              </w:rPr>
              <w:t>(79.8)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F44EBE" w14:textId="0F4BC486" w:rsidR="00861594" w:rsidRPr="00176082" w:rsidRDefault="00861594" w:rsidP="00861594">
            <w:pPr>
              <w:pStyle w:val="Default"/>
              <w:ind w:right="177"/>
              <w:jc w:val="right"/>
              <w:rPr>
                <w:b/>
                <w:bCs/>
              </w:rPr>
            </w:pPr>
            <w:r>
              <w:rPr>
                <w:b/>
                <w:bCs/>
              </w:rPr>
              <w:t>(82.1)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7D9289" w14:textId="058B31CA" w:rsidR="00861594" w:rsidRPr="00176082" w:rsidRDefault="00861594" w:rsidP="00861594">
            <w:pPr>
              <w:pStyle w:val="Default"/>
              <w:ind w:right="177"/>
              <w:jc w:val="right"/>
              <w:rPr>
                <w:b/>
                <w:bCs/>
              </w:rPr>
            </w:pPr>
            <w:r>
              <w:rPr>
                <w:b/>
                <w:bCs/>
              </w:rPr>
              <w:t>(84.3)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6B5E7F" w14:textId="05A62AE5" w:rsidR="00861594" w:rsidRPr="00176082" w:rsidRDefault="00861594" w:rsidP="00861594">
            <w:pPr>
              <w:pStyle w:val="Default"/>
              <w:ind w:right="177"/>
              <w:jc w:val="right"/>
              <w:rPr>
                <w:b/>
                <w:bCs/>
              </w:rPr>
            </w:pPr>
            <w:r>
              <w:rPr>
                <w:b/>
                <w:bCs/>
              </w:rPr>
              <w:t>(86.6)</w:t>
            </w:r>
          </w:p>
        </w:tc>
      </w:tr>
    </w:tbl>
    <w:p w14:paraId="6E3AA54B" w14:textId="0871F80D" w:rsidR="00D24CA9" w:rsidRDefault="00D24CA9" w:rsidP="00D24CA9">
      <w:pPr>
        <w:pStyle w:val="Default"/>
        <w:numPr>
          <w:ilvl w:val="0"/>
          <w:numId w:val="2"/>
        </w:numPr>
        <w:spacing w:before="120" w:after="240"/>
        <w:ind w:left="635" w:hanging="635"/>
      </w:pPr>
      <w:r w:rsidRPr="00D24CA9">
        <w:t xml:space="preserve">The </w:t>
      </w:r>
      <w:r>
        <w:t xml:space="preserve">MTFS is aligned to our CRMP, we review all our activities alongside the CRMP to ensure our resources support deliver of the CRMP proprieties. An indicative overview of our budget alongside the CRMP </w:t>
      </w:r>
      <w:r w:rsidR="00C75E53">
        <w:t>priorities</w:t>
      </w:r>
      <w:r>
        <w:t xml:space="preserve"> is set out below:</w:t>
      </w:r>
    </w:p>
    <w:tbl>
      <w:tblPr>
        <w:tblW w:w="63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2"/>
        <w:gridCol w:w="992"/>
      </w:tblGrid>
      <w:tr w:rsidR="00D24CA9" w:rsidRPr="00176082" w14:paraId="4EC053BD" w14:textId="77777777" w:rsidTr="00D24CA9">
        <w:tc>
          <w:tcPr>
            <w:tcW w:w="5342" w:type="dxa"/>
            <w:tcBorders>
              <w:top w:val="nil"/>
              <w:left w:val="nil"/>
            </w:tcBorders>
            <w:tcMar>
              <w:top w:w="0" w:type="dxa"/>
              <w:left w:w="108" w:type="dxa"/>
              <w:bottom w:w="0" w:type="dxa"/>
              <w:right w:w="108" w:type="dxa"/>
            </w:tcMar>
            <w:vAlign w:val="center"/>
          </w:tcPr>
          <w:p w14:paraId="3A124E58" w14:textId="44F991A0" w:rsidR="00D24CA9" w:rsidRPr="00DD5050" w:rsidRDefault="00D24CA9" w:rsidP="00155CA1">
            <w:pPr>
              <w:pStyle w:val="Default"/>
              <w:rPr>
                <w:b/>
                <w:bCs/>
              </w:rPr>
            </w:pPr>
            <w:r>
              <w:rPr>
                <w:rFonts w:ascii="Times New Roman" w:eastAsia="Times New Roman" w:hAnsi="Times New Roman" w:cs="Times New Roman"/>
                <w:color w:val="auto"/>
                <w:szCs w:val="20"/>
              </w:rPr>
              <w:br w:type="page"/>
            </w:r>
            <w:r>
              <w:rPr>
                <w:b/>
                <w:bCs/>
              </w:rPr>
              <w:t>CRMP Priorities</w:t>
            </w:r>
          </w:p>
        </w:tc>
        <w:tc>
          <w:tcPr>
            <w:tcW w:w="992" w:type="dxa"/>
            <w:tcBorders>
              <w:bottom w:val="single" w:sz="4" w:space="0" w:color="auto"/>
            </w:tcBorders>
          </w:tcPr>
          <w:p w14:paraId="6B545E4F" w14:textId="77777777" w:rsidR="00D24CA9" w:rsidRDefault="00D24CA9" w:rsidP="00C75E53">
            <w:pPr>
              <w:pStyle w:val="Default"/>
              <w:ind w:right="142"/>
              <w:jc w:val="center"/>
              <w:rPr>
                <w:b/>
                <w:bCs/>
              </w:rPr>
            </w:pPr>
            <w:r w:rsidRPr="00176082">
              <w:rPr>
                <w:b/>
                <w:bCs/>
              </w:rPr>
              <w:t>25/26</w:t>
            </w:r>
          </w:p>
          <w:p w14:paraId="1EB2DC76" w14:textId="25B32AFB" w:rsidR="00D24CA9" w:rsidRPr="00176082" w:rsidRDefault="00D24CA9" w:rsidP="00C75E53">
            <w:pPr>
              <w:pStyle w:val="Default"/>
              <w:ind w:right="142"/>
              <w:jc w:val="center"/>
              <w:rPr>
                <w:b/>
                <w:bCs/>
              </w:rPr>
            </w:pPr>
            <w:r>
              <w:rPr>
                <w:b/>
                <w:bCs/>
              </w:rPr>
              <w:t>%</w:t>
            </w:r>
          </w:p>
        </w:tc>
      </w:tr>
      <w:tr w:rsidR="00C75E53" w14:paraId="4559E190" w14:textId="77777777" w:rsidTr="00543829">
        <w:tc>
          <w:tcPr>
            <w:tcW w:w="5342" w:type="dxa"/>
            <w:tcMar>
              <w:top w:w="0" w:type="dxa"/>
              <w:left w:w="108" w:type="dxa"/>
              <w:bottom w:w="0" w:type="dxa"/>
              <w:right w:w="108" w:type="dxa"/>
            </w:tcMar>
            <w:vAlign w:val="center"/>
          </w:tcPr>
          <w:p w14:paraId="2B928CA0" w14:textId="77777777" w:rsidR="00C75E53" w:rsidRPr="004530BE" w:rsidRDefault="00C75E53" w:rsidP="00543829">
            <w:pPr>
              <w:pStyle w:val="Default"/>
              <w:ind w:right="177"/>
            </w:pPr>
            <w:r w:rsidRPr="002C045C">
              <w:t>Responding to fires and other emerg</w:t>
            </w:r>
            <w:r>
              <w:t>e</w:t>
            </w:r>
            <w:r w:rsidRPr="002C045C">
              <w:t>ncies</w:t>
            </w:r>
          </w:p>
        </w:tc>
        <w:tc>
          <w:tcPr>
            <w:tcW w:w="992" w:type="dxa"/>
            <w:tcBorders>
              <w:top w:val="single" w:sz="4" w:space="0" w:color="auto"/>
              <w:left w:val="nil"/>
              <w:bottom w:val="single" w:sz="4" w:space="0" w:color="auto"/>
              <w:right w:val="single" w:sz="4" w:space="0" w:color="auto"/>
            </w:tcBorders>
            <w:shd w:val="clear" w:color="auto" w:fill="auto"/>
            <w:vAlign w:val="center"/>
          </w:tcPr>
          <w:p w14:paraId="30298ED9" w14:textId="77777777" w:rsidR="00C75E53" w:rsidRDefault="00C75E53" w:rsidP="00543829">
            <w:pPr>
              <w:pStyle w:val="Default"/>
              <w:ind w:right="142"/>
              <w:jc w:val="right"/>
            </w:pPr>
            <w:r>
              <w:t>73</w:t>
            </w:r>
          </w:p>
        </w:tc>
      </w:tr>
      <w:tr w:rsidR="00D24CA9" w14:paraId="3D2211EB" w14:textId="77777777" w:rsidTr="00D24CA9">
        <w:tc>
          <w:tcPr>
            <w:tcW w:w="5342" w:type="dxa"/>
            <w:tcMar>
              <w:top w:w="0" w:type="dxa"/>
              <w:left w:w="108" w:type="dxa"/>
              <w:bottom w:w="0" w:type="dxa"/>
              <w:right w:w="108" w:type="dxa"/>
            </w:tcMar>
            <w:vAlign w:val="center"/>
          </w:tcPr>
          <w:p w14:paraId="43594E54" w14:textId="69443B3F" w:rsidR="00D24CA9" w:rsidRPr="004530BE" w:rsidRDefault="00D24CA9" w:rsidP="00D24CA9">
            <w:pPr>
              <w:pStyle w:val="Default"/>
              <w:ind w:right="177"/>
            </w:pPr>
            <w:r w:rsidRPr="00D24CA9">
              <w:t>Preventing fires</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ED018" w14:textId="6D30DB1A" w:rsidR="00D24CA9" w:rsidRDefault="00D24CA9" w:rsidP="00C75E53">
            <w:pPr>
              <w:pStyle w:val="Default"/>
              <w:ind w:right="142"/>
              <w:jc w:val="right"/>
            </w:pPr>
            <w:r>
              <w:t>12</w:t>
            </w:r>
          </w:p>
        </w:tc>
      </w:tr>
      <w:tr w:rsidR="00D24CA9" w14:paraId="0DD039F7" w14:textId="77777777" w:rsidTr="00D24CA9">
        <w:tc>
          <w:tcPr>
            <w:tcW w:w="5342" w:type="dxa"/>
            <w:tcMar>
              <w:top w:w="0" w:type="dxa"/>
              <w:left w:w="108" w:type="dxa"/>
              <w:bottom w:w="0" w:type="dxa"/>
              <w:right w:w="108" w:type="dxa"/>
            </w:tcMar>
            <w:vAlign w:val="center"/>
          </w:tcPr>
          <w:p w14:paraId="5F163F1C" w14:textId="2289F898" w:rsidR="00D24CA9" w:rsidRPr="004530BE" w:rsidRDefault="00D24CA9" w:rsidP="00155CA1">
            <w:pPr>
              <w:pStyle w:val="Default"/>
              <w:ind w:right="177"/>
            </w:pPr>
            <w:r w:rsidRPr="002C045C">
              <w:t>Protecting people and property</w:t>
            </w:r>
          </w:p>
        </w:tc>
        <w:tc>
          <w:tcPr>
            <w:tcW w:w="992" w:type="dxa"/>
            <w:tcBorders>
              <w:top w:val="single" w:sz="4" w:space="0" w:color="auto"/>
              <w:left w:val="nil"/>
              <w:bottom w:val="single" w:sz="4" w:space="0" w:color="auto"/>
              <w:right w:val="single" w:sz="4" w:space="0" w:color="auto"/>
            </w:tcBorders>
            <w:shd w:val="clear" w:color="auto" w:fill="auto"/>
            <w:vAlign w:val="center"/>
          </w:tcPr>
          <w:p w14:paraId="737FEDBC" w14:textId="65EE8CBB" w:rsidR="00D24CA9" w:rsidRDefault="00C75E53" w:rsidP="00C75E53">
            <w:pPr>
              <w:pStyle w:val="Default"/>
              <w:ind w:right="142"/>
              <w:jc w:val="right"/>
            </w:pPr>
            <w:r>
              <w:t>9</w:t>
            </w:r>
          </w:p>
        </w:tc>
      </w:tr>
      <w:tr w:rsidR="00D24CA9" w14:paraId="0552E6C3" w14:textId="77777777" w:rsidTr="00D24CA9">
        <w:tc>
          <w:tcPr>
            <w:tcW w:w="5342" w:type="dxa"/>
            <w:tcMar>
              <w:top w:w="0" w:type="dxa"/>
              <w:left w:w="108" w:type="dxa"/>
              <w:bottom w:w="0" w:type="dxa"/>
              <w:right w:w="108" w:type="dxa"/>
            </w:tcMar>
            <w:vAlign w:val="center"/>
          </w:tcPr>
          <w:p w14:paraId="29DE4DA7" w14:textId="1BC82BC7" w:rsidR="00D24CA9" w:rsidRPr="004530BE" w:rsidRDefault="00D24CA9" w:rsidP="00D24CA9">
            <w:pPr>
              <w:pStyle w:val="Default"/>
              <w:ind w:right="177"/>
            </w:pPr>
            <w:r w:rsidRPr="00D24CA9">
              <w:t>Valuing our people</w:t>
            </w:r>
          </w:p>
        </w:tc>
        <w:tc>
          <w:tcPr>
            <w:tcW w:w="992" w:type="dxa"/>
            <w:tcBorders>
              <w:top w:val="single" w:sz="4" w:space="0" w:color="auto"/>
              <w:left w:val="nil"/>
              <w:bottom w:val="single" w:sz="4" w:space="0" w:color="auto"/>
              <w:right w:val="single" w:sz="4" w:space="0" w:color="auto"/>
            </w:tcBorders>
            <w:shd w:val="clear" w:color="auto" w:fill="auto"/>
            <w:vAlign w:val="center"/>
          </w:tcPr>
          <w:p w14:paraId="5055C427" w14:textId="232EDCA5" w:rsidR="00D24CA9" w:rsidRDefault="00C75E53" w:rsidP="00C75E53">
            <w:pPr>
              <w:pStyle w:val="Default"/>
              <w:ind w:right="142"/>
              <w:jc w:val="right"/>
            </w:pPr>
            <w:r>
              <w:t>6</w:t>
            </w:r>
          </w:p>
        </w:tc>
      </w:tr>
      <w:tr w:rsidR="00D24CA9" w:rsidRPr="00C75E53" w14:paraId="011E6BAC" w14:textId="77777777" w:rsidTr="00D24CA9">
        <w:tc>
          <w:tcPr>
            <w:tcW w:w="5342" w:type="dxa"/>
            <w:tcMar>
              <w:top w:w="0" w:type="dxa"/>
              <w:left w:w="108" w:type="dxa"/>
              <w:bottom w:w="0" w:type="dxa"/>
              <w:right w:w="108" w:type="dxa"/>
            </w:tcMar>
            <w:vAlign w:val="center"/>
          </w:tcPr>
          <w:p w14:paraId="586B6B1B" w14:textId="62E9B560" w:rsidR="00D24CA9" w:rsidRPr="00C75E53" w:rsidRDefault="00D24CA9" w:rsidP="00155CA1">
            <w:pPr>
              <w:pStyle w:val="Default"/>
              <w:ind w:right="177"/>
              <w:rPr>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F8C15A" w14:textId="6B26D470" w:rsidR="00D24CA9" w:rsidRPr="00C75E53" w:rsidRDefault="00C75E53" w:rsidP="00C75E53">
            <w:pPr>
              <w:pStyle w:val="Default"/>
              <w:ind w:right="142"/>
              <w:jc w:val="right"/>
              <w:rPr>
                <w:b/>
                <w:bCs/>
              </w:rPr>
            </w:pPr>
            <w:r w:rsidRPr="00C75E53">
              <w:rPr>
                <w:b/>
                <w:bCs/>
              </w:rPr>
              <w:t>100</w:t>
            </w:r>
          </w:p>
        </w:tc>
      </w:tr>
    </w:tbl>
    <w:p w14:paraId="11579DE5" w14:textId="53234819" w:rsidR="00C75E53" w:rsidRPr="00C75E53" w:rsidRDefault="00C75E53" w:rsidP="00C75E53">
      <w:pPr>
        <w:pStyle w:val="Default"/>
        <w:numPr>
          <w:ilvl w:val="0"/>
          <w:numId w:val="2"/>
        </w:numPr>
        <w:spacing w:before="120" w:after="240"/>
        <w:ind w:left="635" w:hanging="635"/>
      </w:pPr>
      <w:r w:rsidRPr="00C75E53">
        <w:t xml:space="preserve">We do not allocate any of our activities </w:t>
      </w:r>
      <w:r>
        <w:t xml:space="preserve">specifically </w:t>
      </w:r>
      <w:r w:rsidRPr="00C75E53">
        <w:t>to delivering value for money as we aim to achieve this priority in everything we do as a service.</w:t>
      </w:r>
    </w:p>
    <w:p w14:paraId="386E6670" w14:textId="77777777" w:rsidR="00D572DA" w:rsidRDefault="00D572DA">
      <w:pPr>
        <w:spacing w:after="160" w:line="259" w:lineRule="auto"/>
        <w:rPr>
          <w:rFonts w:ascii="Arial" w:hAnsi="Arial"/>
          <w:b/>
        </w:rPr>
      </w:pPr>
      <w:r>
        <w:rPr>
          <w:rFonts w:ascii="Arial" w:hAnsi="Arial"/>
          <w:b/>
        </w:rPr>
        <w:br w:type="page"/>
      </w:r>
    </w:p>
    <w:p w14:paraId="1246799E" w14:textId="5F220D8B" w:rsidR="00214169" w:rsidRPr="00214169" w:rsidRDefault="00214169" w:rsidP="00214169">
      <w:pPr>
        <w:spacing w:before="240" w:after="120"/>
        <w:jc w:val="both"/>
        <w:rPr>
          <w:rFonts w:ascii="Arial" w:hAnsi="Arial"/>
          <w:b/>
        </w:rPr>
      </w:pPr>
      <w:r>
        <w:rPr>
          <w:rFonts w:ascii="Arial" w:hAnsi="Arial"/>
          <w:b/>
        </w:rPr>
        <w:lastRenderedPageBreak/>
        <w:t xml:space="preserve">MTFS </w:t>
      </w:r>
      <w:r w:rsidRPr="00214169">
        <w:rPr>
          <w:rFonts w:ascii="Arial" w:hAnsi="Arial"/>
          <w:b/>
        </w:rPr>
        <w:t xml:space="preserve">Risks and </w:t>
      </w:r>
      <w:r>
        <w:rPr>
          <w:rFonts w:ascii="Arial" w:hAnsi="Arial"/>
          <w:b/>
        </w:rPr>
        <w:t>S</w:t>
      </w:r>
      <w:r w:rsidRPr="00214169">
        <w:rPr>
          <w:rFonts w:ascii="Arial" w:hAnsi="Arial"/>
          <w:b/>
        </w:rPr>
        <w:t>cenarios</w:t>
      </w:r>
    </w:p>
    <w:p w14:paraId="5AEA4409" w14:textId="44D9A97E" w:rsidR="00214169" w:rsidRDefault="00214169" w:rsidP="00214169">
      <w:pPr>
        <w:pStyle w:val="Default"/>
        <w:numPr>
          <w:ilvl w:val="0"/>
          <w:numId w:val="2"/>
        </w:numPr>
        <w:spacing w:before="120" w:after="240"/>
        <w:ind w:left="635" w:hanging="635"/>
      </w:pPr>
      <w:r>
        <w:t xml:space="preserve">The following significant financial risks have been identified and assessed by the Director of Corporate Services and he feels these are adequately covered within the budget </w:t>
      </w:r>
      <w:r w:rsidR="00F2115D">
        <w:t>estimates</w:t>
      </w:r>
      <w:r>
        <w:t xml:space="preserve"> presented or within the level of reserves currently held:</w:t>
      </w:r>
    </w:p>
    <w:p w14:paraId="035A1041" w14:textId="2FE60FDF" w:rsidR="00542CB7" w:rsidRDefault="00BB56FC" w:rsidP="00F2115D">
      <w:pPr>
        <w:pStyle w:val="ListParagraph"/>
        <w:numPr>
          <w:ilvl w:val="0"/>
          <w:numId w:val="1"/>
        </w:numPr>
        <w:spacing w:after="120"/>
        <w:ind w:left="1134" w:hanging="357"/>
        <w:contextualSpacing w:val="0"/>
        <w:rPr>
          <w:rFonts w:ascii="Arial" w:hAnsi="Arial"/>
        </w:rPr>
      </w:pPr>
      <w:r>
        <w:rPr>
          <w:rFonts w:ascii="Arial" w:hAnsi="Arial"/>
        </w:rPr>
        <w:t>Reduction in Business Rate funding following the r</w:t>
      </w:r>
      <w:r w:rsidR="00542CB7">
        <w:rPr>
          <w:rFonts w:ascii="Arial" w:hAnsi="Arial"/>
        </w:rPr>
        <w:t>eset</w:t>
      </w:r>
      <w:r>
        <w:rPr>
          <w:rFonts w:ascii="Arial" w:hAnsi="Arial"/>
        </w:rPr>
        <w:t xml:space="preserve"> of business rates due </w:t>
      </w:r>
      <w:r w:rsidR="007609B9">
        <w:rPr>
          <w:rFonts w:ascii="Arial" w:hAnsi="Arial"/>
        </w:rPr>
        <w:t>in 2026/27.</w:t>
      </w:r>
    </w:p>
    <w:p w14:paraId="5EF307EB" w14:textId="13D04511" w:rsidR="00542CB7" w:rsidRDefault="003540F9" w:rsidP="00F2115D">
      <w:pPr>
        <w:pStyle w:val="ListParagraph"/>
        <w:numPr>
          <w:ilvl w:val="0"/>
          <w:numId w:val="1"/>
        </w:numPr>
        <w:spacing w:after="120"/>
        <w:ind w:left="1134" w:hanging="357"/>
        <w:contextualSpacing w:val="0"/>
        <w:rPr>
          <w:rFonts w:ascii="Arial" w:hAnsi="Arial"/>
        </w:rPr>
      </w:pPr>
      <w:r>
        <w:rPr>
          <w:rFonts w:ascii="Arial" w:hAnsi="Arial"/>
        </w:rPr>
        <w:t xml:space="preserve">Adverse impact for the Fire Sector </w:t>
      </w:r>
      <w:r w:rsidR="006329CC">
        <w:rPr>
          <w:rFonts w:ascii="Arial" w:hAnsi="Arial"/>
        </w:rPr>
        <w:t xml:space="preserve">following the </w:t>
      </w:r>
      <w:r w:rsidR="00BD287A">
        <w:rPr>
          <w:rFonts w:ascii="Arial" w:hAnsi="Arial"/>
        </w:rPr>
        <w:t>three-year</w:t>
      </w:r>
      <w:r w:rsidR="006329CC">
        <w:rPr>
          <w:rFonts w:ascii="Arial" w:hAnsi="Arial"/>
        </w:rPr>
        <w:t xml:space="preserve"> Spending Review that is due for completion in late 2025</w:t>
      </w:r>
      <w:r w:rsidR="00BD287A">
        <w:rPr>
          <w:rFonts w:ascii="Arial" w:hAnsi="Arial"/>
        </w:rPr>
        <w:t>.</w:t>
      </w:r>
    </w:p>
    <w:p w14:paraId="4DB49783" w14:textId="56232441" w:rsidR="00542CB7" w:rsidRDefault="00014192" w:rsidP="00F2115D">
      <w:pPr>
        <w:pStyle w:val="ListParagraph"/>
        <w:numPr>
          <w:ilvl w:val="0"/>
          <w:numId w:val="1"/>
        </w:numPr>
        <w:spacing w:after="120"/>
        <w:ind w:left="1134" w:hanging="357"/>
        <w:contextualSpacing w:val="0"/>
        <w:rPr>
          <w:rFonts w:ascii="Arial" w:hAnsi="Arial"/>
        </w:rPr>
      </w:pPr>
      <w:r>
        <w:rPr>
          <w:rFonts w:ascii="Arial" w:hAnsi="Arial"/>
        </w:rPr>
        <w:t xml:space="preserve">Adverse </w:t>
      </w:r>
      <w:r w:rsidR="00663C69">
        <w:rPr>
          <w:rFonts w:ascii="Arial" w:hAnsi="Arial"/>
        </w:rPr>
        <w:t xml:space="preserve">impact for LFRS following </w:t>
      </w:r>
      <w:r w:rsidR="003639DC">
        <w:rPr>
          <w:rFonts w:ascii="Arial" w:hAnsi="Arial"/>
        </w:rPr>
        <w:t>t</w:t>
      </w:r>
      <w:r w:rsidR="00663C69">
        <w:rPr>
          <w:rFonts w:ascii="Arial" w:hAnsi="Arial"/>
        </w:rPr>
        <w:t xml:space="preserve">he </w:t>
      </w:r>
      <w:r w:rsidR="003639DC">
        <w:rPr>
          <w:rFonts w:ascii="Arial" w:hAnsi="Arial"/>
        </w:rPr>
        <w:t>review of</w:t>
      </w:r>
      <w:r w:rsidR="00663C69">
        <w:rPr>
          <w:rFonts w:ascii="Arial" w:hAnsi="Arial"/>
        </w:rPr>
        <w:t xml:space="preserve"> the </w:t>
      </w:r>
      <w:r w:rsidR="002A5C5A">
        <w:rPr>
          <w:rFonts w:ascii="Arial" w:hAnsi="Arial"/>
        </w:rPr>
        <w:t>Funding Formula</w:t>
      </w:r>
    </w:p>
    <w:p w14:paraId="019D9ED3" w14:textId="0E6B8C86" w:rsidR="002A5C5A" w:rsidRDefault="002A5C5A" w:rsidP="00F2115D">
      <w:pPr>
        <w:pStyle w:val="ListParagraph"/>
        <w:numPr>
          <w:ilvl w:val="0"/>
          <w:numId w:val="1"/>
        </w:numPr>
        <w:spacing w:after="120"/>
        <w:ind w:left="1134" w:hanging="357"/>
        <w:contextualSpacing w:val="0"/>
        <w:rPr>
          <w:rFonts w:ascii="Arial" w:hAnsi="Arial"/>
        </w:rPr>
      </w:pPr>
      <w:r>
        <w:rPr>
          <w:rFonts w:ascii="Arial" w:hAnsi="Arial"/>
        </w:rPr>
        <w:t>Non delivery of savings</w:t>
      </w:r>
      <w:r w:rsidR="004948C8">
        <w:rPr>
          <w:rFonts w:ascii="Arial" w:hAnsi="Arial"/>
        </w:rPr>
        <w:t xml:space="preserve"> required in the MTFS</w:t>
      </w:r>
      <w:r w:rsidR="00BD287A">
        <w:rPr>
          <w:rFonts w:ascii="Arial" w:hAnsi="Arial"/>
        </w:rPr>
        <w:t>.</w:t>
      </w:r>
    </w:p>
    <w:p w14:paraId="1FB17CEF" w14:textId="4698723E" w:rsidR="00214169"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Changes to the Business Rates Retention Scheme</w:t>
      </w:r>
      <w:r>
        <w:rPr>
          <w:rFonts w:ascii="Arial" w:hAnsi="Arial"/>
        </w:rPr>
        <w:t>.</w:t>
      </w:r>
    </w:p>
    <w:p w14:paraId="4B07C6D0" w14:textId="2865CDFA"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Adverse changes because of the implementation of the Fair Funding Review</w:t>
      </w:r>
      <w:r>
        <w:rPr>
          <w:rFonts w:ascii="Arial" w:hAnsi="Arial"/>
        </w:rPr>
        <w:t>.</w:t>
      </w:r>
    </w:p>
    <w:p w14:paraId="5D5CC6DF" w14:textId="032E94D4"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Reduction in Council Tax funding.</w:t>
      </w:r>
    </w:p>
    <w:p w14:paraId="62EA9F93" w14:textId="43A5258F"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Higher than anticipated inflation</w:t>
      </w:r>
      <w:r>
        <w:rPr>
          <w:rFonts w:ascii="Arial" w:hAnsi="Arial"/>
        </w:rPr>
        <w:t>.</w:t>
      </w:r>
    </w:p>
    <w:p w14:paraId="539CF028" w14:textId="2F6F02B7"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Larger increases in pension costs</w:t>
      </w:r>
      <w:r>
        <w:rPr>
          <w:rFonts w:ascii="Arial" w:hAnsi="Arial"/>
        </w:rPr>
        <w:t>.</w:t>
      </w:r>
    </w:p>
    <w:p w14:paraId="35536576" w14:textId="1FD308BA"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Significant changes to retirement profiles</w:t>
      </w:r>
      <w:r>
        <w:rPr>
          <w:rFonts w:ascii="Arial" w:hAnsi="Arial"/>
        </w:rPr>
        <w:t>.</w:t>
      </w:r>
    </w:p>
    <w:p w14:paraId="3696EFFD" w14:textId="4395A63C" w:rsidR="00F2115D" w:rsidRP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Increase in demand led pressures</w:t>
      </w:r>
      <w:r>
        <w:rPr>
          <w:rFonts w:ascii="Arial" w:hAnsi="Arial"/>
        </w:rPr>
        <w:t>.</w:t>
      </w:r>
    </w:p>
    <w:p w14:paraId="2AFDF166" w14:textId="5F171CA5" w:rsidR="00F2115D" w:rsidRDefault="00F2115D" w:rsidP="00F2115D">
      <w:pPr>
        <w:pStyle w:val="ListParagraph"/>
        <w:numPr>
          <w:ilvl w:val="0"/>
          <w:numId w:val="1"/>
        </w:numPr>
        <w:spacing w:after="120"/>
        <w:ind w:left="1134" w:hanging="357"/>
        <w:contextualSpacing w:val="0"/>
        <w:rPr>
          <w:rFonts w:ascii="Arial" w:hAnsi="Arial"/>
        </w:rPr>
      </w:pPr>
      <w:r w:rsidRPr="00F2115D">
        <w:rPr>
          <w:rFonts w:ascii="Arial" w:hAnsi="Arial"/>
        </w:rPr>
        <w:t>Higher insurance claims</w:t>
      </w:r>
      <w:r>
        <w:rPr>
          <w:rFonts w:ascii="Arial" w:hAnsi="Arial"/>
        </w:rPr>
        <w:t>.</w:t>
      </w:r>
    </w:p>
    <w:p w14:paraId="1B5932BA" w14:textId="66087AA9" w:rsidR="00977B9F" w:rsidRPr="00F2115D" w:rsidRDefault="00977B9F" w:rsidP="00F2115D">
      <w:pPr>
        <w:pStyle w:val="ListParagraph"/>
        <w:numPr>
          <w:ilvl w:val="0"/>
          <w:numId w:val="1"/>
        </w:numPr>
        <w:spacing w:after="120"/>
        <w:ind w:left="1134" w:hanging="357"/>
        <w:contextualSpacing w:val="0"/>
        <w:rPr>
          <w:rFonts w:ascii="Arial" w:hAnsi="Arial"/>
        </w:rPr>
      </w:pPr>
      <w:r>
        <w:rPr>
          <w:rFonts w:ascii="Arial" w:hAnsi="Arial"/>
        </w:rPr>
        <w:t>Higher interest rates assumed for borrowing.</w:t>
      </w:r>
    </w:p>
    <w:p w14:paraId="5334D034" w14:textId="142B89D6" w:rsidR="00F2115D" w:rsidRDefault="00F2115D" w:rsidP="00214169">
      <w:pPr>
        <w:pStyle w:val="Default"/>
        <w:numPr>
          <w:ilvl w:val="0"/>
          <w:numId w:val="2"/>
        </w:numPr>
        <w:spacing w:before="120" w:after="240"/>
        <w:ind w:left="635" w:hanging="635"/>
      </w:pPr>
      <w:r>
        <w:t xml:space="preserve">The key budget risks are quantified below in </w:t>
      </w:r>
      <w:r w:rsidR="001228F9">
        <w:t xml:space="preserve">a </w:t>
      </w:r>
      <w:proofErr w:type="gramStart"/>
      <w:r w:rsidR="001228F9">
        <w:t>worst case</w:t>
      </w:r>
      <w:proofErr w:type="gramEnd"/>
      <w:r w:rsidR="001228F9">
        <w:t xml:space="preserve"> scenario</w:t>
      </w:r>
      <w:r>
        <w:t>:</w:t>
      </w:r>
    </w:p>
    <w:tbl>
      <w:tblPr>
        <w:tblW w:w="8099"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9"/>
        <w:gridCol w:w="850"/>
        <w:gridCol w:w="850"/>
        <w:gridCol w:w="850"/>
        <w:gridCol w:w="850"/>
        <w:gridCol w:w="850"/>
      </w:tblGrid>
      <w:tr w:rsidR="00977B9F" w:rsidRPr="001228F9" w14:paraId="524CF4B7" w14:textId="77777777" w:rsidTr="00B50A33">
        <w:tc>
          <w:tcPr>
            <w:tcW w:w="3849" w:type="dxa"/>
            <w:tcBorders>
              <w:top w:val="nil"/>
              <w:left w:val="nil"/>
            </w:tcBorders>
            <w:tcMar>
              <w:top w:w="0" w:type="dxa"/>
              <w:left w:w="108" w:type="dxa"/>
              <w:bottom w:w="0" w:type="dxa"/>
              <w:right w:w="108" w:type="dxa"/>
            </w:tcMar>
            <w:vAlign w:val="center"/>
          </w:tcPr>
          <w:p w14:paraId="60A2B0DB" w14:textId="70282A76" w:rsidR="00977B9F" w:rsidRPr="001228F9" w:rsidRDefault="00977B9F" w:rsidP="00977B9F">
            <w:pPr>
              <w:pStyle w:val="Default"/>
              <w:rPr>
                <w:b/>
                <w:bCs/>
              </w:rPr>
            </w:pPr>
            <w:r w:rsidRPr="001228F9">
              <w:t xml:space="preserve"> </w:t>
            </w:r>
            <w:r w:rsidRPr="001228F9">
              <w:rPr>
                <w:b/>
                <w:bCs/>
              </w:rPr>
              <w:t>Budget Scenarios</w:t>
            </w:r>
          </w:p>
        </w:tc>
        <w:tc>
          <w:tcPr>
            <w:tcW w:w="850" w:type="dxa"/>
            <w:tcBorders>
              <w:bottom w:val="single" w:sz="4" w:space="0" w:color="auto"/>
            </w:tcBorders>
          </w:tcPr>
          <w:p w14:paraId="23667330" w14:textId="77777777" w:rsidR="00977B9F" w:rsidRPr="001228F9" w:rsidRDefault="00977B9F" w:rsidP="00977B9F">
            <w:pPr>
              <w:pStyle w:val="Default"/>
              <w:jc w:val="center"/>
              <w:rPr>
                <w:b/>
                <w:bCs/>
              </w:rPr>
            </w:pPr>
            <w:r w:rsidRPr="001228F9">
              <w:rPr>
                <w:b/>
                <w:bCs/>
              </w:rPr>
              <w:t>25/26</w:t>
            </w:r>
          </w:p>
          <w:p w14:paraId="0FAA13BF" w14:textId="2C5DCA09" w:rsidR="00977B9F" w:rsidRPr="001228F9" w:rsidRDefault="00977B9F" w:rsidP="00977B9F">
            <w:pPr>
              <w:pStyle w:val="Default"/>
              <w:jc w:val="center"/>
              <w:rPr>
                <w:b/>
                <w:bCs/>
              </w:rPr>
            </w:pPr>
            <w:r w:rsidRPr="001228F9">
              <w:rPr>
                <w:b/>
                <w:bCs/>
              </w:rPr>
              <w:t>£m</w:t>
            </w:r>
          </w:p>
        </w:tc>
        <w:tc>
          <w:tcPr>
            <w:tcW w:w="850" w:type="dxa"/>
            <w:tcBorders>
              <w:bottom w:val="single" w:sz="4" w:space="0" w:color="auto"/>
            </w:tcBorders>
          </w:tcPr>
          <w:p w14:paraId="537491A5" w14:textId="77777777" w:rsidR="00977B9F" w:rsidRPr="001228F9" w:rsidRDefault="00977B9F" w:rsidP="00977B9F">
            <w:pPr>
              <w:pStyle w:val="Default"/>
              <w:jc w:val="center"/>
              <w:rPr>
                <w:b/>
                <w:bCs/>
              </w:rPr>
            </w:pPr>
            <w:r w:rsidRPr="001228F9">
              <w:rPr>
                <w:b/>
                <w:bCs/>
              </w:rPr>
              <w:t>26/27</w:t>
            </w:r>
          </w:p>
          <w:p w14:paraId="235A3711" w14:textId="3A0458AF" w:rsidR="00977B9F" w:rsidRPr="001228F9" w:rsidRDefault="00977B9F" w:rsidP="00977B9F">
            <w:pPr>
              <w:pStyle w:val="Default"/>
              <w:jc w:val="center"/>
              <w:rPr>
                <w:b/>
                <w:bCs/>
              </w:rPr>
            </w:pPr>
            <w:r w:rsidRPr="001228F9">
              <w:rPr>
                <w:b/>
                <w:bCs/>
              </w:rPr>
              <w:t>£m</w:t>
            </w:r>
          </w:p>
        </w:tc>
        <w:tc>
          <w:tcPr>
            <w:tcW w:w="850" w:type="dxa"/>
            <w:tcBorders>
              <w:bottom w:val="single" w:sz="4" w:space="0" w:color="auto"/>
            </w:tcBorders>
          </w:tcPr>
          <w:p w14:paraId="2DF50507" w14:textId="77777777" w:rsidR="00977B9F" w:rsidRPr="001228F9" w:rsidRDefault="00977B9F" w:rsidP="00977B9F">
            <w:pPr>
              <w:pStyle w:val="Default"/>
              <w:jc w:val="center"/>
              <w:rPr>
                <w:b/>
                <w:bCs/>
              </w:rPr>
            </w:pPr>
            <w:r w:rsidRPr="001228F9">
              <w:rPr>
                <w:b/>
                <w:bCs/>
              </w:rPr>
              <w:t>27/28</w:t>
            </w:r>
          </w:p>
          <w:p w14:paraId="18A22888" w14:textId="2BCEB031" w:rsidR="00977B9F" w:rsidRPr="001228F9" w:rsidRDefault="00977B9F" w:rsidP="00977B9F">
            <w:pPr>
              <w:pStyle w:val="Default"/>
              <w:jc w:val="center"/>
              <w:rPr>
                <w:b/>
                <w:bCs/>
              </w:rPr>
            </w:pPr>
            <w:r w:rsidRPr="001228F9">
              <w:rPr>
                <w:b/>
                <w:bCs/>
              </w:rPr>
              <w:t>£m</w:t>
            </w:r>
          </w:p>
        </w:tc>
        <w:tc>
          <w:tcPr>
            <w:tcW w:w="850" w:type="dxa"/>
            <w:tcBorders>
              <w:bottom w:val="single" w:sz="4" w:space="0" w:color="auto"/>
            </w:tcBorders>
          </w:tcPr>
          <w:p w14:paraId="3A3C2D51" w14:textId="77777777" w:rsidR="00977B9F" w:rsidRPr="001228F9" w:rsidRDefault="00977B9F" w:rsidP="00977B9F">
            <w:pPr>
              <w:pStyle w:val="Default"/>
              <w:jc w:val="center"/>
              <w:rPr>
                <w:b/>
                <w:bCs/>
              </w:rPr>
            </w:pPr>
            <w:r w:rsidRPr="001228F9">
              <w:rPr>
                <w:b/>
                <w:bCs/>
              </w:rPr>
              <w:t>28/29</w:t>
            </w:r>
          </w:p>
          <w:p w14:paraId="48CD3BB3" w14:textId="31A34D0D" w:rsidR="00977B9F" w:rsidRPr="001228F9" w:rsidRDefault="00977B9F" w:rsidP="00977B9F">
            <w:pPr>
              <w:pStyle w:val="Default"/>
              <w:jc w:val="center"/>
              <w:rPr>
                <w:b/>
                <w:bCs/>
              </w:rPr>
            </w:pPr>
            <w:r w:rsidRPr="001228F9">
              <w:rPr>
                <w:b/>
                <w:bCs/>
              </w:rPr>
              <w:t>£m</w:t>
            </w:r>
          </w:p>
        </w:tc>
        <w:tc>
          <w:tcPr>
            <w:tcW w:w="850" w:type="dxa"/>
            <w:tcBorders>
              <w:bottom w:val="single" w:sz="4" w:space="0" w:color="auto"/>
            </w:tcBorders>
          </w:tcPr>
          <w:p w14:paraId="1AAA9BB7" w14:textId="0A41B35F" w:rsidR="00977B9F" w:rsidRPr="001228F9" w:rsidRDefault="00977B9F" w:rsidP="00977B9F">
            <w:pPr>
              <w:pStyle w:val="Default"/>
              <w:jc w:val="center"/>
              <w:rPr>
                <w:b/>
                <w:bCs/>
              </w:rPr>
            </w:pPr>
            <w:r w:rsidRPr="001228F9">
              <w:rPr>
                <w:b/>
                <w:bCs/>
              </w:rPr>
              <w:t>29/30</w:t>
            </w:r>
          </w:p>
          <w:p w14:paraId="10D18E4E" w14:textId="1E2481FE" w:rsidR="00977B9F" w:rsidRPr="001228F9" w:rsidRDefault="00977B9F" w:rsidP="00977B9F">
            <w:pPr>
              <w:pStyle w:val="Default"/>
              <w:jc w:val="center"/>
              <w:rPr>
                <w:b/>
                <w:bCs/>
              </w:rPr>
            </w:pPr>
            <w:r w:rsidRPr="001228F9">
              <w:rPr>
                <w:b/>
                <w:bCs/>
              </w:rPr>
              <w:t>£m</w:t>
            </w:r>
          </w:p>
        </w:tc>
      </w:tr>
      <w:tr w:rsidR="001228F9" w:rsidRPr="001228F9" w14:paraId="2D1B1445" w14:textId="77777777" w:rsidTr="000176CA">
        <w:tc>
          <w:tcPr>
            <w:tcW w:w="3849" w:type="dxa"/>
            <w:tcMar>
              <w:top w:w="0" w:type="dxa"/>
              <w:left w:w="108" w:type="dxa"/>
              <w:bottom w:w="0" w:type="dxa"/>
              <w:right w:w="108" w:type="dxa"/>
            </w:tcMar>
            <w:vAlign w:val="center"/>
          </w:tcPr>
          <w:p w14:paraId="6D54FB07" w14:textId="3CF8CADA" w:rsidR="001228F9" w:rsidRPr="001228F9" w:rsidRDefault="001228F9" w:rsidP="001228F9">
            <w:pPr>
              <w:pStyle w:val="Default"/>
              <w:ind w:right="177"/>
            </w:pPr>
            <w:r w:rsidRPr="001228F9">
              <w:t>General Reserve</w:t>
            </w:r>
          </w:p>
        </w:tc>
        <w:tc>
          <w:tcPr>
            <w:tcW w:w="850" w:type="dxa"/>
            <w:tcBorders>
              <w:top w:val="single" w:sz="4" w:space="0" w:color="auto"/>
              <w:left w:val="nil"/>
              <w:bottom w:val="single" w:sz="4" w:space="0" w:color="auto"/>
              <w:right w:val="single" w:sz="4" w:space="0" w:color="auto"/>
            </w:tcBorders>
            <w:shd w:val="clear" w:color="auto" w:fill="auto"/>
            <w:vAlign w:val="center"/>
          </w:tcPr>
          <w:p w14:paraId="702F209E" w14:textId="3F6D9F3B" w:rsidR="001228F9" w:rsidRPr="001228F9" w:rsidRDefault="001228F9" w:rsidP="001228F9">
            <w:pPr>
              <w:pStyle w:val="Default"/>
              <w:ind w:right="177"/>
              <w:jc w:val="right"/>
            </w:pPr>
            <w:r w:rsidRPr="001228F9">
              <w:t>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034EF3" w14:textId="04520E86" w:rsidR="001228F9" w:rsidRPr="001228F9" w:rsidRDefault="001228F9" w:rsidP="001228F9">
            <w:pPr>
              <w:pStyle w:val="Default"/>
              <w:ind w:right="177"/>
              <w:jc w:val="right"/>
            </w:pPr>
            <w:r w:rsidRPr="001228F9">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F89C5E" w14:textId="3D1585B9" w:rsidR="001228F9" w:rsidRPr="001228F9" w:rsidRDefault="001228F9" w:rsidP="001228F9">
            <w:pPr>
              <w:pStyle w:val="Default"/>
              <w:ind w:right="177"/>
              <w:jc w:val="right"/>
            </w:pPr>
            <w:r w:rsidRPr="001228F9">
              <w:t>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937EB0" w14:textId="12023A0D" w:rsidR="001228F9" w:rsidRPr="001228F9" w:rsidRDefault="001228F9" w:rsidP="001228F9">
            <w:pPr>
              <w:pStyle w:val="Default"/>
              <w:ind w:right="177"/>
              <w:jc w:val="right"/>
            </w:pPr>
            <w:r w:rsidRPr="001228F9">
              <w:t>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701D27" w14:textId="2E56A344" w:rsidR="001228F9" w:rsidRPr="001228F9" w:rsidRDefault="001228F9" w:rsidP="001228F9">
            <w:pPr>
              <w:pStyle w:val="Default"/>
              <w:ind w:right="177"/>
              <w:jc w:val="right"/>
            </w:pPr>
            <w:r w:rsidRPr="001228F9">
              <w:t>4.5</w:t>
            </w:r>
          </w:p>
        </w:tc>
      </w:tr>
      <w:tr w:rsidR="001228F9" w:rsidRPr="001228F9" w14:paraId="253D9794" w14:textId="77777777" w:rsidTr="00B50A33">
        <w:tc>
          <w:tcPr>
            <w:tcW w:w="3849" w:type="dxa"/>
            <w:tcMar>
              <w:top w:w="0" w:type="dxa"/>
              <w:left w:w="108" w:type="dxa"/>
              <w:bottom w:w="0" w:type="dxa"/>
              <w:right w:w="108" w:type="dxa"/>
            </w:tcMar>
            <w:vAlign w:val="center"/>
          </w:tcPr>
          <w:p w14:paraId="02E57044" w14:textId="4B7795AF" w:rsidR="001228F9" w:rsidRPr="001228F9" w:rsidRDefault="001228F9" w:rsidP="001228F9">
            <w:pPr>
              <w:pStyle w:val="Default"/>
              <w:ind w:right="177"/>
            </w:pPr>
            <w:r w:rsidRPr="001228F9">
              <w:t>Quantified major risks</w:t>
            </w:r>
          </w:p>
        </w:tc>
        <w:tc>
          <w:tcPr>
            <w:tcW w:w="850" w:type="dxa"/>
            <w:tcBorders>
              <w:top w:val="single" w:sz="4" w:space="0" w:color="auto"/>
              <w:left w:val="nil"/>
              <w:bottom w:val="single" w:sz="4" w:space="0" w:color="auto"/>
              <w:right w:val="single" w:sz="4" w:space="0" w:color="auto"/>
            </w:tcBorders>
            <w:shd w:val="clear" w:color="auto" w:fill="auto"/>
            <w:vAlign w:val="center"/>
          </w:tcPr>
          <w:p w14:paraId="371081F9" w14:textId="2E259DFA" w:rsidR="001228F9" w:rsidRPr="001228F9" w:rsidRDefault="001228F9" w:rsidP="001228F9">
            <w:pPr>
              <w:pStyle w:val="Default"/>
              <w:ind w:right="177"/>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56F9D1" w14:textId="4383B0E2" w:rsidR="001228F9" w:rsidRPr="001228F9" w:rsidRDefault="001228F9" w:rsidP="001228F9">
            <w:pPr>
              <w:pStyle w:val="Default"/>
              <w:ind w:right="177"/>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BA6E91" w14:textId="171CB620" w:rsidR="001228F9" w:rsidRPr="001228F9" w:rsidRDefault="001228F9" w:rsidP="001228F9">
            <w:pPr>
              <w:pStyle w:val="Default"/>
              <w:ind w:right="177"/>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306787" w14:textId="7892142B" w:rsidR="001228F9" w:rsidRPr="001228F9" w:rsidRDefault="001228F9" w:rsidP="001228F9">
            <w:pPr>
              <w:pStyle w:val="Default"/>
              <w:ind w:right="177"/>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005806" w14:textId="5D148DD5" w:rsidR="001228F9" w:rsidRPr="001228F9" w:rsidRDefault="001228F9" w:rsidP="001228F9">
            <w:pPr>
              <w:pStyle w:val="Default"/>
              <w:ind w:right="177"/>
              <w:jc w:val="right"/>
            </w:pPr>
          </w:p>
        </w:tc>
      </w:tr>
      <w:tr w:rsidR="001228F9" w:rsidRPr="001228F9" w14:paraId="1D9BA9C4" w14:textId="77777777" w:rsidTr="00B50A33">
        <w:tc>
          <w:tcPr>
            <w:tcW w:w="3849" w:type="dxa"/>
            <w:tcMar>
              <w:top w:w="0" w:type="dxa"/>
              <w:left w:w="108" w:type="dxa"/>
              <w:bottom w:w="0" w:type="dxa"/>
              <w:right w:w="108" w:type="dxa"/>
            </w:tcMar>
            <w:vAlign w:val="center"/>
          </w:tcPr>
          <w:p w14:paraId="0ECEE375" w14:textId="7A84127C" w:rsidR="001228F9" w:rsidRPr="001228F9" w:rsidRDefault="001228F9" w:rsidP="001228F9">
            <w:pPr>
              <w:pStyle w:val="Default"/>
              <w:ind w:right="177"/>
            </w:pPr>
            <w:r w:rsidRPr="001228F9">
              <w:t>- 1% higher pay award</w:t>
            </w:r>
          </w:p>
        </w:tc>
        <w:tc>
          <w:tcPr>
            <w:tcW w:w="850" w:type="dxa"/>
            <w:tcBorders>
              <w:top w:val="single" w:sz="4" w:space="0" w:color="auto"/>
              <w:left w:val="nil"/>
              <w:bottom w:val="single" w:sz="4" w:space="0" w:color="auto"/>
              <w:right w:val="single" w:sz="4" w:space="0" w:color="auto"/>
            </w:tcBorders>
            <w:shd w:val="clear" w:color="auto" w:fill="auto"/>
            <w:vAlign w:val="center"/>
          </w:tcPr>
          <w:p w14:paraId="31F8B77A" w14:textId="4F7C6FA8" w:rsidR="001228F9" w:rsidRPr="001228F9" w:rsidRDefault="001228F9" w:rsidP="001228F9">
            <w:pPr>
              <w:pStyle w:val="Default"/>
              <w:ind w:right="177"/>
              <w:jc w:val="right"/>
            </w:pPr>
            <w:r w:rsidRPr="001228F9">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A39119" w14:textId="34325590" w:rsidR="001228F9" w:rsidRPr="001228F9" w:rsidRDefault="001228F9" w:rsidP="001228F9">
            <w:pPr>
              <w:pStyle w:val="Default"/>
              <w:ind w:right="177"/>
              <w:jc w:val="right"/>
            </w:pPr>
            <w:r w:rsidRPr="001228F9">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023463" w14:textId="2364CEE0" w:rsidR="001228F9" w:rsidRPr="001228F9" w:rsidRDefault="001228F9" w:rsidP="001228F9">
            <w:pPr>
              <w:pStyle w:val="Default"/>
              <w:ind w:right="177"/>
              <w:jc w:val="right"/>
            </w:pPr>
            <w:r w:rsidRPr="001228F9">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09EAC" w14:textId="43891543" w:rsidR="001228F9" w:rsidRPr="001228F9" w:rsidRDefault="001228F9" w:rsidP="001228F9">
            <w:pPr>
              <w:pStyle w:val="Default"/>
              <w:ind w:right="177"/>
              <w:jc w:val="right"/>
            </w:pPr>
            <w:r w:rsidRPr="001228F9">
              <w:t>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F3E4C1" w14:textId="3CC11A02" w:rsidR="001228F9" w:rsidRPr="001228F9" w:rsidRDefault="001228F9" w:rsidP="001228F9">
            <w:pPr>
              <w:pStyle w:val="Default"/>
              <w:ind w:right="177"/>
              <w:jc w:val="right"/>
            </w:pPr>
            <w:r w:rsidRPr="001228F9">
              <w:t>0.6</w:t>
            </w:r>
          </w:p>
        </w:tc>
      </w:tr>
      <w:tr w:rsidR="001228F9" w:rsidRPr="001228F9" w14:paraId="124F1BC4" w14:textId="77777777" w:rsidTr="00B50A33">
        <w:tc>
          <w:tcPr>
            <w:tcW w:w="3849" w:type="dxa"/>
            <w:tcMar>
              <w:top w:w="0" w:type="dxa"/>
              <w:left w:w="108" w:type="dxa"/>
              <w:bottom w:w="0" w:type="dxa"/>
              <w:right w:w="108" w:type="dxa"/>
            </w:tcMar>
            <w:vAlign w:val="center"/>
          </w:tcPr>
          <w:p w14:paraId="7AE7A7F7" w14:textId="482ADAAB" w:rsidR="001228F9" w:rsidRPr="001228F9" w:rsidRDefault="001228F9" w:rsidP="001228F9">
            <w:pPr>
              <w:pStyle w:val="Default"/>
              <w:ind w:right="177"/>
            </w:pPr>
            <w:r w:rsidRPr="001228F9">
              <w:t>- Loss of Business Rates Growth at Reset</w:t>
            </w:r>
          </w:p>
        </w:tc>
        <w:tc>
          <w:tcPr>
            <w:tcW w:w="850" w:type="dxa"/>
            <w:tcBorders>
              <w:top w:val="single" w:sz="4" w:space="0" w:color="auto"/>
              <w:left w:val="nil"/>
              <w:bottom w:val="single" w:sz="4" w:space="0" w:color="auto"/>
              <w:right w:val="single" w:sz="4" w:space="0" w:color="auto"/>
            </w:tcBorders>
            <w:shd w:val="clear" w:color="auto" w:fill="auto"/>
            <w:vAlign w:val="center"/>
          </w:tcPr>
          <w:p w14:paraId="242396CF" w14:textId="570F83E2" w:rsidR="001228F9" w:rsidRPr="001228F9" w:rsidRDefault="001228F9" w:rsidP="001228F9">
            <w:pPr>
              <w:pStyle w:val="Default"/>
              <w:ind w:right="177"/>
              <w:jc w:val="right"/>
            </w:pPr>
            <w:r w:rsidRPr="001228F9">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5D4238" w14:textId="79FB39E5" w:rsidR="001228F9" w:rsidRPr="001228F9" w:rsidRDefault="001228F9" w:rsidP="001228F9">
            <w:pPr>
              <w:pStyle w:val="Default"/>
              <w:ind w:right="177"/>
              <w:jc w:val="right"/>
            </w:pPr>
            <w:r w:rsidRPr="001228F9">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2089B" w14:textId="47AA023C" w:rsidR="001228F9" w:rsidRPr="001228F9" w:rsidRDefault="001228F9" w:rsidP="001228F9">
            <w:pPr>
              <w:pStyle w:val="Default"/>
              <w:ind w:right="177"/>
              <w:jc w:val="right"/>
            </w:pPr>
            <w:r w:rsidRPr="001228F9">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D0E6DF" w14:textId="754493C6" w:rsidR="001228F9" w:rsidRPr="001228F9" w:rsidRDefault="001228F9" w:rsidP="001228F9">
            <w:pPr>
              <w:pStyle w:val="Default"/>
              <w:ind w:right="177"/>
              <w:jc w:val="right"/>
            </w:pPr>
            <w:r w:rsidRPr="001228F9">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35B434" w14:textId="2CD54F6B" w:rsidR="001228F9" w:rsidRPr="001228F9" w:rsidRDefault="001228F9" w:rsidP="001228F9">
            <w:pPr>
              <w:pStyle w:val="Default"/>
              <w:ind w:right="177"/>
              <w:jc w:val="right"/>
            </w:pPr>
            <w:r w:rsidRPr="001228F9">
              <w:t>1.0</w:t>
            </w:r>
          </w:p>
        </w:tc>
      </w:tr>
      <w:tr w:rsidR="001228F9" w:rsidRPr="001228F9" w14:paraId="4DC6551D" w14:textId="77777777" w:rsidTr="00B50A33">
        <w:tc>
          <w:tcPr>
            <w:tcW w:w="3849" w:type="dxa"/>
            <w:tcMar>
              <w:top w:w="0" w:type="dxa"/>
              <w:left w:w="108" w:type="dxa"/>
              <w:bottom w:w="0" w:type="dxa"/>
              <w:right w:w="108" w:type="dxa"/>
            </w:tcMar>
            <w:vAlign w:val="center"/>
          </w:tcPr>
          <w:p w14:paraId="46ECC17C" w14:textId="1F6E3CEA" w:rsidR="001228F9" w:rsidRPr="001228F9" w:rsidRDefault="001228F9" w:rsidP="001228F9">
            <w:pPr>
              <w:pStyle w:val="Default"/>
              <w:ind w:right="177"/>
            </w:pPr>
            <w:r w:rsidRPr="001228F9">
              <w:t>1 year delay in delivery of savings</w:t>
            </w:r>
          </w:p>
        </w:tc>
        <w:tc>
          <w:tcPr>
            <w:tcW w:w="850" w:type="dxa"/>
            <w:tcBorders>
              <w:top w:val="single" w:sz="4" w:space="0" w:color="auto"/>
              <w:left w:val="nil"/>
              <w:bottom w:val="single" w:sz="4" w:space="0" w:color="auto"/>
              <w:right w:val="single" w:sz="4" w:space="0" w:color="auto"/>
            </w:tcBorders>
            <w:shd w:val="clear" w:color="auto" w:fill="auto"/>
            <w:vAlign w:val="center"/>
          </w:tcPr>
          <w:p w14:paraId="03C79F25" w14:textId="0E547844" w:rsidR="001228F9" w:rsidRPr="001228F9" w:rsidRDefault="001228F9" w:rsidP="001228F9">
            <w:pPr>
              <w:pStyle w:val="Default"/>
              <w:ind w:right="177"/>
              <w:jc w:val="right"/>
            </w:pPr>
            <w:r w:rsidRPr="001228F9">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3113E7" w14:textId="7F76E7BD" w:rsidR="001228F9" w:rsidRPr="001228F9" w:rsidRDefault="001228F9" w:rsidP="001228F9">
            <w:pPr>
              <w:pStyle w:val="Default"/>
              <w:ind w:right="177"/>
              <w:jc w:val="right"/>
            </w:pPr>
            <w:r w:rsidRPr="001228F9">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54702" w14:textId="50742258" w:rsidR="001228F9" w:rsidRPr="001228F9" w:rsidRDefault="001228F9" w:rsidP="001228F9">
            <w:pPr>
              <w:pStyle w:val="Default"/>
              <w:ind w:right="177"/>
              <w:jc w:val="right"/>
            </w:pPr>
            <w:r w:rsidRPr="001228F9">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11D326" w14:textId="16B2F436" w:rsidR="001228F9" w:rsidRPr="001228F9" w:rsidRDefault="001228F9" w:rsidP="001228F9">
            <w:pPr>
              <w:pStyle w:val="Default"/>
              <w:ind w:right="177"/>
              <w:jc w:val="right"/>
            </w:pPr>
            <w:r w:rsidRPr="001228F9">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DE0DDA" w14:textId="05D88CB6" w:rsidR="001228F9" w:rsidRPr="001228F9" w:rsidRDefault="001228F9" w:rsidP="001228F9">
            <w:pPr>
              <w:pStyle w:val="Default"/>
              <w:ind w:right="177"/>
              <w:jc w:val="right"/>
            </w:pPr>
            <w:r w:rsidRPr="001228F9">
              <w:t>0.5</w:t>
            </w:r>
          </w:p>
        </w:tc>
      </w:tr>
      <w:tr w:rsidR="001228F9" w:rsidRPr="001228F9" w14:paraId="433146DE" w14:textId="77777777" w:rsidTr="00B50A33">
        <w:tc>
          <w:tcPr>
            <w:tcW w:w="3849" w:type="dxa"/>
            <w:tcMar>
              <w:top w:w="0" w:type="dxa"/>
              <w:left w:w="108" w:type="dxa"/>
              <w:bottom w:w="0" w:type="dxa"/>
              <w:right w:w="108" w:type="dxa"/>
            </w:tcMar>
            <w:vAlign w:val="center"/>
          </w:tcPr>
          <w:p w14:paraId="2FF5144C" w14:textId="63239D98" w:rsidR="001228F9" w:rsidRPr="001228F9" w:rsidRDefault="001228F9" w:rsidP="001228F9">
            <w:pPr>
              <w:pStyle w:val="Default"/>
              <w:ind w:right="177"/>
            </w:pPr>
            <w:r w:rsidRPr="001228F9">
              <w:t>2% increase in borrowing rates</w:t>
            </w:r>
          </w:p>
        </w:tc>
        <w:tc>
          <w:tcPr>
            <w:tcW w:w="850" w:type="dxa"/>
            <w:tcBorders>
              <w:top w:val="single" w:sz="4" w:space="0" w:color="auto"/>
              <w:left w:val="nil"/>
              <w:bottom w:val="single" w:sz="4" w:space="0" w:color="auto"/>
              <w:right w:val="single" w:sz="4" w:space="0" w:color="auto"/>
            </w:tcBorders>
            <w:shd w:val="clear" w:color="auto" w:fill="auto"/>
            <w:vAlign w:val="center"/>
          </w:tcPr>
          <w:p w14:paraId="6818711D" w14:textId="5F9ADA9D" w:rsidR="001228F9" w:rsidRPr="001228F9" w:rsidRDefault="001228F9" w:rsidP="001228F9">
            <w:pPr>
              <w:pStyle w:val="Default"/>
              <w:ind w:right="177"/>
              <w:jc w:val="right"/>
            </w:pPr>
            <w:r w:rsidRPr="001228F9">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846A5" w14:textId="52C1913A" w:rsidR="001228F9" w:rsidRPr="001228F9" w:rsidRDefault="001228F9" w:rsidP="001228F9">
            <w:pPr>
              <w:pStyle w:val="Default"/>
              <w:ind w:right="177"/>
              <w:jc w:val="right"/>
            </w:pPr>
            <w:r w:rsidRPr="001228F9">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7AEB01" w14:textId="66ED2FE4" w:rsidR="001228F9" w:rsidRPr="001228F9" w:rsidRDefault="001228F9" w:rsidP="001228F9">
            <w:pPr>
              <w:pStyle w:val="Default"/>
              <w:ind w:right="177"/>
              <w:jc w:val="right"/>
            </w:pPr>
            <w:r w:rsidRPr="001228F9">
              <w:t>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964EA5" w14:textId="34532528" w:rsidR="001228F9" w:rsidRPr="001228F9" w:rsidRDefault="001228F9" w:rsidP="001228F9">
            <w:pPr>
              <w:pStyle w:val="Default"/>
              <w:ind w:right="177"/>
              <w:jc w:val="right"/>
            </w:pPr>
            <w:r w:rsidRPr="001228F9">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53DC26" w14:textId="74C53583" w:rsidR="001228F9" w:rsidRPr="001228F9" w:rsidRDefault="001228F9" w:rsidP="001228F9">
            <w:pPr>
              <w:pStyle w:val="Default"/>
              <w:ind w:right="177"/>
              <w:jc w:val="right"/>
            </w:pPr>
            <w:r w:rsidRPr="001228F9">
              <w:t>1.0</w:t>
            </w:r>
          </w:p>
        </w:tc>
      </w:tr>
      <w:tr w:rsidR="001228F9" w:rsidRPr="001228F9" w14:paraId="79F023E6" w14:textId="77777777" w:rsidTr="00B50A33">
        <w:tc>
          <w:tcPr>
            <w:tcW w:w="3849" w:type="dxa"/>
            <w:tcMar>
              <w:top w:w="0" w:type="dxa"/>
              <w:left w:w="108" w:type="dxa"/>
              <w:bottom w:w="0" w:type="dxa"/>
              <w:right w:w="108" w:type="dxa"/>
            </w:tcMar>
            <w:vAlign w:val="center"/>
          </w:tcPr>
          <w:p w14:paraId="5230685A" w14:textId="6861C016" w:rsidR="001228F9" w:rsidRPr="001228F9" w:rsidRDefault="001228F9" w:rsidP="001228F9">
            <w:pPr>
              <w:pStyle w:val="Default"/>
              <w:ind w:right="177"/>
            </w:pPr>
            <w:r w:rsidRPr="001228F9">
              <w:t>- 7% reduction in funding following Spending review and review of funding formula (assume phased in over 3 years)</w:t>
            </w:r>
          </w:p>
        </w:tc>
        <w:tc>
          <w:tcPr>
            <w:tcW w:w="850" w:type="dxa"/>
            <w:tcBorders>
              <w:top w:val="single" w:sz="4" w:space="0" w:color="auto"/>
              <w:left w:val="nil"/>
              <w:bottom w:val="single" w:sz="4" w:space="0" w:color="auto"/>
              <w:right w:val="single" w:sz="4" w:space="0" w:color="auto"/>
            </w:tcBorders>
            <w:shd w:val="clear" w:color="auto" w:fill="auto"/>
            <w:vAlign w:val="center"/>
          </w:tcPr>
          <w:p w14:paraId="26202C19" w14:textId="4CA2D574" w:rsidR="001228F9" w:rsidRPr="001228F9" w:rsidRDefault="001228F9" w:rsidP="001228F9">
            <w:pPr>
              <w:pStyle w:val="Default"/>
              <w:ind w:right="177"/>
              <w:jc w:val="right"/>
            </w:pPr>
            <w:r w:rsidRPr="001228F9">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488809" w14:textId="1DE3AE84" w:rsidR="001228F9" w:rsidRPr="001228F9" w:rsidRDefault="001228F9" w:rsidP="001228F9">
            <w:pPr>
              <w:pStyle w:val="Default"/>
              <w:ind w:right="177"/>
              <w:jc w:val="right"/>
            </w:pPr>
            <w:r w:rsidRPr="001228F9">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9789A6" w14:textId="42AABC98" w:rsidR="001228F9" w:rsidRPr="001228F9" w:rsidRDefault="001228F9" w:rsidP="001228F9">
            <w:pPr>
              <w:pStyle w:val="Default"/>
              <w:ind w:right="177"/>
              <w:jc w:val="right"/>
            </w:pPr>
            <w:r w:rsidRPr="001228F9">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8890FB" w14:textId="2B11E75D" w:rsidR="001228F9" w:rsidRPr="001228F9" w:rsidRDefault="001228F9" w:rsidP="001228F9">
            <w:pPr>
              <w:pStyle w:val="Default"/>
              <w:ind w:right="177"/>
              <w:jc w:val="right"/>
            </w:pPr>
            <w:r w:rsidRPr="001228F9">
              <w:t>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2EA155" w14:textId="68E5B3F3" w:rsidR="001228F9" w:rsidRPr="001228F9" w:rsidRDefault="001228F9" w:rsidP="001228F9">
            <w:pPr>
              <w:pStyle w:val="Default"/>
              <w:ind w:right="177"/>
              <w:jc w:val="right"/>
            </w:pPr>
            <w:r w:rsidRPr="001228F9">
              <w:t>5.7</w:t>
            </w:r>
          </w:p>
        </w:tc>
      </w:tr>
      <w:tr w:rsidR="001228F9" w:rsidRPr="001228F9" w14:paraId="6FFEB6BA" w14:textId="77777777" w:rsidTr="00B50A33">
        <w:tc>
          <w:tcPr>
            <w:tcW w:w="3849" w:type="dxa"/>
            <w:tcMar>
              <w:top w:w="0" w:type="dxa"/>
              <w:left w:w="108" w:type="dxa"/>
              <w:bottom w:w="0" w:type="dxa"/>
              <w:right w:w="108" w:type="dxa"/>
            </w:tcMar>
            <w:vAlign w:val="center"/>
          </w:tcPr>
          <w:p w14:paraId="19046A99" w14:textId="0912ED1A" w:rsidR="001228F9" w:rsidRPr="001228F9" w:rsidRDefault="001228F9" w:rsidP="001228F9">
            <w:pPr>
              <w:pStyle w:val="Default"/>
              <w:ind w:right="177"/>
            </w:pPr>
            <w:r w:rsidRPr="001228F9">
              <w:rPr>
                <w:b/>
                <w:bCs/>
              </w:rPr>
              <w:t>Subtotal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597A1FFC" w14:textId="4F3550F6" w:rsidR="001228F9" w:rsidRPr="001228F9" w:rsidRDefault="001228F9" w:rsidP="001228F9">
            <w:pPr>
              <w:pStyle w:val="Default"/>
              <w:ind w:right="177"/>
              <w:jc w:val="right"/>
            </w:pPr>
            <w:r w:rsidRPr="001228F9">
              <w:rPr>
                <w:b/>
                <w:bCs/>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29ED6D" w14:textId="4B6FC57C" w:rsidR="001228F9" w:rsidRPr="001228F9" w:rsidRDefault="001228F9" w:rsidP="001228F9">
            <w:pPr>
              <w:pStyle w:val="Default"/>
              <w:ind w:right="177"/>
              <w:jc w:val="right"/>
            </w:pPr>
            <w:r w:rsidRPr="001228F9">
              <w:rPr>
                <w:b/>
                <w:bCs/>
              </w:rPr>
              <w:t>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863123" w14:textId="19F7F0E7" w:rsidR="001228F9" w:rsidRPr="001228F9" w:rsidRDefault="001228F9" w:rsidP="001228F9">
            <w:pPr>
              <w:pStyle w:val="Default"/>
              <w:ind w:right="177"/>
              <w:jc w:val="right"/>
            </w:pPr>
            <w:r w:rsidRPr="001228F9">
              <w:rPr>
                <w:b/>
                <w:bCs/>
              </w:rPr>
              <w:t>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17CA95" w14:textId="57E19300" w:rsidR="001228F9" w:rsidRPr="001228F9" w:rsidRDefault="001228F9" w:rsidP="001228F9">
            <w:pPr>
              <w:pStyle w:val="Default"/>
              <w:ind w:right="177"/>
              <w:jc w:val="right"/>
            </w:pPr>
            <w:r w:rsidRPr="001228F9">
              <w:rPr>
                <w:b/>
                <w:bCs/>
              </w:rPr>
              <w:t>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C378D1" w14:textId="03D152FA" w:rsidR="001228F9" w:rsidRPr="001228F9" w:rsidRDefault="001228F9" w:rsidP="001228F9">
            <w:pPr>
              <w:pStyle w:val="Default"/>
              <w:ind w:right="177"/>
              <w:jc w:val="right"/>
            </w:pPr>
            <w:r w:rsidRPr="001228F9">
              <w:rPr>
                <w:b/>
                <w:bCs/>
              </w:rPr>
              <w:t>8.8</w:t>
            </w:r>
          </w:p>
        </w:tc>
      </w:tr>
      <w:tr w:rsidR="001228F9" w:rsidRPr="001228F9" w14:paraId="47B5C763" w14:textId="77777777" w:rsidTr="00B50A33">
        <w:tc>
          <w:tcPr>
            <w:tcW w:w="3849" w:type="dxa"/>
            <w:tcMar>
              <w:top w:w="0" w:type="dxa"/>
              <w:left w:w="108" w:type="dxa"/>
              <w:bottom w:w="0" w:type="dxa"/>
              <w:right w:w="108" w:type="dxa"/>
            </w:tcMar>
            <w:vAlign w:val="center"/>
          </w:tcPr>
          <w:p w14:paraId="0E21C6FB" w14:textId="747A7E11" w:rsidR="001228F9" w:rsidRPr="001228F9" w:rsidRDefault="001228F9" w:rsidP="001228F9">
            <w:pPr>
              <w:pStyle w:val="Default"/>
              <w:ind w:right="177"/>
              <w:rPr>
                <w:b/>
                <w:bCs/>
              </w:rPr>
            </w:pPr>
            <w:r w:rsidRPr="001228F9">
              <w:rPr>
                <w:b/>
                <w:bCs/>
              </w:rPr>
              <w:t>Revised General Fund Balance</w:t>
            </w:r>
          </w:p>
        </w:tc>
        <w:tc>
          <w:tcPr>
            <w:tcW w:w="850" w:type="dxa"/>
            <w:tcBorders>
              <w:top w:val="single" w:sz="4" w:space="0" w:color="auto"/>
              <w:left w:val="nil"/>
              <w:bottom w:val="single" w:sz="4" w:space="0" w:color="auto"/>
              <w:right w:val="single" w:sz="4" w:space="0" w:color="auto"/>
            </w:tcBorders>
            <w:shd w:val="clear" w:color="auto" w:fill="auto"/>
            <w:vAlign w:val="center"/>
          </w:tcPr>
          <w:p w14:paraId="40DB4D32" w14:textId="41478C40" w:rsidR="001228F9" w:rsidRPr="001228F9" w:rsidRDefault="001228F9" w:rsidP="001228F9">
            <w:pPr>
              <w:pStyle w:val="Default"/>
              <w:ind w:right="177"/>
              <w:jc w:val="right"/>
              <w:rPr>
                <w:b/>
                <w:bCs/>
              </w:rPr>
            </w:pPr>
            <w:r w:rsidRPr="001228F9">
              <w:rPr>
                <w:b/>
                <w:bCs/>
              </w:rPr>
              <w:t>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2D51FA" w14:textId="70DC5BB3" w:rsidR="001228F9" w:rsidRPr="001228F9" w:rsidRDefault="001228F9" w:rsidP="001228F9">
            <w:pPr>
              <w:pStyle w:val="Default"/>
              <w:ind w:right="177"/>
              <w:jc w:val="right"/>
              <w:rPr>
                <w:b/>
                <w:bCs/>
              </w:rPr>
            </w:pPr>
            <w:r w:rsidRPr="001228F9">
              <w:rPr>
                <w:b/>
                <w:bCs/>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AEC35B" w14:textId="50B6C3CF" w:rsidR="001228F9" w:rsidRPr="001228F9" w:rsidRDefault="001228F9" w:rsidP="001228F9">
            <w:pPr>
              <w:pStyle w:val="Default"/>
              <w:ind w:right="177"/>
              <w:jc w:val="right"/>
              <w:rPr>
                <w:b/>
                <w:bCs/>
              </w:rPr>
            </w:pPr>
            <w:r w:rsidRPr="001228F9">
              <w:rPr>
                <w:b/>
                <w:bCs/>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9443C" w14:textId="0E82B7B1" w:rsidR="001228F9" w:rsidRPr="001228F9" w:rsidRDefault="001228F9" w:rsidP="001228F9">
            <w:pPr>
              <w:pStyle w:val="Default"/>
              <w:ind w:right="177"/>
              <w:jc w:val="right"/>
              <w:rPr>
                <w:b/>
                <w:bCs/>
              </w:rPr>
            </w:pPr>
            <w:r w:rsidRPr="001228F9">
              <w:rPr>
                <w:b/>
                <w:bCs/>
              </w:rPr>
              <w:t>(18.8)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0BAB41" w14:textId="47CDAC76" w:rsidR="001228F9" w:rsidRPr="001228F9" w:rsidRDefault="001228F9" w:rsidP="001228F9">
            <w:pPr>
              <w:pStyle w:val="Default"/>
              <w:ind w:right="177"/>
              <w:jc w:val="right"/>
              <w:rPr>
                <w:b/>
                <w:bCs/>
              </w:rPr>
            </w:pPr>
            <w:r w:rsidRPr="001228F9">
              <w:rPr>
                <w:b/>
                <w:bCs/>
              </w:rPr>
              <w:t>(27.3)</w:t>
            </w:r>
          </w:p>
        </w:tc>
      </w:tr>
    </w:tbl>
    <w:p w14:paraId="4198BC18" w14:textId="5D12B3D5" w:rsidR="00424F21" w:rsidRDefault="00B50A33" w:rsidP="00424F21">
      <w:pPr>
        <w:pStyle w:val="Default"/>
        <w:numPr>
          <w:ilvl w:val="0"/>
          <w:numId w:val="2"/>
        </w:numPr>
        <w:spacing w:before="120" w:after="240"/>
        <w:ind w:left="635" w:hanging="635"/>
      </w:pPr>
      <w:bookmarkStart w:id="2" w:name="_Hlk189660678"/>
      <w:r>
        <w:lastRenderedPageBreak/>
        <w:t xml:space="preserve">The analysis shows that whilst the general </w:t>
      </w:r>
      <w:r w:rsidR="0080774D">
        <w:t>reserve</w:t>
      </w:r>
      <w:r>
        <w:t xml:space="preserve"> is sufficient to meet </w:t>
      </w:r>
      <w:r w:rsidR="002571D0">
        <w:t>all the worst-case</w:t>
      </w:r>
      <w:r w:rsidR="001228F9">
        <w:t xml:space="preserve"> risks in 2025/26 and 2026/27, with reliance on earmarked reserves, major structural changes would be required alongside government support beyond year two of the MTFS</w:t>
      </w:r>
      <w:bookmarkEnd w:id="2"/>
      <w:r w:rsidR="008C79A8">
        <w:t>.</w:t>
      </w:r>
    </w:p>
    <w:p w14:paraId="23BA2FF4" w14:textId="13E32793" w:rsidR="00424F21" w:rsidRPr="005B0288" w:rsidRDefault="005B0288" w:rsidP="005B0288">
      <w:pPr>
        <w:spacing w:before="240" w:after="120"/>
        <w:jc w:val="both"/>
        <w:rPr>
          <w:rFonts w:ascii="Arial" w:hAnsi="Arial"/>
          <w:b/>
        </w:rPr>
      </w:pPr>
      <w:r>
        <w:rPr>
          <w:rFonts w:ascii="Arial" w:hAnsi="Arial"/>
          <w:b/>
        </w:rPr>
        <w:t>Indicative Capital Programme</w:t>
      </w:r>
    </w:p>
    <w:p w14:paraId="14C6AA85" w14:textId="6A86C288" w:rsidR="00734C6A" w:rsidRDefault="00734C6A" w:rsidP="00734C6A">
      <w:pPr>
        <w:pStyle w:val="Default"/>
        <w:numPr>
          <w:ilvl w:val="0"/>
          <w:numId w:val="2"/>
        </w:numPr>
        <w:spacing w:before="120" w:after="240"/>
        <w:ind w:left="635" w:hanging="635"/>
      </w:pPr>
      <w:r w:rsidRPr="00E667AF">
        <w:t xml:space="preserve">The </w:t>
      </w:r>
      <w:r>
        <w:t xml:space="preserve">Authority has a </w:t>
      </w:r>
      <w:proofErr w:type="gramStart"/>
      <w:r>
        <w:t>ten year</w:t>
      </w:r>
      <w:proofErr w:type="gramEnd"/>
      <w:r>
        <w:t xml:space="preserve"> capital programme, from </w:t>
      </w:r>
      <w:r w:rsidRPr="00E667AF">
        <w:t>202</w:t>
      </w:r>
      <w:r w:rsidR="005B1024">
        <w:t>5</w:t>
      </w:r>
      <w:r>
        <w:t>/</w:t>
      </w:r>
      <w:r w:rsidR="005B1024">
        <w:t>26</w:t>
      </w:r>
      <w:r w:rsidRPr="00E667AF">
        <w:t xml:space="preserve"> to 20</w:t>
      </w:r>
      <w:r>
        <w:t>3</w:t>
      </w:r>
      <w:r w:rsidR="005B1024">
        <w:t>4</w:t>
      </w:r>
      <w:r>
        <w:t>/3</w:t>
      </w:r>
      <w:r w:rsidR="005B1024">
        <w:t>5</w:t>
      </w:r>
      <w:r>
        <w:t xml:space="preserve">. This reflects the Authority’s capital aspirations in the Fleet, Estates and ICT strategies. The first five years of the strategy are </w:t>
      </w:r>
      <w:r w:rsidR="0044014A">
        <w:t>set out below.</w:t>
      </w:r>
      <w:r>
        <w:t xml:space="preserve"> </w:t>
      </w:r>
      <w:r w:rsidR="0044014A">
        <w:t xml:space="preserve">Work is ongoing to refine the later years of the programme (from years 6 to 10), </w:t>
      </w:r>
      <w:proofErr w:type="gramStart"/>
      <w:r>
        <w:t>in particular with</w:t>
      </w:r>
      <w:proofErr w:type="gramEnd"/>
      <w:r>
        <w:t xml:space="preserve"> detailed condition surveys across our estate. </w:t>
      </w:r>
    </w:p>
    <w:p w14:paraId="24887A93" w14:textId="139A00EA" w:rsidR="00734C6A" w:rsidRDefault="00734C6A" w:rsidP="00734C6A">
      <w:pPr>
        <w:pStyle w:val="Default"/>
        <w:numPr>
          <w:ilvl w:val="0"/>
          <w:numId w:val="2"/>
        </w:numPr>
        <w:spacing w:before="120" w:after="240"/>
        <w:ind w:left="635" w:hanging="635"/>
      </w:pPr>
      <w:r>
        <w:t>The</w:t>
      </w:r>
      <w:r w:rsidRPr="00E667AF">
        <w:t xml:space="preserve"> table </w:t>
      </w:r>
      <w:r>
        <w:t xml:space="preserve">below </w:t>
      </w:r>
      <w:r w:rsidRPr="00E667AF">
        <w:t xml:space="preserve">shows the Authority’s </w:t>
      </w:r>
      <w:r>
        <w:t xml:space="preserve">first five years of the </w:t>
      </w:r>
      <w:r w:rsidRPr="00E667AF">
        <w:t>Capital Programme and how it is anticipated that it will be funded</w:t>
      </w:r>
      <w:r>
        <w:t xml:space="preserve">. </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100"/>
        <w:gridCol w:w="1100"/>
        <w:gridCol w:w="1100"/>
        <w:gridCol w:w="1100"/>
        <w:gridCol w:w="1100"/>
      </w:tblGrid>
      <w:tr w:rsidR="00734C6A" w:rsidRPr="00FD7629" w14:paraId="7B095AAE" w14:textId="77777777" w:rsidTr="00923A12">
        <w:trPr>
          <w:trHeight w:val="720"/>
          <w:tblHeader/>
        </w:trPr>
        <w:tc>
          <w:tcPr>
            <w:tcW w:w="3005" w:type="dxa"/>
            <w:shd w:val="clear" w:color="auto" w:fill="auto"/>
            <w:vAlign w:val="center"/>
            <w:hideMark/>
          </w:tcPr>
          <w:p w14:paraId="22D30D1B" w14:textId="5A41E7DB" w:rsidR="00734C6A" w:rsidRPr="00734C6A" w:rsidRDefault="00734C6A" w:rsidP="00734C6A">
            <w:pPr>
              <w:rPr>
                <w:rFonts w:ascii="Arial" w:hAnsi="Arial" w:cs="Arial"/>
                <w:b/>
                <w:bCs/>
                <w:szCs w:val="24"/>
                <w:lang w:eastAsia="en-GB"/>
              </w:rPr>
            </w:pPr>
            <w:r w:rsidRPr="00734C6A">
              <w:rPr>
                <w:rFonts w:ascii="Arial" w:hAnsi="Arial" w:cs="Arial"/>
                <w:b/>
                <w:bCs/>
                <w:szCs w:val="24"/>
                <w:lang w:eastAsia="en-GB"/>
              </w:rPr>
              <w:t>Capital Programm</w:t>
            </w:r>
            <w:r>
              <w:rPr>
                <w:rFonts w:ascii="Arial" w:hAnsi="Arial" w:cs="Arial"/>
                <w:b/>
                <w:bCs/>
                <w:szCs w:val="24"/>
                <w:lang w:eastAsia="en-GB"/>
              </w:rPr>
              <w:t>e</w:t>
            </w:r>
          </w:p>
        </w:tc>
        <w:tc>
          <w:tcPr>
            <w:tcW w:w="1100" w:type="dxa"/>
            <w:shd w:val="clear" w:color="auto" w:fill="auto"/>
            <w:vAlign w:val="center"/>
            <w:hideMark/>
          </w:tcPr>
          <w:p w14:paraId="23956AF8" w14:textId="77777777" w:rsidR="00734C6A" w:rsidRDefault="00734C6A" w:rsidP="00734C6A">
            <w:pPr>
              <w:pStyle w:val="Default"/>
              <w:jc w:val="center"/>
              <w:rPr>
                <w:b/>
                <w:bCs/>
              </w:rPr>
            </w:pPr>
            <w:r w:rsidRPr="00176082">
              <w:rPr>
                <w:b/>
                <w:bCs/>
              </w:rPr>
              <w:t>2024/25</w:t>
            </w:r>
          </w:p>
          <w:p w14:paraId="15AA8506" w14:textId="363564D1" w:rsidR="00734C6A" w:rsidRPr="00734C6A" w:rsidRDefault="00734C6A" w:rsidP="00734C6A">
            <w:pPr>
              <w:jc w:val="center"/>
              <w:rPr>
                <w:rFonts w:ascii="Arial" w:eastAsiaTheme="minorHAnsi" w:hAnsi="Arial" w:cs="Arial"/>
                <w:b/>
                <w:bCs/>
                <w:color w:val="000000"/>
                <w:szCs w:val="24"/>
              </w:rPr>
            </w:pPr>
            <w:r w:rsidRPr="00734C6A">
              <w:rPr>
                <w:rFonts w:ascii="Arial" w:eastAsiaTheme="minorHAnsi" w:hAnsi="Arial" w:cs="Arial"/>
                <w:b/>
                <w:bCs/>
                <w:color w:val="000000"/>
                <w:szCs w:val="24"/>
              </w:rPr>
              <w:t>£m</w:t>
            </w:r>
          </w:p>
        </w:tc>
        <w:tc>
          <w:tcPr>
            <w:tcW w:w="1100" w:type="dxa"/>
            <w:shd w:val="clear" w:color="auto" w:fill="auto"/>
            <w:vAlign w:val="center"/>
            <w:hideMark/>
          </w:tcPr>
          <w:p w14:paraId="1C7A54DB" w14:textId="77777777" w:rsidR="00734C6A" w:rsidRDefault="00734C6A" w:rsidP="00734C6A">
            <w:pPr>
              <w:pStyle w:val="Default"/>
              <w:jc w:val="center"/>
              <w:rPr>
                <w:b/>
                <w:bCs/>
              </w:rPr>
            </w:pPr>
            <w:r w:rsidRPr="00176082">
              <w:rPr>
                <w:b/>
                <w:bCs/>
              </w:rPr>
              <w:t>2025/26</w:t>
            </w:r>
          </w:p>
          <w:p w14:paraId="49BE0435" w14:textId="1C1617A6" w:rsidR="00734C6A" w:rsidRPr="00734C6A" w:rsidRDefault="00734C6A" w:rsidP="00734C6A">
            <w:pPr>
              <w:jc w:val="center"/>
              <w:rPr>
                <w:rFonts w:ascii="Arial" w:eastAsiaTheme="minorHAnsi" w:hAnsi="Arial" w:cs="Arial"/>
                <w:b/>
                <w:bCs/>
                <w:color w:val="000000"/>
                <w:szCs w:val="24"/>
              </w:rPr>
            </w:pPr>
            <w:r w:rsidRPr="00734C6A">
              <w:rPr>
                <w:rFonts w:ascii="Arial" w:eastAsiaTheme="minorHAnsi" w:hAnsi="Arial" w:cs="Arial"/>
                <w:b/>
                <w:bCs/>
                <w:color w:val="000000"/>
                <w:szCs w:val="24"/>
              </w:rPr>
              <w:t>£m</w:t>
            </w:r>
          </w:p>
        </w:tc>
        <w:tc>
          <w:tcPr>
            <w:tcW w:w="1100" w:type="dxa"/>
            <w:shd w:val="clear" w:color="auto" w:fill="auto"/>
            <w:vAlign w:val="center"/>
            <w:hideMark/>
          </w:tcPr>
          <w:p w14:paraId="1226F29F" w14:textId="77777777" w:rsidR="00734C6A" w:rsidRDefault="00734C6A" w:rsidP="00734C6A">
            <w:pPr>
              <w:pStyle w:val="Default"/>
              <w:jc w:val="center"/>
              <w:rPr>
                <w:b/>
                <w:bCs/>
              </w:rPr>
            </w:pPr>
            <w:r w:rsidRPr="00176082">
              <w:rPr>
                <w:b/>
                <w:bCs/>
              </w:rPr>
              <w:t>2026/27</w:t>
            </w:r>
          </w:p>
          <w:p w14:paraId="19B4349B" w14:textId="7B368850" w:rsidR="00734C6A" w:rsidRPr="00734C6A" w:rsidRDefault="00734C6A" w:rsidP="00734C6A">
            <w:pPr>
              <w:jc w:val="center"/>
              <w:rPr>
                <w:rFonts w:ascii="Arial" w:eastAsiaTheme="minorHAnsi" w:hAnsi="Arial" w:cs="Arial"/>
                <w:b/>
                <w:bCs/>
                <w:color w:val="000000"/>
                <w:szCs w:val="24"/>
              </w:rPr>
            </w:pPr>
            <w:r w:rsidRPr="00734C6A">
              <w:rPr>
                <w:rFonts w:ascii="Arial" w:eastAsiaTheme="minorHAnsi" w:hAnsi="Arial" w:cs="Arial"/>
                <w:b/>
                <w:bCs/>
                <w:color w:val="000000"/>
                <w:szCs w:val="24"/>
              </w:rPr>
              <w:t>£m</w:t>
            </w:r>
          </w:p>
        </w:tc>
        <w:tc>
          <w:tcPr>
            <w:tcW w:w="1100" w:type="dxa"/>
            <w:shd w:val="clear" w:color="auto" w:fill="auto"/>
            <w:vAlign w:val="center"/>
            <w:hideMark/>
          </w:tcPr>
          <w:p w14:paraId="1F67E53F" w14:textId="77777777" w:rsidR="00734C6A" w:rsidRDefault="00734C6A" w:rsidP="00734C6A">
            <w:pPr>
              <w:pStyle w:val="Default"/>
              <w:jc w:val="center"/>
              <w:rPr>
                <w:b/>
                <w:bCs/>
              </w:rPr>
            </w:pPr>
            <w:r w:rsidRPr="00176082">
              <w:rPr>
                <w:b/>
                <w:bCs/>
              </w:rPr>
              <w:t>2027/28</w:t>
            </w:r>
          </w:p>
          <w:p w14:paraId="3152DF7F" w14:textId="6FD2580F" w:rsidR="00734C6A" w:rsidRPr="00734C6A" w:rsidRDefault="00734C6A" w:rsidP="00734C6A">
            <w:pPr>
              <w:jc w:val="center"/>
              <w:rPr>
                <w:rFonts w:ascii="Arial" w:eastAsiaTheme="minorHAnsi" w:hAnsi="Arial" w:cs="Arial"/>
                <w:b/>
                <w:bCs/>
                <w:color w:val="000000"/>
                <w:szCs w:val="24"/>
              </w:rPr>
            </w:pPr>
            <w:r w:rsidRPr="00734C6A">
              <w:rPr>
                <w:rFonts w:ascii="Arial" w:eastAsiaTheme="minorHAnsi" w:hAnsi="Arial" w:cs="Arial"/>
                <w:b/>
                <w:bCs/>
                <w:color w:val="000000"/>
                <w:szCs w:val="24"/>
              </w:rPr>
              <w:t>£m</w:t>
            </w:r>
          </w:p>
        </w:tc>
        <w:tc>
          <w:tcPr>
            <w:tcW w:w="1100" w:type="dxa"/>
            <w:shd w:val="clear" w:color="auto" w:fill="auto"/>
            <w:vAlign w:val="center"/>
            <w:hideMark/>
          </w:tcPr>
          <w:p w14:paraId="6E49201B" w14:textId="77777777" w:rsidR="00734C6A" w:rsidRDefault="00734C6A" w:rsidP="00734C6A">
            <w:pPr>
              <w:pStyle w:val="Default"/>
              <w:jc w:val="center"/>
              <w:rPr>
                <w:b/>
                <w:bCs/>
              </w:rPr>
            </w:pPr>
            <w:r w:rsidRPr="00176082">
              <w:rPr>
                <w:b/>
                <w:bCs/>
              </w:rPr>
              <w:t>2028/29</w:t>
            </w:r>
          </w:p>
          <w:p w14:paraId="5354E606" w14:textId="06619589" w:rsidR="00734C6A" w:rsidRPr="00734C6A" w:rsidRDefault="00734C6A" w:rsidP="00734C6A">
            <w:pPr>
              <w:jc w:val="center"/>
              <w:rPr>
                <w:rFonts w:ascii="Arial" w:eastAsiaTheme="minorHAnsi" w:hAnsi="Arial" w:cs="Arial"/>
                <w:b/>
                <w:bCs/>
                <w:color w:val="000000"/>
                <w:szCs w:val="24"/>
              </w:rPr>
            </w:pPr>
            <w:r w:rsidRPr="00734C6A">
              <w:rPr>
                <w:rFonts w:ascii="Arial" w:eastAsiaTheme="minorHAnsi" w:hAnsi="Arial" w:cs="Arial"/>
                <w:b/>
                <w:bCs/>
                <w:color w:val="000000"/>
                <w:szCs w:val="24"/>
              </w:rPr>
              <w:t>£m</w:t>
            </w:r>
          </w:p>
        </w:tc>
      </w:tr>
      <w:tr w:rsidR="005B1024" w:rsidRPr="00FD7629" w14:paraId="760689B9" w14:textId="77777777" w:rsidTr="00734C6A">
        <w:trPr>
          <w:trHeight w:val="255"/>
        </w:trPr>
        <w:tc>
          <w:tcPr>
            <w:tcW w:w="3005" w:type="dxa"/>
            <w:shd w:val="clear" w:color="auto" w:fill="auto"/>
            <w:vAlign w:val="center"/>
            <w:hideMark/>
          </w:tcPr>
          <w:p w14:paraId="30E8B1A2"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Vehicles</w:t>
            </w:r>
          </w:p>
        </w:tc>
        <w:tc>
          <w:tcPr>
            <w:tcW w:w="1100" w:type="dxa"/>
            <w:shd w:val="clear" w:color="auto" w:fill="auto"/>
            <w:vAlign w:val="center"/>
            <w:hideMark/>
          </w:tcPr>
          <w:p w14:paraId="69F36765" w14:textId="483C627E" w:rsidR="005B1024" w:rsidRPr="005B1024" w:rsidRDefault="005B1024" w:rsidP="005B1024">
            <w:pPr>
              <w:jc w:val="right"/>
              <w:rPr>
                <w:rFonts w:ascii="Arial" w:hAnsi="Arial" w:cs="Arial"/>
                <w:szCs w:val="24"/>
                <w:lang w:eastAsia="en-GB"/>
              </w:rPr>
            </w:pPr>
            <w:r w:rsidRPr="005B1024">
              <w:rPr>
                <w:rFonts w:ascii="Arial" w:hAnsi="Arial" w:cs="Arial"/>
                <w:szCs w:val="24"/>
              </w:rPr>
              <w:t>4.5</w:t>
            </w:r>
          </w:p>
        </w:tc>
        <w:tc>
          <w:tcPr>
            <w:tcW w:w="1100" w:type="dxa"/>
            <w:shd w:val="clear" w:color="auto" w:fill="auto"/>
            <w:vAlign w:val="center"/>
            <w:hideMark/>
          </w:tcPr>
          <w:p w14:paraId="39D27BD6" w14:textId="15279A19" w:rsidR="005B1024" w:rsidRPr="005B1024" w:rsidRDefault="005B1024" w:rsidP="005B1024">
            <w:pPr>
              <w:jc w:val="right"/>
              <w:rPr>
                <w:rFonts w:ascii="Arial" w:hAnsi="Arial" w:cs="Arial"/>
                <w:szCs w:val="24"/>
                <w:lang w:eastAsia="en-GB"/>
              </w:rPr>
            </w:pPr>
            <w:r w:rsidRPr="005B1024">
              <w:rPr>
                <w:rFonts w:ascii="Arial" w:hAnsi="Arial" w:cs="Arial"/>
                <w:szCs w:val="24"/>
              </w:rPr>
              <w:t>2.8</w:t>
            </w:r>
          </w:p>
        </w:tc>
        <w:tc>
          <w:tcPr>
            <w:tcW w:w="1100" w:type="dxa"/>
            <w:shd w:val="clear" w:color="auto" w:fill="auto"/>
            <w:vAlign w:val="center"/>
            <w:hideMark/>
          </w:tcPr>
          <w:p w14:paraId="5AE59B08" w14:textId="219A9F0F" w:rsidR="005B1024" w:rsidRPr="005B1024" w:rsidRDefault="005B1024" w:rsidP="005B1024">
            <w:pPr>
              <w:jc w:val="right"/>
              <w:rPr>
                <w:rFonts w:ascii="Arial" w:hAnsi="Arial" w:cs="Arial"/>
                <w:szCs w:val="24"/>
                <w:lang w:eastAsia="en-GB"/>
              </w:rPr>
            </w:pPr>
            <w:r w:rsidRPr="005B1024">
              <w:rPr>
                <w:rFonts w:ascii="Arial" w:hAnsi="Arial" w:cs="Arial"/>
                <w:szCs w:val="24"/>
              </w:rPr>
              <w:t>2.0</w:t>
            </w:r>
          </w:p>
        </w:tc>
        <w:tc>
          <w:tcPr>
            <w:tcW w:w="1100" w:type="dxa"/>
            <w:shd w:val="clear" w:color="auto" w:fill="auto"/>
            <w:vAlign w:val="center"/>
            <w:hideMark/>
          </w:tcPr>
          <w:p w14:paraId="35795707" w14:textId="578CBAA2" w:rsidR="005B1024" w:rsidRPr="005B1024" w:rsidRDefault="005B1024" w:rsidP="005B1024">
            <w:pPr>
              <w:jc w:val="right"/>
              <w:rPr>
                <w:rFonts w:ascii="Arial" w:hAnsi="Arial" w:cs="Arial"/>
                <w:szCs w:val="24"/>
                <w:lang w:eastAsia="en-GB"/>
              </w:rPr>
            </w:pPr>
            <w:r w:rsidRPr="005B1024">
              <w:rPr>
                <w:rFonts w:ascii="Arial" w:hAnsi="Arial" w:cs="Arial"/>
                <w:szCs w:val="24"/>
              </w:rPr>
              <w:t>2.5</w:t>
            </w:r>
          </w:p>
        </w:tc>
        <w:tc>
          <w:tcPr>
            <w:tcW w:w="1100" w:type="dxa"/>
            <w:shd w:val="clear" w:color="auto" w:fill="auto"/>
            <w:vAlign w:val="center"/>
            <w:hideMark/>
          </w:tcPr>
          <w:p w14:paraId="0B0C6836" w14:textId="636A9F83" w:rsidR="005B1024" w:rsidRPr="005B1024" w:rsidRDefault="005B1024" w:rsidP="005B1024">
            <w:pPr>
              <w:jc w:val="right"/>
              <w:rPr>
                <w:rFonts w:ascii="Arial" w:hAnsi="Arial" w:cs="Arial"/>
                <w:szCs w:val="24"/>
                <w:lang w:eastAsia="en-GB"/>
              </w:rPr>
            </w:pPr>
            <w:r w:rsidRPr="005B1024">
              <w:rPr>
                <w:rFonts w:ascii="Arial" w:hAnsi="Arial" w:cs="Arial"/>
                <w:szCs w:val="24"/>
              </w:rPr>
              <w:t>2.9</w:t>
            </w:r>
          </w:p>
        </w:tc>
      </w:tr>
      <w:tr w:rsidR="005B1024" w:rsidRPr="00FD7629" w14:paraId="1C3E5CC4" w14:textId="77777777" w:rsidTr="00734C6A">
        <w:trPr>
          <w:trHeight w:val="255"/>
        </w:trPr>
        <w:tc>
          <w:tcPr>
            <w:tcW w:w="3005" w:type="dxa"/>
            <w:shd w:val="clear" w:color="auto" w:fill="auto"/>
            <w:vAlign w:val="center"/>
            <w:hideMark/>
          </w:tcPr>
          <w:p w14:paraId="73DE818E"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Operational Equipment</w:t>
            </w:r>
          </w:p>
        </w:tc>
        <w:tc>
          <w:tcPr>
            <w:tcW w:w="1100" w:type="dxa"/>
            <w:shd w:val="clear" w:color="auto" w:fill="auto"/>
            <w:vAlign w:val="center"/>
            <w:hideMark/>
          </w:tcPr>
          <w:p w14:paraId="3A1D0E76" w14:textId="34B7F4E9" w:rsidR="005B1024" w:rsidRPr="005B1024" w:rsidRDefault="005B1024" w:rsidP="005B1024">
            <w:pPr>
              <w:jc w:val="right"/>
              <w:rPr>
                <w:rFonts w:ascii="Arial" w:hAnsi="Arial" w:cs="Arial"/>
                <w:szCs w:val="24"/>
                <w:lang w:eastAsia="en-GB"/>
              </w:rPr>
            </w:pPr>
            <w:r w:rsidRPr="005B1024">
              <w:rPr>
                <w:rFonts w:ascii="Arial" w:hAnsi="Arial" w:cs="Arial"/>
                <w:szCs w:val="24"/>
              </w:rPr>
              <w:t>1.6</w:t>
            </w:r>
          </w:p>
        </w:tc>
        <w:tc>
          <w:tcPr>
            <w:tcW w:w="1100" w:type="dxa"/>
            <w:shd w:val="clear" w:color="auto" w:fill="auto"/>
            <w:vAlign w:val="center"/>
            <w:hideMark/>
          </w:tcPr>
          <w:p w14:paraId="07C091AC" w14:textId="51805617" w:rsidR="005B1024" w:rsidRPr="005B1024" w:rsidRDefault="005B1024" w:rsidP="005B1024">
            <w:pPr>
              <w:jc w:val="right"/>
              <w:rPr>
                <w:rFonts w:ascii="Arial" w:hAnsi="Arial" w:cs="Arial"/>
                <w:szCs w:val="24"/>
                <w:lang w:eastAsia="en-GB"/>
              </w:rPr>
            </w:pPr>
            <w:r w:rsidRPr="005B1024">
              <w:rPr>
                <w:rFonts w:ascii="Arial" w:hAnsi="Arial" w:cs="Arial"/>
                <w:szCs w:val="24"/>
              </w:rPr>
              <w:t>1.2</w:t>
            </w:r>
          </w:p>
        </w:tc>
        <w:tc>
          <w:tcPr>
            <w:tcW w:w="1100" w:type="dxa"/>
            <w:shd w:val="clear" w:color="auto" w:fill="auto"/>
            <w:vAlign w:val="center"/>
            <w:hideMark/>
          </w:tcPr>
          <w:p w14:paraId="01A12DEF" w14:textId="432D4A77" w:rsidR="005B1024" w:rsidRPr="005B1024" w:rsidRDefault="005B1024" w:rsidP="005B1024">
            <w:pPr>
              <w:jc w:val="right"/>
              <w:rPr>
                <w:rFonts w:ascii="Arial" w:hAnsi="Arial" w:cs="Arial"/>
                <w:szCs w:val="24"/>
                <w:lang w:eastAsia="en-GB"/>
              </w:rPr>
            </w:pPr>
            <w:r w:rsidRPr="005B1024">
              <w:rPr>
                <w:rFonts w:ascii="Arial" w:hAnsi="Arial" w:cs="Arial"/>
                <w:szCs w:val="24"/>
              </w:rPr>
              <w:t>0.1</w:t>
            </w:r>
          </w:p>
        </w:tc>
        <w:tc>
          <w:tcPr>
            <w:tcW w:w="1100" w:type="dxa"/>
            <w:shd w:val="clear" w:color="auto" w:fill="auto"/>
            <w:vAlign w:val="center"/>
            <w:hideMark/>
          </w:tcPr>
          <w:p w14:paraId="1F6BD104" w14:textId="6699DA22" w:rsidR="005B1024" w:rsidRPr="005B1024" w:rsidRDefault="005B1024" w:rsidP="005B1024">
            <w:pPr>
              <w:jc w:val="right"/>
              <w:rPr>
                <w:rFonts w:ascii="Arial" w:hAnsi="Arial" w:cs="Arial"/>
                <w:szCs w:val="24"/>
                <w:lang w:eastAsia="en-GB"/>
              </w:rPr>
            </w:pPr>
            <w:r w:rsidRPr="005B1024">
              <w:rPr>
                <w:rFonts w:ascii="Arial" w:hAnsi="Arial" w:cs="Arial"/>
                <w:szCs w:val="24"/>
              </w:rPr>
              <w:t>0.6</w:t>
            </w:r>
          </w:p>
        </w:tc>
        <w:tc>
          <w:tcPr>
            <w:tcW w:w="1100" w:type="dxa"/>
            <w:shd w:val="clear" w:color="auto" w:fill="auto"/>
            <w:vAlign w:val="center"/>
            <w:hideMark/>
          </w:tcPr>
          <w:p w14:paraId="063E39DC" w14:textId="679082F5" w:rsidR="005B1024" w:rsidRPr="005B1024" w:rsidRDefault="005B1024" w:rsidP="005B1024">
            <w:pPr>
              <w:jc w:val="right"/>
              <w:rPr>
                <w:rFonts w:ascii="Arial" w:hAnsi="Arial" w:cs="Arial"/>
                <w:szCs w:val="24"/>
                <w:lang w:eastAsia="en-GB"/>
              </w:rPr>
            </w:pPr>
            <w:r w:rsidRPr="005B1024">
              <w:rPr>
                <w:rFonts w:ascii="Arial" w:hAnsi="Arial" w:cs="Arial"/>
                <w:szCs w:val="24"/>
              </w:rPr>
              <w:t>0.6</w:t>
            </w:r>
          </w:p>
        </w:tc>
      </w:tr>
      <w:tr w:rsidR="005B1024" w:rsidRPr="00FD7629" w14:paraId="20BEEBD7" w14:textId="77777777" w:rsidTr="00734C6A">
        <w:trPr>
          <w:trHeight w:val="255"/>
        </w:trPr>
        <w:tc>
          <w:tcPr>
            <w:tcW w:w="3005" w:type="dxa"/>
            <w:shd w:val="clear" w:color="auto" w:fill="auto"/>
            <w:vAlign w:val="center"/>
            <w:hideMark/>
          </w:tcPr>
          <w:p w14:paraId="1F799100"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Buildings</w:t>
            </w:r>
          </w:p>
        </w:tc>
        <w:tc>
          <w:tcPr>
            <w:tcW w:w="1100" w:type="dxa"/>
            <w:shd w:val="clear" w:color="auto" w:fill="auto"/>
            <w:vAlign w:val="center"/>
            <w:hideMark/>
          </w:tcPr>
          <w:p w14:paraId="15BC7B44" w14:textId="5B8D721F" w:rsidR="005B1024" w:rsidRPr="005B1024" w:rsidRDefault="005B1024" w:rsidP="005B1024">
            <w:pPr>
              <w:jc w:val="right"/>
              <w:rPr>
                <w:rFonts w:ascii="Arial" w:hAnsi="Arial" w:cs="Arial"/>
                <w:szCs w:val="24"/>
                <w:lang w:eastAsia="en-GB"/>
              </w:rPr>
            </w:pPr>
            <w:r w:rsidRPr="005B1024">
              <w:rPr>
                <w:rFonts w:ascii="Arial" w:hAnsi="Arial" w:cs="Arial"/>
                <w:szCs w:val="24"/>
              </w:rPr>
              <w:t>3.9</w:t>
            </w:r>
          </w:p>
        </w:tc>
        <w:tc>
          <w:tcPr>
            <w:tcW w:w="1100" w:type="dxa"/>
            <w:shd w:val="clear" w:color="auto" w:fill="auto"/>
            <w:vAlign w:val="center"/>
            <w:hideMark/>
          </w:tcPr>
          <w:p w14:paraId="7AD19BC1" w14:textId="6B2D0630" w:rsidR="005B1024" w:rsidRPr="005B1024" w:rsidRDefault="005B1024" w:rsidP="005B1024">
            <w:pPr>
              <w:jc w:val="right"/>
              <w:rPr>
                <w:rFonts w:ascii="Arial" w:hAnsi="Arial" w:cs="Arial"/>
                <w:szCs w:val="24"/>
                <w:lang w:eastAsia="en-GB"/>
              </w:rPr>
            </w:pPr>
            <w:r w:rsidRPr="005B1024">
              <w:rPr>
                <w:rFonts w:ascii="Arial" w:hAnsi="Arial" w:cs="Arial"/>
                <w:szCs w:val="24"/>
              </w:rPr>
              <w:t>9.4</w:t>
            </w:r>
          </w:p>
        </w:tc>
        <w:tc>
          <w:tcPr>
            <w:tcW w:w="1100" w:type="dxa"/>
            <w:shd w:val="clear" w:color="auto" w:fill="auto"/>
            <w:vAlign w:val="center"/>
            <w:hideMark/>
          </w:tcPr>
          <w:p w14:paraId="56513E93" w14:textId="49E5BDD0" w:rsidR="005B1024" w:rsidRPr="005B1024" w:rsidRDefault="005B1024" w:rsidP="005B1024">
            <w:pPr>
              <w:jc w:val="right"/>
              <w:rPr>
                <w:rFonts w:ascii="Arial" w:hAnsi="Arial" w:cs="Arial"/>
                <w:szCs w:val="24"/>
                <w:lang w:eastAsia="en-GB"/>
              </w:rPr>
            </w:pPr>
            <w:r w:rsidRPr="005B1024">
              <w:rPr>
                <w:rFonts w:ascii="Arial" w:hAnsi="Arial" w:cs="Arial"/>
                <w:szCs w:val="24"/>
              </w:rPr>
              <w:t>27.8</w:t>
            </w:r>
          </w:p>
        </w:tc>
        <w:tc>
          <w:tcPr>
            <w:tcW w:w="1100" w:type="dxa"/>
            <w:shd w:val="clear" w:color="auto" w:fill="auto"/>
            <w:vAlign w:val="center"/>
            <w:hideMark/>
          </w:tcPr>
          <w:p w14:paraId="05DA6E97" w14:textId="2621A9D8" w:rsidR="005B1024" w:rsidRPr="005B1024" w:rsidRDefault="005B1024" w:rsidP="005B1024">
            <w:pPr>
              <w:jc w:val="right"/>
              <w:rPr>
                <w:rFonts w:ascii="Arial" w:hAnsi="Arial" w:cs="Arial"/>
                <w:szCs w:val="24"/>
                <w:lang w:eastAsia="en-GB"/>
              </w:rPr>
            </w:pPr>
            <w:r w:rsidRPr="005B1024">
              <w:rPr>
                <w:rFonts w:ascii="Arial" w:hAnsi="Arial" w:cs="Arial"/>
                <w:szCs w:val="24"/>
              </w:rPr>
              <w:t>9.6</w:t>
            </w:r>
          </w:p>
        </w:tc>
        <w:tc>
          <w:tcPr>
            <w:tcW w:w="1100" w:type="dxa"/>
            <w:shd w:val="clear" w:color="auto" w:fill="auto"/>
            <w:vAlign w:val="center"/>
            <w:hideMark/>
          </w:tcPr>
          <w:p w14:paraId="27D13A86" w14:textId="0F87AE37" w:rsidR="005B1024" w:rsidRPr="005B1024" w:rsidRDefault="005B1024" w:rsidP="005B1024">
            <w:pPr>
              <w:jc w:val="right"/>
              <w:rPr>
                <w:rFonts w:ascii="Arial" w:hAnsi="Arial" w:cs="Arial"/>
                <w:szCs w:val="24"/>
                <w:lang w:eastAsia="en-GB"/>
              </w:rPr>
            </w:pPr>
            <w:r w:rsidRPr="005B1024">
              <w:rPr>
                <w:rFonts w:ascii="Arial" w:hAnsi="Arial" w:cs="Arial"/>
                <w:szCs w:val="24"/>
              </w:rPr>
              <w:t>11.0</w:t>
            </w:r>
          </w:p>
        </w:tc>
      </w:tr>
      <w:tr w:rsidR="005B1024" w:rsidRPr="00FD7629" w14:paraId="1D5DD48B" w14:textId="77777777" w:rsidTr="00734C6A">
        <w:trPr>
          <w:trHeight w:val="255"/>
        </w:trPr>
        <w:tc>
          <w:tcPr>
            <w:tcW w:w="3005" w:type="dxa"/>
            <w:shd w:val="clear" w:color="auto" w:fill="auto"/>
            <w:vAlign w:val="center"/>
            <w:hideMark/>
          </w:tcPr>
          <w:p w14:paraId="576A63AE"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ICT</w:t>
            </w:r>
          </w:p>
        </w:tc>
        <w:tc>
          <w:tcPr>
            <w:tcW w:w="1100" w:type="dxa"/>
            <w:shd w:val="clear" w:color="auto" w:fill="auto"/>
            <w:vAlign w:val="center"/>
            <w:hideMark/>
          </w:tcPr>
          <w:p w14:paraId="277EFC7A" w14:textId="3C2D08CC" w:rsidR="005B1024" w:rsidRPr="005B1024" w:rsidRDefault="005B1024" w:rsidP="005B1024">
            <w:pPr>
              <w:jc w:val="right"/>
              <w:rPr>
                <w:rFonts w:ascii="Arial" w:hAnsi="Arial" w:cs="Arial"/>
                <w:szCs w:val="24"/>
                <w:lang w:eastAsia="en-GB"/>
              </w:rPr>
            </w:pPr>
            <w:r w:rsidRPr="005B1024">
              <w:rPr>
                <w:rFonts w:ascii="Arial" w:hAnsi="Arial" w:cs="Arial"/>
                <w:szCs w:val="24"/>
              </w:rPr>
              <w:t>2.8</w:t>
            </w:r>
          </w:p>
        </w:tc>
        <w:tc>
          <w:tcPr>
            <w:tcW w:w="1100" w:type="dxa"/>
            <w:shd w:val="clear" w:color="auto" w:fill="auto"/>
            <w:vAlign w:val="center"/>
            <w:hideMark/>
          </w:tcPr>
          <w:p w14:paraId="4DA8AE3C" w14:textId="6216A335" w:rsidR="005B1024" w:rsidRPr="005B1024" w:rsidRDefault="005B1024" w:rsidP="005B1024">
            <w:pPr>
              <w:jc w:val="right"/>
              <w:rPr>
                <w:rFonts w:ascii="Arial" w:hAnsi="Arial" w:cs="Arial"/>
                <w:szCs w:val="24"/>
                <w:lang w:eastAsia="en-GB"/>
              </w:rPr>
            </w:pPr>
            <w:r w:rsidRPr="005B1024">
              <w:rPr>
                <w:rFonts w:ascii="Arial" w:hAnsi="Arial" w:cs="Arial"/>
                <w:szCs w:val="24"/>
              </w:rPr>
              <w:t>1.3</w:t>
            </w:r>
          </w:p>
        </w:tc>
        <w:tc>
          <w:tcPr>
            <w:tcW w:w="1100" w:type="dxa"/>
            <w:shd w:val="clear" w:color="auto" w:fill="auto"/>
            <w:vAlign w:val="center"/>
            <w:hideMark/>
          </w:tcPr>
          <w:p w14:paraId="5B310C70" w14:textId="600816F0" w:rsidR="005B1024" w:rsidRPr="005B1024" w:rsidRDefault="005B1024" w:rsidP="005B1024">
            <w:pPr>
              <w:jc w:val="right"/>
              <w:rPr>
                <w:rFonts w:ascii="Arial" w:hAnsi="Arial" w:cs="Arial"/>
                <w:szCs w:val="24"/>
                <w:lang w:eastAsia="en-GB"/>
              </w:rPr>
            </w:pPr>
            <w:r w:rsidRPr="005B1024">
              <w:rPr>
                <w:rFonts w:ascii="Arial" w:hAnsi="Arial" w:cs="Arial"/>
                <w:szCs w:val="24"/>
              </w:rPr>
              <w:t>0.1</w:t>
            </w:r>
          </w:p>
        </w:tc>
        <w:tc>
          <w:tcPr>
            <w:tcW w:w="1100" w:type="dxa"/>
            <w:shd w:val="clear" w:color="auto" w:fill="auto"/>
            <w:vAlign w:val="center"/>
            <w:hideMark/>
          </w:tcPr>
          <w:p w14:paraId="03B6F9F6" w14:textId="08189B29" w:rsidR="005B1024" w:rsidRPr="005B1024" w:rsidRDefault="005B1024" w:rsidP="005B1024">
            <w:pPr>
              <w:jc w:val="right"/>
              <w:rPr>
                <w:rFonts w:ascii="Arial" w:hAnsi="Arial" w:cs="Arial"/>
                <w:szCs w:val="24"/>
                <w:lang w:eastAsia="en-GB"/>
              </w:rPr>
            </w:pPr>
            <w:r w:rsidRPr="005B1024">
              <w:rPr>
                <w:rFonts w:ascii="Arial" w:hAnsi="Arial" w:cs="Arial"/>
                <w:szCs w:val="24"/>
              </w:rPr>
              <w:t>0.6</w:t>
            </w:r>
          </w:p>
        </w:tc>
        <w:tc>
          <w:tcPr>
            <w:tcW w:w="1100" w:type="dxa"/>
            <w:shd w:val="clear" w:color="auto" w:fill="auto"/>
            <w:vAlign w:val="center"/>
            <w:hideMark/>
          </w:tcPr>
          <w:p w14:paraId="1D9FFA9B" w14:textId="6842B37E" w:rsidR="005B1024" w:rsidRPr="005B1024" w:rsidRDefault="005B1024" w:rsidP="005B1024">
            <w:pPr>
              <w:jc w:val="right"/>
              <w:rPr>
                <w:rFonts w:ascii="Arial" w:hAnsi="Arial" w:cs="Arial"/>
                <w:szCs w:val="24"/>
                <w:lang w:eastAsia="en-GB"/>
              </w:rPr>
            </w:pPr>
            <w:r w:rsidRPr="005B1024">
              <w:rPr>
                <w:rFonts w:ascii="Arial" w:hAnsi="Arial" w:cs="Arial"/>
                <w:szCs w:val="24"/>
              </w:rPr>
              <w:t>0.6</w:t>
            </w:r>
          </w:p>
        </w:tc>
      </w:tr>
      <w:tr w:rsidR="005B1024" w:rsidRPr="00FD7629" w14:paraId="01925BCD" w14:textId="77777777" w:rsidTr="00734C6A">
        <w:trPr>
          <w:trHeight w:val="255"/>
        </w:trPr>
        <w:tc>
          <w:tcPr>
            <w:tcW w:w="3005" w:type="dxa"/>
            <w:shd w:val="clear" w:color="auto" w:fill="auto"/>
            <w:vAlign w:val="center"/>
            <w:hideMark/>
          </w:tcPr>
          <w:p w14:paraId="33AF8FDF" w14:textId="77777777" w:rsidR="005B1024" w:rsidRPr="00FD7629" w:rsidRDefault="005B1024" w:rsidP="005B1024">
            <w:pPr>
              <w:jc w:val="right"/>
              <w:rPr>
                <w:rFonts w:ascii="Arial" w:hAnsi="Arial" w:cs="Arial"/>
                <w:szCs w:val="24"/>
                <w:lang w:eastAsia="en-GB"/>
              </w:rPr>
            </w:pPr>
          </w:p>
        </w:tc>
        <w:tc>
          <w:tcPr>
            <w:tcW w:w="1100" w:type="dxa"/>
            <w:shd w:val="clear" w:color="auto" w:fill="auto"/>
            <w:vAlign w:val="center"/>
            <w:hideMark/>
          </w:tcPr>
          <w:p w14:paraId="712F1A67" w14:textId="54740160"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12.8</w:t>
            </w:r>
          </w:p>
        </w:tc>
        <w:tc>
          <w:tcPr>
            <w:tcW w:w="1100" w:type="dxa"/>
            <w:shd w:val="clear" w:color="auto" w:fill="auto"/>
            <w:vAlign w:val="center"/>
            <w:hideMark/>
          </w:tcPr>
          <w:p w14:paraId="3714CAB1" w14:textId="3530ABD7"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14.8</w:t>
            </w:r>
          </w:p>
        </w:tc>
        <w:tc>
          <w:tcPr>
            <w:tcW w:w="1100" w:type="dxa"/>
            <w:shd w:val="clear" w:color="auto" w:fill="auto"/>
            <w:vAlign w:val="center"/>
            <w:hideMark/>
          </w:tcPr>
          <w:p w14:paraId="33B0CA15" w14:textId="6DB47D50"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30.1</w:t>
            </w:r>
          </w:p>
        </w:tc>
        <w:tc>
          <w:tcPr>
            <w:tcW w:w="1100" w:type="dxa"/>
            <w:shd w:val="clear" w:color="auto" w:fill="auto"/>
            <w:vAlign w:val="center"/>
            <w:hideMark/>
          </w:tcPr>
          <w:p w14:paraId="2045630B" w14:textId="4F57994F"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13.1</w:t>
            </w:r>
          </w:p>
        </w:tc>
        <w:tc>
          <w:tcPr>
            <w:tcW w:w="1100" w:type="dxa"/>
            <w:shd w:val="clear" w:color="auto" w:fill="auto"/>
            <w:vAlign w:val="center"/>
            <w:hideMark/>
          </w:tcPr>
          <w:p w14:paraId="20F5678D" w14:textId="3DAD5D05"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15.1</w:t>
            </w:r>
          </w:p>
        </w:tc>
      </w:tr>
      <w:tr w:rsidR="005B1024" w:rsidRPr="00FD7629" w14:paraId="7BCBA40E" w14:textId="77777777" w:rsidTr="00734C6A">
        <w:trPr>
          <w:trHeight w:val="255"/>
        </w:trPr>
        <w:tc>
          <w:tcPr>
            <w:tcW w:w="3005" w:type="dxa"/>
            <w:shd w:val="clear" w:color="auto" w:fill="auto"/>
            <w:vAlign w:val="center"/>
            <w:hideMark/>
          </w:tcPr>
          <w:p w14:paraId="183456BE" w14:textId="77777777" w:rsidR="005B1024" w:rsidRPr="00FD7629" w:rsidRDefault="005B1024" w:rsidP="005B1024">
            <w:pPr>
              <w:rPr>
                <w:rFonts w:ascii="Arial" w:hAnsi="Arial" w:cs="Arial"/>
                <w:b/>
                <w:bCs/>
                <w:szCs w:val="24"/>
                <w:lang w:eastAsia="en-GB"/>
              </w:rPr>
            </w:pPr>
            <w:r w:rsidRPr="00FD7629">
              <w:rPr>
                <w:rFonts w:ascii="Arial" w:hAnsi="Arial" w:cs="Arial"/>
                <w:b/>
                <w:bCs/>
                <w:szCs w:val="24"/>
                <w:lang w:eastAsia="en-GB"/>
              </w:rPr>
              <w:t>Funding</w:t>
            </w:r>
          </w:p>
        </w:tc>
        <w:tc>
          <w:tcPr>
            <w:tcW w:w="1100" w:type="dxa"/>
            <w:shd w:val="clear" w:color="auto" w:fill="auto"/>
            <w:vAlign w:val="center"/>
            <w:hideMark/>
          </w:tcPr>
          <w:p w14:paraId="2AF07EE2" w14:textId="3ED65192" w:rsidR="005B1024" w:rsidRPr="005B1024" w:rsidRDefault="005B1024" w:rsidP="005B1024">
            <w:pPr>
              <w:rPr>
                <w:rFonts w:ascii="Arial" w:hAnsi="Arial" w:cs="Arial"/>
                <w:szCs w:val="24"/>
                <w:lang w:eastAsia="en-GB"/>
              </w:rPr>
            </w:pPr>
          </w:p>
        </w:tc>
        <w:tc>
          <w:tcPr>
            <w:tcW w:w="1100" w:type="dxa"/>
            <w:shd w:val="clear" w:color="auto" w:fill="auto"/>
            <w:vAlign w:val="center"/>
            <w:hideMark/>
          </w:tcPr>
          <w:p w14:paraId="67405EFE" w14:textId="3F043631" w:rsidR="005B1024" w:rsidRPr="005B1024" w:rsidRDefault="005B1024" w:rsidP="005B1024">
            <w:pPr>
              <w:rPr>
                <w:rFonts w:ascii="Arial" w:hAnsi="Arial" w:cs="Arial"/>
                <w:szCs w:val="24"/>
                <w:lang w:eastAsia="en-GB"/>
              </w:rPr>
            </w:pPr>
          </w:p>
        </w:tc>
        <w:tc>
          <w:tcPr>
            <w:tcW w:w="1100" w:type="dxa"/>
            <w:shd w:val="clear" w:color="auto" w:fill="auto"/>
            <w:vAlign w:val="center"/>
            <w:hideMark/>
          </w:tcPr>
          <w:p w14:paraId="2B892DA3" w14:textId="1F9FBBB6" w:rsidR="005B1024" w:rsidRPr="005B1024" w:rsidRDefault="005B1024" w:rsidP="005B1024">
            <w:pPr>
              <w:rPr>
                <w:rFonts w:ascii="Arial" w:hAnsi="Arial" w:cs="Arial"/>
                <w:szCs w:val="24"/>
                <w:lang w:eastAsia="en-GB"/>
              </w:rPr>
            </w:pPr>
          </w:p>
        </w:tc>
        <w:tc>
          <w:tcPr>
            <w:tcW w:w="1100" w:type="dxa"/>
            <w:shd w:val="clear" w:color="auto" w:fill="auto"/>
            <w:vAlign w:val="center"/>
            <w:hideMark/>
          </w:tcPr>
          <w:p w14:paraId="48A88741" w14:textId="4DF0FAA6" w:rsidR="005B1024" w:rsidRPr="005B1024" w:rsidRDefault="005B1024" w:rsidP="005B1024">
            <w:pPr>
              <w:rPr>
                <w:rFonts w:ascii="Arial" w:hAnsi="Arial" w:cs="Arial"/>
                <w:szCs w:val="24"/>
                <w:lang w:eastAsia="en-GB"/>
              </w:rPr>
            </w:pPr>
          </w:p>
        </w:tc>
        <w:tc>
          <w:tcPr>
            <w:tcW w:w="1100" w:type="dxa"/>
            <w:shd w:val="clear" w:color="auto" w:fill="auto"/>
            <w:vAlign w:val="center"/>
            <w:hideMark/>
          </w:tcPr>
          <w:p w14:paraId="04599592" w14:textId="30CCA1B9" w:rsidR="005B1024" w:rsidRPr="005B1024" w:rsidRDefault="005B1024" w:rsidP="005B1024">
            <w:pPr>
              <w:rPr>
                <w:rFonts w:ascii="Arial" w:hAnsi="Arial" w:cs="Arial"/>
                <w:szCs w:val="24"/>
                <w:lang w:eastAsia="en-GB"/>
              </w:rPr>
            </w:pPr>
          </w:p>
        </w:tc>
      </w:tr>
      <w:tr w:rsidR="005B1024" w:rsidRPr="00FD7629" w14:paraId="3BCBAD0F" w14:textId="77777777" w:rsidTr="00734C6A">
        <w:trPr>
          <w:trHeight w:val="255"/>
        </w:trPr>
        <w:tc>
          <w:tcPr>
            <w:tcW w:w="3005" w:type="dxa"/>
            <w:shd w:val="clear" w:color="auto" w:fill="auto"/>
            <w:vAlign w:val="center"/>
            <w:hideMark/>
          </w:tcPr>
          <w:p w14:paraId="4E6198C2"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Revenue Contributions</w:t>
            </w:r>
          </w:p>
        </w:tc>
        <w:tc>
          <w:tcPr>
            <w:tcW w:w="1100" w:type="dxa"/>
            <w:shd w:val="clear" w:color="auto" w:fill="auto"/>
            <w:vAlign w:val="center"/>
            <w:hideMark/>
          </w:tcPr>
          <w:p w14:paraId="112E2511" w14:textId="01B80771" w:rsidR="005B1024" w:rsidRPr="005B1024" w:rsidRDefault="005B1024" w:rsidP="005B1024">
            <w:pPr>
              <w:jc w:val="right"/>
              <w:rPr>
                <w:rFonts w:ascii="Arial" w:hAnsi="Arial" w:cs="Arial"/>
                <w:szCs w:val="24"/>
                <w:lang w:eastAsia="en-GB"/>
              </w:rPr>
            </w:pPr>
            <w:r w:rsidRPr="005B1024">
              <w:rPr>
                <w:rFonts w:ascii="Arial" w:hAnsi="Arial" w:cs="Arial"/>
                <w:szCs w:val="24"/>
              </w:rPr>
              <w:t>2.5</w:t>
            </w:r>
          </w:p>
        </w:tc>
        <w:tc>
          <w:tcPr>
            <w:tcW w:w="1100" w:type="dxa"/>
            <w:shd w:val="clear" w:color="auto" w:fill="auto"/>
            <w:vAlign w:val="center"/>
            <w:hideMark/>
          </w:tcPr>
          <w:p w14:paraId="3250C7CE" w14:textId="47C7E62E" w:rsidR="005B1024" w:rsidRPr="005B1024" w:rsidRDefault="005B1024" w:rsidP="005B1024">
            <w:pPr>
              <w:jc w:val="right"/>
              <w:rPr>
                <w:rFonts w:ascii="Arial" w:hAnsi="Arial" w:cs="Arial"/>
                <w:szCs w:val="24"/>
                <w:lang w:eastAsia="en-GB"/>
              </w:rPr>
            </w:pPr>
            <w:r w:rsidRPr="005B1024">
              <w:rPr>
                <w:rFonts w:ascii="Arial" w:hAnsi="Arial" w:cs="Arial"/>
                <w:szCs w:val="24"/>
              </w:rPr>
              <w:t>3.0</w:t>
            </w:r>
          </w:p>
        </w:tc>
        <w:tc>
          <w:tcPr>
            <w:tcW w:w="1100" w:type="dxa"/>
            <w:shd w:val="clear" w:color="auto" w:fill="auto"/>
            <w:vAlign w:val="center"/>
            <w:hideMark/>
          </w:tcPr>
          <w:p w14:paraId="600E0060" w14:textId="67AE10A0" w:rsidR="005B1024" w:rsidRPr="005B1024" w:rsidRDefault="005B1024" w:rsidP="005B1024">
            <w:pPr>
              <w:jc w:val="right"/>
              <w:rPr>
                <w:rFonts w:ascii="Arial" w:hAnsi="Arial" w:cs="Arial"/>
                <w:szCs w:val="24"/>
                <w:lang w:eastAsia="en-GB"/>
              </w:rPr>
            </w:pPr>
            <w:r w:rsidRPr="005B1024">
              <w:rPr>
                <w:rFonts w:ascii="Arial" w:hAnsi="Arial" w:cs="Arial"/>
                <w:szCs w:val="24"/>
              </w:rPr>
              <w:t>3.5</w:t>
            </w:r>
          </w:p>
        </w:tc>
        <w:tc>
          <w:tcPr>
            <w:tcW w:w="1100" w:type="dxa"/>
            <w:shd w:val="clear" w:color="auto" w:fill="auto"/>
            <w:vAlign w:val="center"/>
            <w:hideMark/>
          </w:tcPr>
          <w:p w14:paraId="14315B36" w14:textId="4C0DE1FC" w:rsidR="005B1024" w:rsidRPr="005B1024" w:rsidRDefault="005B1024" w:rsidP="005B1024">
            <w:pPr>
              <w:jc w:val="right"/>
              <w:rPr>
                <w:rFonts w:ascii="Arial" w:hAnsi="Arial" w:cs="Arial"/>
                <w:szCs w:val="24"/>
                <w:lang w:eastAsia="en-GB"/>
              </w:rPr>
            </w:pPr>
            <w:r w:rsidRPr="005B1024">
              <w:rPr>
                <w:rFonts w:ascii="Arial" w:hAnsi="Arial" w:cs="Arial"/>
                <w:szCs w:val="24"/>
              </w:rPr>
              <w:t>4.0</w:t>
            </w:r>
          </w:p>
        </w:tc>
        <w:tc>
          <w:tcPr>
            <w:tcW w:w="1100" w:type="dxa"/>
            <w:shd w:val="clear" w:color="auto" w:fill="auto"/>
            <w:vAlign w:val="center"/>
            <w:hideMark/>
          </w:tcPr>
          <w:p w14:paraId="4484F584" w14:textId="536529EE" w:rsidR="005B1024" w:rsidRPr="005B1024" w:rsidRDefault="005B1024" w:rsidP="005B1024">
            <w:pPr>
              <w:jc w:val="right"/>
              <w:rPr>
                <w:rFonts w:ascii="Arial" w:hAnsi="Arial" w:cs="Arial"/>
                <w:szCs w:val="24"/>
                <w:lang w:eastAsia="en-GB"/>
              </w:rPr>
            </w:pPr>
            <w:r w:rsidRPr="005B1024">
              <w:rPr>
                <w:rFonts w:ascii="Arial" w:hAnsi="Arial" w:cs="Arial"/>
                <w:szCs w:val="24"/>
              </w:rPr>
              <w:t>4.0</w:t>
            </w:r>
          </w:p>
        </w:tc>
      </w:tr>
      <w:tr w:rsidR="005B1024" w:rsidRPr="00FD7629" w14:paraId="2CC4B786" w14:textId="77777777" w:rsidTr="00734C6A">
        <w:trPr>
          <w:trHeight w:val="255"/>
        </w:trPr>
        <w:tc>
          <w:tcPr>
            <w:tcW w:w="3005" w:type="dxa"/>
            <w:shd w:val="clear" w:color="auto" w:fill="auto"/>
            <w:vAlign w:val="center"/>
            <w:hideMark/>
          </w:tcPr>
          <w:p w14:paraId="0FBAE5B4"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Capital Reserve</w:t>
            </w:r>
          </w:p>
        </w:tc>
        <w:tc>
          <w:tcPr>
            <w:tcW w:w="1100" w:type="dxa"/>
            <w:shd w:val="clear" w:color="auto" w:fill="auto"/>
            <w:vAlign w:val="center"/>
            <w:hideMark/>
          </w:tcPr>
          <w:p w14:paraId="100AE849" w14:textId="7304DDFB" w:rsidR="005B1024" w:rsidRPr="005B1024" w:rsidRDefault="005B1024" w:rsidP="005B1024">
            <w:pPr>
              <w:jc w:val="right"/>
              <w:rPr>
                <w:rFonts w:ascii="Arial" w:hAnsi="Arial" w:cs="Arial"/>
                <w:szCs w:val="24"/>
                <w:lang w:eastAsia="en-GB"/>
              </w:rPr>
            </w:pPr>
            <w:r w:rsidRPr="005B1024">
              <w:rPr>
                <w:rFonts w:ascii="Arial" w:hAnsi="Arial" w:cs="Arial"/>
                <w:szCs w:val="24"/>
              </w:rPr>
              <w:t>10.3</w:t>
            </w:r>
          </w:p>
        </w:tc>
        <w:tc>
          <w:tcPr>
            <w:tcW w:w="1100" w:type="dxa"/>
            <w:shd w:val="clear" w:color="auto" w:fill="auto"/>
            <w:vAlign w:val="center"/>
            <w:hideMark/>
          </w:tcPr>
          <w:p w14:paraId="0D7DED59" w14:textId="49F22843" w:rsidR="005B1024" w:rsidRPr="005B1024" w:rsidRDefault="005B1024" w:rsidP="005B1024">
            <w:pPr>
              <w:jc w:val="right"/>
              <w:rPr>
                <w:rFonts w:ascii="Arial" w:hAnsi="Arial" w:cs="Arial"/>
                <w:szCs w:val="24"/>
                <w:lang w:eastAsia="en-GB"/>
              </w:rPr>
            </w:pPr>
            <w:r w:rsidRPr="005B1024">
              <w:rPr>
                <w:rFonts w:ascii="Arial" w:hAnsi="Arial" w:cs="Arial"/>
                <w:szCs w:val="24"/>
              </w:rPr>
              <w:t>6.6</w:t>
            </w:r>
          </w:p>
        </w:tc>
        <w:tc>
          <w:tcPr>
            <w:tcW w:w="1100" w:type="dxa"/>
            <w:shd w:val="clear" w:color="auto" w:fill="auto"/>
            <w:vAlign w:val="center"/>
            <w:hideMark/>
          </w:tcPr>
          <w:p w14:paraId="330724FB" w14:textId="06E31284"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34228D1F" w14:textId="434BF84C"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2C8CB33B" w14:textId="7F22A0AE"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r>
      <w:tr w:rsidR="005B1024" w:rsidRPr="00FD7629" w14:paraId="139A8DD0" w14:textId="77777777" w:rsidTr="00734C6A">
        <w:trPr>
          <w:trHeight w:val="255"/>
        </w:trPr>
        <w:tc>
          <w:tcPr>
            <w:tcW w:w="3005" w:type="dxa"/>
            <w:shd w:val="clear" w:color="auto" w:fill="auto"/>
            <w:vAlign w:val="center"/>
            <w:hideMark/>
          </w:tcPr>
          <w:p w14:paraId="11C16866"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Capital Receipts</w:t>
            </w:r>
          </w:p>
        </w:tc>
        <w:tc>
          <w:tcPr>
            <w:tcW w:w="1100" w:type="dxa"/>
            <w:shd w:val="clear" w:color="auto" w:fill="auto"/>
            <w:vAlign w:val="center"/>
            <w:hideMark/>
          </w:tcPr>
          <w:p w14:paraId="43CEC6EE" w14:textId="08369243"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6EB262F0" w14:textId="7AB28A87"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4C8A8028" w14:textId="0214BEF7"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786358D1" w14:textId="0FCF6399"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16534569" w14:textId="253C78D4" w:rsidR="005B1024" w:rsidRPr="005B1024" w:rsidRDefault="005B1024" w:rsidP="005B1024">
            <w:pPr>
              <w:jc w:val="right"/>
              <w:rPr>
                <w:rFonts w:ascii="Arial" w:hAnsi="Arial" w:cs="Arial"/>
                <w:szCs w:val="24"/>
                <w:lang w:eastAsia="en-GB"/>
              </w:rPr>
            </w:pPr>
            <w:r w:rsidRPr="005B1024">
              <w:rPr>
                <w:rFonts w:ascii="Arial" w:hAnsi="Arial" w:cs="Arial"/>
                <w:szCs w:val="24"/>
              </w:rPr>
              <w:t>1.6</w:t>
            </w:r>
          </w:p>
        </w:tc>
      </w:tr>
      <w:tr w:rsidR="005B1024" w:rsidRPr="00FD7629" w14:paraId="0494ADEB" w14:textId="77777777" w:rsidTr="00734C6A">
        <w:trPr>
          <w:trHeight w:val="255"/>
        </w:trPr>
        <w:tc>
          <w:tcPr>
            <w:tcW w:w="3005" w:type="dxa"/>
            <w:shd w:val="clear" w:color="auto" w:fill="auto"/>
            <w:vAlign w:val="center"/>
            <w:hideMark/>
          </w:tcPr>
          <w:p w14:paraId="2B3F0EAC"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Grants</w:t>
            </w:r>
          </w:p>
        </w:tc>
        <w:tc>
          <w:tcPr>
            <w:tcW w:w="1100" w:type="dxa"/>
            <w:shd w:val="clear" w:color="auto" w:fill="auto"/>
            <w:vAlign w:val="center"/>
            <w:hideMark/>
          </w:tcPr>
          <w:p w14:paraId="2D22B979" w14:textId="7FC46570"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28321A65" w14:textId="0BD6AD2E" w:rsidR="005B1024" w:rsidRPr="005B1024" w:rsidRDefault="005B1024" w:rsidP="005B1024">
            <w:pPr>
              <w:jc w:val="right"/>
              <w:rPr>
                <w:rFonts w:ascii="Arial" w:hAnsi="Arial" w:cs="Arial"/>
                <w:szCs w:val="24"/>
                <w:lang w:eastAsia="en-GB"/>
              </w:rPr>
            </w:pPr>
            <w:r w:rsidRPr="005B1024">
              <w:rPr>
                <w:rFonts w:ascii="Arial" w:hAnsi="Arial" w:cs="Arial"/>
                <w:szCs w:val="24"/>
              </w:rPr>
              <w:t>1.0</w:t>
            </w:r>
          </w:p>
        </w:tc>
        <w:tc>
          <w:tcPr>
            <w:tcW w:w="1100" w:type="dxa"/>
            <w:shd w:val="clear" w:color="auto" w:fill="auto"/>
            <w:vAlign w:val="center"/>
            <w:hideMark/>
          </w:tcPr>
          <w:p w14:paraId="252B5A74" w14:textId="3902CDD7"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0B39CBBE" w14:textId="6FE1F745"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4349E2F5" w14:textId="5A4540A6"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r>
      <w:tr w:rsidR="005B1024" w:rsidRPr="00FD7629" w14:paraId="245D8AF9" w14:textId="77777777" w:rsidTr="00734C6A">
        <w:trPr>
          <w:trHeight w:val="255"/>
        </w:trPr>
        <w:tc>
          <w:tcPr>
            <w:tcW w:w="3005" w:type="dxa"/>
            <w:shd w:val="clear" w:color="auto" w:fill="auto"/>
            <w:vAlign w:val="center"/>
            <w:hideMark/>
          </w:tcPr>
          <w:p w14:paraId="56E0CCD6" w14:textId="77777777" w:rsidR="005B1024" w:rsidRPr="00FD7629" w:rsidRDefault="005B1024" w:rsidP="005B1024">
            <w:pPr>
              <w:rPr>
                <w:rFonts w:ascii="Arial" w:hAnsi="Arial" w:cs="Arial"/>
                <w:szCs w:val="24"/>
                <w:lang w:eastAsia="en-GB"/>
              </w:rPr>
            </w:pPr>
            <w:r w:rsidRPr="00FD7629">
              <w:rPr>
                <w:rFonts w:ascii="Arial" w:hAnsi="Arial" w:cs="Arial"/>
                <w:szCs w:val="24"/>
                <w:lang w:eastAsia="en-GB"/>
              </w:rPr>
              <w:t>Borrowing</w:t>
            </w:r>
          </w:p>
        </w:tc>
        <w:tc>
          <w:tcPr>
            <w:tcW w:w="1100" w:type="dxa"/>
            <w:shd w:val="clear" w:color="auto" w:fill="auto"/>
            <w:vAlign w:val="center"/>
            <w:hideMark/>
          </w:tcPr>
          <w:p w14:paraId="091F1DFD" w14:textId="52B746F7" w:rsidR="005B1024" w:rsidRPr="005B1024" w:rsidRDefault="005B1024" w:rsidP="005B1024">
            <w:pPr>
              <w:jc w:val="right"/>
              <w:rPr>
                <w:rFonts w:ascii="Arial" w:hAnsi="Arial" w:cs="Arial"/>
                <w:szCs w:val="24"/>
                <w:lang w:eastAsia="en-GB"/>
              </w:rPr>
            </w:pPr>
            <w:r w:rsidRPr="005B1024">
              <w:rPr>
                <w:rFonts w:ascii="Arial" w:hAnsi="Arial" w:cs="Arial"/>
                <w:szCs w:val="24"/>
              </w:rPr>
              <w:t>0.0</w:t>
            </w:r>
          </w:p>
        </w:tc>
        <w:tc>
          <w:tcPr>
            <w:tcW w:w="1100" w:type="dxa"/>
            <w:shd w:val="clear" w:color="auto" w:fill="auto"/>
            <w:vAlign w:val="center"/>
            <w:hideMark/>
          </w:tcPr>
          <w:p w14:paraId="09CE2A23" w14:textId="5EE6C318" w:rsidR="005B1024" w:rsidRPr="005B1024" w:rsidRDefault="005B1024" w:rsidP="005B1024">
            <w:pPr>
              <w:jc w:val="right"/>
              <w:rPr>
                <w:rFonts w:ascii="Arial" w:hAnsi="Arial" w:cs="Arial"/>
                <w:szCs w:val="24"/>
                <w:lang w:eastAsia="en-GB"/>
              </w:rPr>
            </w:pPr>
            <w:r w:rsidRPr="005B1024">
              <w:rPr>
                <w:rFonts w:ascii="Arial" w:hAnsi="Arial" w:cs="Arial"/>
                <w:szCs w:val="24"/>
              </w:rPr>
              <w:t>4.2</w:t>
            </w:r>
          </w:p>
        </w:tc>
        <w:tc>
          <w:tcPr>
            <w:tcW w:w="1100" w:type="dxa"/>
            <w:shd w:val="clear" w:color="auto" w:fill="auto"/>
            <w:vAlign w:val="center"/>
            <w:hideMark/>
          </w:tcPr>
          <w:p w14:paraId="45332F2C" w14:textId="44102C5D" w:rsidR="005B1024" w:rsidRPr="005B1024" w:rsidRDefault="005B1024" w:rsidP="005B1024">
            <w:pPr>
              <w:jc w:val="right"/>
              <w:rPr>
                <w:rFonts w:ascii="Arial" w:hAnsi="Arial" w:cs="Arial"/>
                <w:szCs w:val="24"/>
                <w:lang w:eastAsia="en-GB"/>
              </w:rPr>
            </w:pPr>
            <w:r w:rsidRPr="005B1024">
              <w:rPr>
                <w:rFonts w:ascii="Arial" w:hAnsi="Arial" w:cs="Arial"/>
                <w:szCs w:val="24"/>
              </w:rPr>
              <w:t>26.6</w:t>
            </w:r>
          </w:p>
        </w:tc>
        <w:tc>
          <w:tcPr>
            <w:tcW w:w="1100" w:type="dxa"/>
            <w:shd w:val="clear" w:color="auto" w:fill="auto"/>
            <w:vAlign w:val="center"/>
            <w:hideMark/>
          </w:tcPr>
          <w:p w14:paraId="57A57623" w14:textId="2462AB99" w:rsidR="005B1024" w:rsidRPr="005B1024" w:rsidRDefault="005B1024" w:rsidP="005B1024">
            <w:pPr>
              <w:jc w:val="right"/>
              <w:rPr>
                <w:rFonts w:ascii="Arial" w:hAnsi="Arial" w:cs="Arial"/>
                <w:szCs w:val="24"/>
                <w:lang w:eastAsia="en-GB"/>
              </w:rPr>
            </w:pPr>
            <w:r w:rsidRPr="005B1024">
              <w:rPr>
                <w:rFonts w:ascii="Arial" w:hAnsi="Arial" w:cs="Arial"/>
                <w:szCs w:val="24"/>
              </w:rPr>
              <w:t>9.1</w:t>
            </w:r>
          </w:p>
        </w:tc>
        <w:tc>
          <w:tcPr>
            <w:tcW w:w="1100" w:type="dxa"/>
            <w:shd w:val="clear" w:color="auto" w:fill="auto"/>
            <w:vAlign w:val="center"/>
            <w:hideMark/>
          </w:tcPr>
          <w:p w14:paraId="01B1FDAD" w14:textId="43A5C2B1" w:rsidR="005B1024" w:rsidRPr="005B1024" w:rsidRDefault="005B1024" w:rsidP="005B1024">
            <w:pPr>
              <w:jc w:val="right"/>
              <w:rPr>
                <w:rFonts w:ascii="Arial" w:hAnsi="Arial" w:cs="Arial"/>
                <w:szCs w:val="24"/>
                <w:lang w:eastAsia="en-GB"/>
              </w:rPr>
            </w:pPr>
            <w:r w:rsidRPr="005B1024">
              <w:rPr>
                <w:rFonts w:ascii="Arial" w:hAnsi="Arial" w:cs="Arial"/>
                <w:szCs w:val="24"/>
              </w:rPr>
              <w:t>9.5</w:t>
            </w:r>
          </w:p>
        </w:tc>
      </w:tr>
      <w:tr w:rsidR="005B1024" w:rsidRPr="00734C6A" w14:paraId="5F0AE0E4" w14:textId="77777777" w:rsidTr="00734C6A">
        <w:trPr>
          <w:trHeight w:val="255"/>
        </w:trPr>
        <w:tc>
          <w:tcPr>
            <w:tcW w:w="3005" w:type="dxa"/>
            <w:shd w:val="clear" w:color="auto" w:fill="auto"/>
            <w:vAlign w:val="center"/>
            <w:hideMark/>
          </w:tcPr>
          <w:p w14:paraId="33A943FC" w14:textId="77777777" w:rsidR="005B1024" w:rsidRPr="00734C6A" w:rsidRDefault="005B1024" w:rsidP="005B1024">
            <w:pPr>
              <w:rPr>
                <w:rFonts w:ascii="Arial" w:hAnsi="Arial" w:cs="Arial"/>
                <w:b/>
                <w:bCs/>
                <w:szCs w:val="24"/>
                <w:lang w:eastAsia="en-GB"/>
              </w:rPr>
            </w:pPr>
            <w:r w:rsidRPr="00734C6A">
              <w:rPr>
                <w:rFonts w:ascii="Arial" w:hAnsi="Arial" w:cs="Arial"/>
                <w:b/>
                <w:bCs/>
                <w:szCs w:val="24"/>
                <w:lang w:eastAsia="en-GB"/>
              </w:rPr>
              <w:t>Total</w:t>
            </w:r>
          </w:p>
        </w:tc>
        <w:tc>
          <w:tcPr>
            <w:tcW w:w="1100" w:type="dxa"/>
            <w:shd w:val="clear" w:color="auto" w:fill="auto"/>
            <w:vAlign w:val="center"/>
            <w:hideMark/>
          </w:tcPr>
          <w:p w14:paraId="7FA1D6A3" w14:textId="0E720C8F"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12.8</w:t>
            </w:r>
          </w:p>
        </w:tc>
        <w:tc>
          <w:tcPr>
            <w:tcW w:w="1100" w:type="dxa"/>
            <w:shd w:val="clear" w:color="auto" w:fill="auto"/>
            <w:vAlign w:val="center"/>
            <w:hideMark/>
          </w:tcPr>
          <w:p w14:paraId="7EB41EFA" w14:textId="0917EA83"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14.8</w:t>
            </w:r>
          </w:p>
        </w:tc>
        <w:tc>
          <w:tcPr>
            <w:tcW w:w="1100" w:type="dxa"/>
            <w:shd w:val="clear" w:color="auto" w:fill="auto"/>
            <w:vAlign w:val="center"/>
            <w:hideMark/>
          </w:tcPr>
          <w:p w14:paraId="5F154F16" w14:textId="21C751F0"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30.1</w:t>
            </w:r>
          </w:p>
        </w:tc>
        <w:tc>
          <w:tcPr>
            <w:tcW w:w="1100" w:type="dxa"/>
            <w:shd w:val="clear" w:color="auto" w:fill="auto"/>
            <w:vAlign w:val="center"/>
            <w:hideMark/>
          </w:tcPr>
          <w:p w14:paraId="4F87D8FB" w14:textId="551E6F98"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13.1</w:t>
            </w:r>
          </w:p>
        </w:tc>
        <w:tc>
          <w:tcPr>
            <w:tcW w:w="1100" w:type="dxa"/>
            <w:shd w:val="clear" w:color="auto" w:fill="auto"/>
            <w:vAlign w:val="center"/>
            <w:hideMark/>
          </w:tcPr>
          <w:p w14:paraId="299BF4CB" w14:textId="614E17A2" w:rsidR="005B1024" w:rsidRPr="005B1024" w:rsidRDefault="005B1024" w:rsidP="005B1024">
            <w:pPr>
              <w:jc w:val="right"/>
              <w:rPr>
                <w:rFonts w:ascii="Arial" w:hAnsi="Arial" w:cs="Arial"/>
                <w:b/>
                <w:bCs/>
                <w:szCs w:val="24"/>
                <w:lang w:eastAsia="en-GB"/>
              </w:rPr>
            </w:pPr>
            <w:r w:rsidRPr="005B1024">
              <w:rPr>
                <w:rFonts w:ascii="Arial" w:hAnsi="Arial" w:cs="Arial"/>
                <w:b/>
                <w:bCs/>
                <w:szCs w:val="24"/>
              </w:rPr>
              <w:t>15.1</w:t>
            </w:r>
          </w:p>
        </w:tc>
      </w:tr>
    </w:tbl>
    <w:p w14:paraId="3F62802B" w14:textId="77777777" w:rsidR="00734C6A" w:rsidRDefault="00734C6A" w:rsidP="00734C6A">
      <w:pPr>
        <w:pStyle w:val="Default"/>
        <w:spacing w:before="120" w:after="240"/>
        <w:ind w:left="635"/>
      </w:pPr>
    </w:p>
    <w:p w14:paraId="4E53B955" w14:textId="29AAFBB9" w:rsidR="00F71230" w:rsidRDefault="005B0288" w:rsidP="008C79A8">
      <w:pPr>
        <w:pStyle w:val="Default"/>
        <w:numPr>
          <w:ilvl w:val="0"/>
          <w:numId w:val="2"/>
        </w:numPr>
        <w:spacing w:before="120" w:after="240"/>
        <w:ind w:left="635" w:hanging="635"/>
      </w:pPr>
      <w:r>
        <w:t xml:space="preserve">Full details of the </w:t>
      </w:r>
      <w:proofErr w:type="gramStart"/>
      <w:r w:rsidR="00465E0F">
        <w:t>10 year</w:t>
      </w:r>
      <w:proofErr w:type="gramEnd"/>
      <w:r w:rsidR="00465E0F">
        <w:t xml:space="preserve"> </w:t>
      </w:r>
      <w:r>
        <w:t>capital programme and its associated funding are included in the Capital Strategy. In addition, given the above funding proposals includes borrowing, the impact of this is discussed in more detail within the Treasury Management Strategy.</w:t>
      </w:r>
      <w:r w:rsidR="00F71230">
        <w:br w:type="page"/>
      </w:r>
    </w:p>
    <w:p w14:paraId="1986BD77" w14:textId="1B8329FE" w:rsidR="00FC3424" w:rsidRPr="00F71230" w:rsidRDefault="00F71230" w:rsidP="00F71230">
      <w:pPr>
        <w:spacing w:before="240" w:after="120"/>
        <w:jc w:val="right"/>
        <w:rPr>
          <w:rFonts w:ascii="Arial" w:hAnsi="Arial"/>
          <w:b/>
          <w:sz w:val="28"/>
          <w:szCs w:val="28"/>
        </w:rPr>
      </w:pPr>
      <w:r w:rsidRPr="00F71230">
        <w:rPr>
          <w:rFonts w:ascii="Arial" w:hAnsi="Arial"/>
          <w:b/>
          <w:sz w:val="28"/>
          <w:szCs w:val="28"/>
        </w:rPr>
        <w:lastRenderedPageBreak/>
        <w:t>Appendix 1</w:t>
      </w:r>
    </w:p>
    <w:p w14:paraId="0D1FD02A" w14:textId="03666367" w:rsidR="00F71230" w:rsidRPr="00F71230" w:rsidRDefault="00F71230" w:rsidP="00F71230">
      <w:pPr>
        <w:spacing w:before="240" w:after="120"/>
        <w:rPr>
          <w:rFonts w:ascii="Arial" w:hAnsi="Arial"/>
          <w:b/>
          <w:sz w:val="28"/>
          <w:szCs w:val="28"/>
        </w:rPr>
      </w:pPr>
      <w:r w:rsidRPr="00F71230">
        <w:rPr>
          <w:rFonts w:ascii="Arial" w:hAnsi="Arial"/>
          <w:b/>
          <w:sz w:val="28"/>
          <w:szCs w:val="28"/>
        </w:rPr>
        <w:t>Analysis of Budget by Service Area</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100"/>
        <w:gridCol w:w="1100"/>
        <w:gridCol w:w="1100"/>
        <w:gridCol w:w="1100"/>
        <w:gridCol w:w="1100"/>
      </w:tblGrid>
      <w:tr w:rsidR="005E5B8C" w:rsidRPr="005E5B8C" w14:paraId="74D58926" w14:textId="77777777" w:rsidTr="00155CA1">
        <w:trPr>
          <w:trHeight w:val="255"/>
        </w:trPr>
        <w:tc>
          <w:tcPr>
            <w:tcW w:w="3628" w:type="dxa"/>
            <w:shd w:val="clear" w:color="auto" w:fill="auto"/>
            <w:vAlign w:val="center"/>
          </w:tcPr>
          <w:p w14:paraId="5ED2778B" w14:textId="77777777" w:rsidR="005E5B8C" w:rsidRPr="005E5B8C" w:rsidRDefault="005E5B8C" w:rsidP="00155CA1">
            <w:pPr>
              <w:spacing w:before="120" w:after="120"/>
              <w:rPr>
                <w:rFonts w:ascii="Arial" w:hAnsi="Arial" w:cs="Arial"/>
                <w:szCs w:val="24"/>
                <w:lang w:eastAsia="en-GB"/>
              </w:rPr>
            </w:pPr>
          </w:p>
        </w:tc>
        <w:tc>
          <w:tcPr>
            <w:tcW w:w="1100" w:type="dxa"/>
            <w:shd w:val="clear" w:color="auto" w:fill="auto"/>
            <w:vAlign w:val="center"/>
          </w:tcPr>
          <w:p w14:paraId="4B40FB3E" w14:textId="77777777" w:rsidR="005E5B8C" w:rsidRPr="005E5B8C" w:rsidRDefault="005E5B8C" w:rsidP="00155CA1">
            <w:pPr>
              <w:pStyle w:val="Default"/>
              <w:spacing w:before="120" w:after="120"/>
              <w:jc w:val="center"/>
              <w:rPr>
                <w:b/>
                <w:bCs/>
              </w:rPr>
            </w:pPr>
            <w:r w:rsidRPr="005E5B8C">
              <w:rPr>
                <w:b/>
                <w:bCs/>
              </w:rPr>
              <w:t>2025/26</w:t>
            </w:r>
          </w:p>
          <w:p w14:paraId="16F35B02" w14:textId="77777777" w:rsidR="005E5B8C" w:rsidRPr="005E5B8C" w:rsidRDefault="005E5B8C"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10F71B45" w14:textId="77777777" w:rsidR="005E5B8C" w:rsidRPr="005E5B8C" w:rsidRDefault="005E5B8C" w:rsidP="00155CA1">
            <w:pPr>
              <w:pStyle w:val="Default"/>
              <w:spacing w:before="120" w:after="120"/>
              <w:jc w:val="center"/>
              <w:rPr>
                <w:b/>
                <w:bCs/>
              </w:rPr>
            </w:pPr>
            <w:r w:rsidRPr="005E5B8C">
              <w:rPr>
                <w:b/>
                <w:bCs/>
              </w:rPr>
              <w:t>2026/27</w:t>
            </w:r>
          </w:p>
          <w:p w14:paraId="72DDDABD" w14:textId="77777777" w:rsidR="005E5B8C" w:rsidRPr="005E5B8C" w:rsidRDefault="005E5B8C"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441D7919" w14:textId="77777777" w:rsidR="005E5B8C" w:rsidRPr="005E5B8C" w:rsidRDefault="005E5B8C" w:rsidP="00155CA1">
            <w:pPr>
              <w:pStyle w:val="Default"/>
              <w:spacing w:before="120" w:after="120"/>
              <w:jc w:val="center"/>
              <w:rPr>
                <w:b/>
                <w:bCs/>
              </w:rPr>
            </w:pPr>
            <w:r w:rsidRPr="005E5B8C">
              <w:rPr>
                <w:b/>
                <w:bCs/>
              </w:rPr>
              <w:t>2027/28</w:t>
            </w:r>
          </w:p>
          <w:p w14:paraId="39BB9869" w14:textId="77777777" w:rsidR="005E5B8C" w:rsidRPr="005E5B8C" w:rsidRDefault="005E5B8C"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6CD2D64C" w14:textId="77777777" w:rsidR="005E5B8C" w:rsidRPr="005E5B8C" w:rsidRDefault="005E5B8C" w:rsidP="00155CA1">
            <w:pPr>
              <w:pStyle w:val="Default"/>
              <w:spacing w:before="120" w:after="120"/>
              <w:jc w:val="center"/>
              <w:rPr>
                <w:b/>
                <w:bCs/>
              </w:rPr>
            </w:pPr>
            <w:r w:rsidRPr="005E5B8C">
              <w:rPr>
                <w:b/>
                <w:bCs/>
              </w:rPr>
              <w:t>2028/29</w:t>
            </w:r>
          </w:p>
          <w:p w14:paraId="6F741FDC" w14:textId="77777777" w:rsidR="005E5B8C" w:rsidRPr="005E5B8C" w:rsidRDefault="005E5B8C"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54F73DAC" w14:textId="77777777" w:rsidR="005E5B8C" w:rsidRPr="005E5B8C" w:rsidRDefault="005E5B8C" w:rsidP="00155CA1">
            <w:pPr>
              <w:pStyle w:val="Default"/>
              <w:spacing w:before="120" w:after="120"/>
              <w:jc w:val="center"/>
              <w:rPr>
                <w:b/>
                <w:bCs/>
              </w:rPr>
            </w:pPr>
            <w:r w:rsidRPr="005E5B8C">
              <w:rPr>
                <w:b/>
                <w:bCs/>
              </w:rPr>
              <w:t>2029/30</w:t>
            </w:r>
          </w:p>
          <w:p w14:paraId="2C05C7FA" w14:textId="77777777" w:rsidR="005E5B8C" w:rsidRPr="005E5B8C" w:rsidRDefault="005E5B8C"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r>
      <w:tr w:rsidR="005E5B8C" w:rsidRPr="005E5B8C" w14:paraId="1C45842C" w14:textId="77777777" w:rsidTr="00B065ED">
        <w:trPr>
          <w:trHeight w:val="255"/>
        </w:trPr>
        <w:tc>
          <w:tcPr>
            <w:tcW w:w="3628" w:type="dxa"/>
            <w:shd w:val="clear" w:color="auto" w:fill="auto"/>
          </w:tcPr>
          <w:p w14:paraId="3EFB7403" w14:textId="7B92519A" w:rsidR="005E5B8C" w:rsidRPr="005E5B8C" w:rsidRDefault="005E5B8C" w:rsidP="005E5B8C">
            <w:pPr>
              <w:spacing w:before="120" w:after="120"/>
              <w:rPr>
                <w:rFonts w:ascii="Arial" w:hAnsi="Arial" w:cs="Arial"/>
                <w:szCs w:val="24"/>
                <w:lang w:eastAsia="en-GB"/>
              </w:rPr>
            </w:pPr>
            <w:r>
              <w:rPr>
                <w:rFonts w:ascii="Arial" w:hAnsi="Arial" w:cs="Arial"/>
                <w:szCs w:val="24"/>
              </w:rPr>
              <w:t>Service Delivery</w:t>
            </w:r>
          </w:p>
        </w:tc>
        <w:tc>
          <w:tcPr>
            <w:tcW w:w="1100" w:type="dxa"/>
            <w:shd w:val="clear" w:color="auto" w:fill="auto"/>
          </w:tcPr>
          <w:p w14:paraId="4F9E5EA5" w14:textId="4D46656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44.731</w:t>
            </w:r>
          </w:p>
        </w:tc>
        <w:tc>
          <w:tcPr>
            <w:tcW w:w="1100" w:type="dxa"/>
            <w:shd w:val="clear" w:color="auto" w:fill="auto"/>
          </w:tcPr>
          <w:p w14:paraId="09A1CBB1" w14:textId="34D92894"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46.145</w:t>
            </w:r>
          </w:p>
        </w:tc>
        <w:tc>
          <w:tcPr>
            <w:tcW w:w="1100" w:type="dxa"/>
            <w:shd w:val="clear" w:color="auto" w:fill="auto"/>
          </w:tcPr>
          <w:p w14:paraId="1F10006C" w14:textId="5221084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47.081</w:t>
            </w:r>
          </w:p>
        </w:tc>
        <w:tc>
          <w:tcPr>
            <w:tcW w:w="1100" w:type="dxa"/>
            <w:shd w:val="clear" w:color="auto" w:fill="auto"/>
          </w:tcPr>
          <w:p w14:paraId="43ECEEC6" w14:textId="5B799307"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48.265</w:t>
            </w:r>
          </w:p>
        </w:tc>
        <w:tc>
          <w:tcPr>
            <w:tcW w:w="1100" w:type="dxa"/>
            <w:shd w:val="clear" w:color="auto" w:fill="auto"/>
          </w:tcPr>
          <w:p w14:paraId="7390FCF7" w14:textId="41ABEA3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49.276</w:t>
            </w:r>
          </w:p>
        </w:tc>
      </w:tr>
      <w:tr w:rsidR="005E5B8C" w:rsidRPr="005E5B8C" w14:paraId="4F1C3064" w14:textId="77777777" w:rsidTr="00B065ED">
        <w:trPr>
          <w:trHeight w:val="255"/>
        </w:trPr>
        <w:tc>
          <w:tcPr>
            <w:tcW w:w="3628" w:type="dxa"/>
            <w:shd w:val="clear" w:color="auto" w:fill="auto"/>
          </w:tcPr>
          <w:p w14:paraId="31EC49F4" w14:textId="6C768B44" w:rsidR="005E5B8C" w:rsidRPr="005E5B8C" w:rsidRDefault="005E5B8C" w:rsidP="005E5B8C">
            <w:pPr>
              <w:spacing w:before="120" w:after="120"/>
              <w:rPr>
                <w:rFonts w:ascii="Arial" w:hAnsi="Arial" w:cs="Arial"/>
                <w:szCs w:val="24"/>
                <w:lang w:eastAsia="en-GB"/>
              </w:rPr>
            </w:pPr>
            <w:r>
              <w:rPr>
                <w:rFonts w:ascii="Arial" w:hAnsi="Arial" w:cs="Arial"/>
                <w:szCs w:val="24"/>
              </w:rPr>
              <w:t>Prevention &amp; Protection</w:t>
            </w:r>
          </w:p>
        </w:tc>
        <w:tc>
          <w:tcPr>
            <w:tcW w:w="1100" w:type="dxa"/>
            <w:shd w:val="clear" w:color="auto" w:fill="auto"/>
          </w:tcPr>
          <w:p w14:paraId="50DDD16F" w14:textId="3DDDF92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3.865</w:t>
            </w:r>
          </w:p>
        </w:tc>
        <w:tc>
          <w:tcPr>
            <w:tcW w:w="1100" w:type="dxa"/>
            <w:shd w:val="clear" w:color="auto" w:fill="auto"/>
          </w:tcPr>
          <w:p w14:paraId="68B86737" w14:textId="514186E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3.956</w:t>
            </w:r>
          </w:p>
        </w:tc>
        <w:tc>
          <w:tcPr>
            <w:tcW w:w="1100" w:type="dxa"/>
            <w:shd w:val="clear" w:color="auto" w:fill="auto"/>
          </w:tcPr>
          <w:p w14:paraId="055C854C" w14:textId="3845587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4.040</w:t>
            </w:r>
          </w:p>
        </w:tc>
        <w:tc>
          <w:tcPr>
            <w:tcW w:w="1100" w:type="dxa"/>
            <w:shd w:val="clear" w:color="auto" w:fill="auto"/>
          </w:tcPr>
          <w:p w14:paraId="49725FB1" w14:textId="1F568BD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4.126</w:t>
            </w:r>
          </w:p>
        </w:tc>
        <w:tc>
          <w:tcPr>
            <w:tcW w:w="1100" w:type="dxa"/>
            <w:shd w:val="clear" w:color="auto" w:fill="auto"/>
          </w:tcPr>
          <w:p w14:paraId="43CDF426" w14:textId="7776536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4.213</w:t>
            </w:r>
          </w:p>
        </w:tc>
      </w:tr>
      <w:tr w:rsidR="005E5B8C" w:rsidRPr="005E5B8C" w14:paraId="3810C22C" w14:textId="77777777" w:rsidTr="00B065ED">
        <w:trPr>
          <w:trHeight w:val="255"/>
        </w:trPr>
        <w:tc>
          <w:tcPr>
            <w:tcW w:w="3628" w:type="dxa"/>
            <w:shd w:val="clear" w:color="auto" w:fill="auto"/>
          </w:tcPr>
          <w:p w14:paraId="07795D53" w14:textId="2352E20D" w:rsidR="005E5B8C" w:rsidRPr="005E5B8C" w:rsidRDefault="005E5B8C" w:rsidP="005E5B8C">
            <w:pPr>
              <w:spacing w:before="120" w:after="120"/>
              <w:rPr>
                <w:rFonts w:ascii="Arial" w:hAnsi="Arial" w:cs="Arial"/>
                <w:szCs w:val="24"/>
                <w:lang w:eastAsia="en-GB"/>
              </w:rPr>
            </w:pPr>
            <w:r>
              <w:rPr>
                <w:rFonts w:ascii="Arial" w:hAnsi="Arial" w:cs="Arial"/>
                <w:szCs w:val="24"/>
              </w:rPr>
              <w:t>Administration</w:t>
            </w:r>
          </w:p>
        </w:tc>
        <w:tc>
          <w:tcPr>
            <w:tcW w:w="1100" w:type="dxa"/>
            <w:shd w:val="clear" w:color="auto" w:fill="auto"/>
          </w:tcPr>
          <w:p w14:paraId="55FDE955" w14:textId="58435896"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0.766</w:t>
            </w:r>
          </w:p>
        </w:tc>
        <w:tc>
          <w:tcPr>
            <w:tcW w:w="1100" w:type="dxa"/>
            <w:shd w:val="clear" w:color="auto" w:fill="auto"/>
          </w:tcPr>
          <w:p w14:paraId="08ED33DB" w14:textId="66529B9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0.781</w:t>
            </w:r>
          </w:p>
        </w:tc>
        <w:tc>
          <w:tcPr>
            <w:tcW w:w="1100" w:type="dxa"/>
            <w:shd w:val="clear" w:color="auto" w:fill="auto"/>
          </w:tcPr>
          <w:p w14:paraId="0EEB0119" w14:textId="4A67DAD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0.797</w:t>
            </w:r>
          </w:p>
        </w:tc>
        <w:tc>
          <w:tcPr>
            <w:tcW w:w="1100" w:type="dxa"/>
            <w:shd w:val="clear" w:color="auto" w:fill="auto"/>
          </w:tcPr>
          <w:p w14:paraId="6895D9D2" w14:textId="0CD9EAB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0.813</w:t>
            </w:r>
          </w:p>
        </w:tc>
        <w:tc>
          <w:tcPr>
            <w:tcW w:w="1100" w:type="dxa"/>
            <w:shd w:val="clear" w:color="auto" w:fill="auto"/>
          </w:tcPr>
          <w:p w14:paraId="57D240E7" w14:textId="1E30DE7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0.829</w:t>
            </w:r>
          </w:p>
        </w:tc>
      </w:tr>
      <w:tr w:rsidR="005E5B8C" w:rsidRPr="005E5B8C" w14:paraId="53D352D6" w14:textId="77777777" w:rsidTr="00B065ED">
        <w:trPr>
          <w:trHeight w:val="255"/>
        </w:trPr>
        <w:tc>
          <w:tcPr>
            <w:tcW w:w="3628" w:type="dxa"/>
            <w:shd w:val="clear" w:color="auto" w:fill="auto"/>
          </w:tcPr>
          <w:p w14:paraId="75F5ED2B" w14:textId="3DE1D862" w:rsidR="005E5B8C" w:rsidRPr="005E5B8C" w:rsidRDefault="005E5B8C" w:rsidP="005E5B8C">
            <w:pPr>
              <w:spacing w:before="120" w:after="120"/>
              <w:rPr>
                <w:rFonts w:ascii="Arial" w:hAnsi="Arial" w:cs="Arial"/>
                <w:szCs w:val="24"/>
                <w:lang w:eastAsia="en-GB"/>
              </w:rPr>
            </w:pPr>
            <w:r>
              <w:rPr>
                <w:rFonts w:ascii="Arial" w:hAnsi="Arial" w:cs="Arial"/>
                <w:szCs w:val="24"/>
              </w:rPr>
              <w:t xml:space="preserve">Control </w:t>
            </w:r>
          </w:p>
        </w:tc>
        <w:tc>
          <w:tcPr>
            <w:tcW w:w="1100" w:type="dxa"/>
            <w:shd w:val="clear" w:color="auto" w:fill="auto"/>
          </w:tcPr>
          <w:p w14:paraId="76988CFE" w14:textId="4843E8C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2.205</w:t>
            </w:r>
          </w:p>
        </w:tc>
        <w:tc>
          <w:tcPr>
            <w:tcW w:w="1100" w:type="dxa"/>
            <w:shd w:val="clear" w:color="auto" w:fill="auto"/>
          </w:tcPr>
          <w:p w14:paraId="5565EE93" w14:textId="6E4DE5E3"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2.305</w:t>
            </w:r>
          </w:p>
        </w:tc>
        <w:tc>
          <w:tcPr>
            <w:tcW w:w="1100" w:type="dxa"/>
            <w:shd w:val="clear" w:color="auto" w:fill="auto"/>
          </w:tcPr>
          <w:p w14:paraId="427E5272" w14:textId="6EB36B5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2.351</w:t>
            </w:r>
          </w:p>
        </w:tc>
        <w:tc>
          <w:tcPr>
            <w:tcW w:w="1100" w:type="dxa"/>
            <w:shd w:val="clear" w:color="auto" w:fill="auto"/>
          </w:tcPr>
          <w:p w14:paraId="032DBF7A" w14:textId="28FA759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2.398</w:t>
            </w:r>
          </w:p>
        </w:tc>
        <w:tc>
          <w:tcPr>
            <w:tcW w:w="1100" w:type="dxa"/>
            <w:shd w:val="clear" w:color="auto" w:fill="auto"/>
          </w:tcPr>
          <w:p w14:paraId="0D17598E" w14:textId="1D05182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2.446</w:t>
            </w:r>
          </w:p>
        </w:tc>
      </w:tr>
      <w:tr w:rsidR="005E5B8C" w:rsidRPr="005E5B8C" w14:paraId="3739028D" w14:textId="77777777" w:rsidTr="00B065ED">
        <w:trPr>
          <w:trHeight w:val="255"/>
        </w:trPr>
        <w:tc>
          <w:tcPr>
            <w:tcW w:w="3628" w:type="dxa"/>
            <w:shd w:val="clear" w:color="auto" w:fill="auto"/>
          </w:tcPr>
          <w:p w14:paraId="6D1DB9B1" w14:textId="7D9372BE" w:rsidR="005E5B8C" w:rsidRPr="005E5B8C" w:rsidRDefault="005E5B8C" w:rsidP="005E5B8C">
            <w:pPr>
              <w:spacing w:before="120" w:after="120"/>
              <w:rPr>
                <w:rFonts w:ascii="Arial" w:hAnsi="Arial" w:cs="Arial"/>
                <w:szCs w:val="24"/>
                <w:lang w:eastAsia="en-GB"/>
              </w:rPr>
            </w:pPr>
            <w:r>
              <w:rPr>
                <w:rFonts w:ascii="Arial" w:hAnsi="Arial" w:cs="Arial"/>
                <w:szCs w:val="24"/>
              </w:rPr>
              <w:t>Corporate Communications and Democratic Services</w:t>
            </w:r>
          </w:p>
        </w:tc>
        <w:tc>
          <w:tcPr>
            <w:tcW w:w="1100" w:type="dxa"/>
            <w:shd w:val="clear" w:color="auto" w:fill="auto"/>
          </w:tcPr>
          <w:p w14:paraId="2869A3AD" w14:textId="4C538D73"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0.503</w:t>
            </w:r>
          </w:p>
        </w:tc>
        <w:tc>
          <w:tcPr>
            <w:tcW w:w="1100" w:type="dxa"/>
            <w:shd w:val="clear" w:color="auto" w:fill="auto"/>
          </w:tcPr>
          <w:p w14:paraId="77B8FEBC" w14:textId="3CFC8866"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0.513</w:t>
            </w:r>
          </w:p>
        </w:tc>
        <w:tc>
          <w:tcPr>
            <w:tcW w:w="1100" w:type="dxa"/>
            <w:shd w:val="clear" w:color="auto" w:fill="auto"/>
          </w:tcPr>
          <w:p w14:paraId="0F1158CD" w14:textId="6908E88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0.465</w:t>
            </w:r>
          </w:p>
        </w:tc>
        <w:tc>
          <w:tcPr>
            <w:tcW w:w="1100" w:type="dxa"/>
            <w:shd w:val="clear" w:color="auto" w:fill="auto"/>
          </w:tcPr>
          <w:p w14:paraId="27887688" w14:textId="2E58621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0.474</w:t>
            </w:r>
          </w:p>
        </w:tc>
        <w:tc>
          <w:tcPr>
            <w:tcW w:w="1100" w:type="dxa"/>
            <w:shd w:val="clear" w:color="auto" w:fill="auto"/>
          </w:tcPr>
          <w:p w14:paraId="393812E1" w14:textId="399794D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0.484</w:t>
            </w:r>
          </w:p>
        </w:tc>
      </w:tr>
      <w:tr w:rsidR="005E5B8C" w:rsidRPr="005E5B8C" w14:paraId="174720A3" w14:textId="77777777" w:rsidTr="00B065ED">
        <w:trPr>
          <w:trHeight w:val="255"/>
        </w:trPr>
        <w:tc>
          <w:tcPr>
            <w:tcW w:w="3628" w:type="dxa"/>
            <w:shd w:val="clear" w:color="auto" w:fill="auto"/>
          </w:tcPr>
          <w:p w14:paraId="2123B9A2" w14:textId="6F9330C6" w:rsidR="005E5B8C" w:rsidRPr="005E5B8C" w:rsidRDefault="005E5B8C" w:rsidP="005E5B8C">
            <w:pPr>
              <w:spacing w:before="120" w:after="120"/>
              <w:rPr>
                <w:rFonts w:ascii="Arial" w:hAnsi="Arial" w:cs="Arial"/>
                <w:szCs w:val="24"/>
                <w:lang w:eastAsia="en-GB"/>
              </w:rPr>
            </w:pPr>
            <w:r>
              <w:rPr>
                <w:rFonts w:ascii="Arial" w:hAnsi="Arial" w:cs="Arial"/>
                <w:szCs w:val="24"/>
              </w:rPr>
              <w:t>Digital Transformation (Moved to DDAT below)</w:t>
            </w:r>
          </w:p>
        </w:tc>
        <w:tc>
          <w:tcPr>
            <w:tcW w:w="1100" w:type="dxa"/>
            <w:shd w:val="clear" w:color="auto" w:fill="auto"/>
          </w:tcPr>
          <w:p w14:paraId="72955098" w14:textId="17DDAB4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0.000</w:t>
            </w:r>
          </w:p>
        </w:tc>
        <w:tc>
          <w:tcPr>
            <w:tcW w:w="1100" w:type="dxa"/>
            <w:shd w:val="clear" w:color="auto" w:fill="auto"/>
          </w:tcPr>
          <w:p w14:paraId="6541C1C4" w14:textId="6AD5E9E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-0.080</w:t>
            </w:r>
          </w:p>
        </w:tc>
        <w:tc>
          <w:tcPr>
            <w:tcW w:w="1100" w:type="dxa"/>
            <w:shd w:val="clear" w:color="auto" w:fill="auto"/>
          </w:tcPr>
          <w:p w14:paraId="26B3616F" w14:textId="0F7D649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-0.082</w:t>
            </w:r>
          </w:p>
        </w:tc>
        <w:tc>
          <w:tcPr>
            <w:tcW w:w="1100" w:type="dxa"/>
            <w:shd w:val="clear" w:color="auto" w:fill="auto"/>
          </w:tcPr>
          <w:p w14:paraId="4AADA203" w14:textId="2FA02F9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-0.083</w:t>
            </w:r>
          </w:p>
        </w:tc>
        <w:tc>
          <w:tcPr>
            <w:tcW w:w="1100" w:type="dxa"/>
            <w:shd w:val="clear" w:color="auto" w:fill="auto"/>
          </w:tcPr>
          <w:p w14:paraId="022D19E5" w14:textId="0091023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-0.085</w:t>
            </w:r>
          </w:p>
        </w:tc>
      </w:tr>
      <w:tr w:rsidR="005E5B8C" w:rsidRPr="005E5B8C" w14:paraId="038ADB4E" w14:textId="77777777" w:rsidTr="00B065ED">
        <w:trPr>
          <w:trHeight w:val="255"/>
        </w:trPr>
        <w:tc>
          <w:tcPr>
            <w:tcW w:w="3628" w:type="dxa"/>
            <w:shd w:val="clear" w:color="auto" w:fill="auto"/>
          </w:tcPr>
          <w:p w14:paraId="1EBBDAC5" w14:textId="6E1AB218" w:rsidR="005E5B8C" w:rsidRPr="005E5B8C" w:rsidRDefault="005E5B8C" w:rsidP="005E5B8C">
            <w:pPr>
              <w:spacing w:before="120" w:after="120"/>
              <w:rPr>
                <w:rFonts w:ascii="Arial" w:hAnsi="Arial" w:cs="Arial"/>
                <w:szCs w:val="24"/>
                <w:lang w:eastAsia="en-GB"/>
              </w:rPr>
            </w:pPr>
            <w:r>
              <w:rPr>
                <w:rFonts w:ascii="Arial" w:hAnsi="Arial" w:cs="Arial"/>
                <w:szCs w:val="24"/>
              </w:rPr>
              <w:t>Executive</w:t>
            </w:r>
          </w:p>
        </w:tc>
        <w:tc>
          <w:tcPr>
            <w:tcW w:w="1100" w:type="dxa"/>
            <w:shd w:val="clear" w:color="auto" w:fill="auto"/>
          </w:tcPr>
          <w:p w14:paraId="27C481F9" w14:textId="706AFE2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1.197</w:t>
            </w:r>
          </w:p>
        </w:tc>
        <w:tc>
          <w:tcPr>
            <w:tcW w:w="1100" w:type="dxa"/>
            <w:shd w:val="clear" w:color="auto" w:fill="auto"/>
          </w:tcPr>
          <w:p w14:paraId="38BAEF18" w14:textId="5E517E7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1.223</w:t>
            </w:r>
          </w:p>
        </w:tc>
        <w:tc>
          <w:tcPr>
            <w:tcW w:w="1100" w:type="dxa"/>
            <w:shd w:val="clear" w:color="auto" w:fill="auto"/>
          </w:tcPr>
          <w:p w14:paraId="76734A0D" w14:textId="1E198B5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1.248</w:t>
            </w:r>
          </w:p>
        </w:tc>
        <w:tc>
          <w:tcPr>
            <w:tcW w:w="1100" w:type="dxa"/>
            <w:shd w:val="clear" w:color="auto" w:fill="auto"/>
          </w:tcPr>
          <w:p w14:paraId="3FECC8DD" w14:textId="582FF35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1.273</w:t>
            </w:r>
          </w:p>
        </w:tc>
        <w:tc>
          <w:tcPr>
            <w:tcW w:w="1100" w:type="dxa"/>
            <w:shd w:val="clear" w:color="auto" w:fill="auto"/>
          </w:tcPr>
          <w:p w14:paraId="79E28EBD" w14:textId="5D192EF0"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1.298</w:t>
            </w:r>
          </w:p>
        </w:tc>
      </w:tr>
      <w:tr w:rsidR="005E5B8C" w:rsidRPr="005E5B8C" w14:paraId="3261B240" w14:textId="77777777" w:rsidTr="00B065ED">
        <w:trPr>
          <w:trHeight w:val="255"/>
        </w:trPr>
        <w:tc>
          <w:tcPr>
            <w:tcW w:w="3628" w:type="dxa"/>
            <w:shd w:val="clear" w:color="auto" w:fill="auto"/>
          </w:tcPr>
          <w:p w14:paraId="010BEF85" w14:textId="1D774789" w:rsidR="005E5B8C" w:rsidRPr="005E5B8C" w:rsidRDefault="005E5B8C" w:rsidP="005E5B8C">
            <w:pPr>
              <w:spacing w:before="120" w:after="120"/>
              <w:rPr>
                <w:rFonts w:ascii="Arial" w:hAnsi="Arial" w:cs="Arial"/>
                <w:szCs w:val="24"/>
                <w:lang w:eastAsia="en-GB"/>
              </w:rPr>
            </w:pPr>
            <w:r>
              <w:rPr>
                <w:rFonts w:ascii="Arial" w:hAnsi="Arial" w:cs="Arial"/>
                <w:szCs w:val="24"/>
              </w:rPr>
              <w:t>Finance</w:t>
            </w:r>
          </w:p>
        </w:tc>
        <w:tc>
          <w:tcPr>
            <w:tcW w:w="1100" w:type="dxa"/>
            <w:shd w:val="clear" w:color="auto" w:fill="auto"/>
          </w:tcPr>
          <w:p w14:paraId="41F06CED" w14:textId="41FA2AF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0.312</w:t>
            </w:r>
          </w:p>
        </w:tc>
        <w:tc>
          <w:tcPr>
            <w:tcW w:w="1100" w:type="dxa"/>
            <w:shd w:val="clear" w:color="auto" w:fill="auto"/>
          </w:tcPr>
          <w:p w14:paraId="3F8F8F00" w14:textId="487AF1E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0.318</w:t>
            </w:r>
          </w:p>
        </w:tc>
        <w:tc>
          <w:tcPr>
            <w:tcW w:w="1100" w:type="dxa"/>
            <w:shd w:val="clear" w:color="auto" w:fill="auto"/>
          </w:tcPr>
          <w:p w14:paraId="016DBC36" w14:textId="100B3C7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0.325</w:t>
            </w:r>
          </w:p>
        </w:tc>
        <w:tc>
          <w:tcPr>
            <w:tcW w:w="1100" w:type="dxa"/>
            <w:shd w:val="clear" w:color="auto" w:fill="auto"/>
          </w:tcPr>
          <w:p w14:paraId="69DA027C" w14:textId="06CF1786"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0.331</w:t>
            </w:r>
          </w:p>
        </w:tc>
        <w:tc>
          <w:tcPr>
            <w:tcW w:w="1100" w:type="dxa"/>
            <w:shd w:val="clear" w:color="auto" w:fill="auto"/>
          </w:tcPr>
          <w:p w14:paraId="6B9E48F4" w14:textId="39E07FF6"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0.338</w:t>
            </w:r>
          </w:p>
        </w:tc>
      </w:tr>
      <w:tr w:rsidR="005E5B8C" w:rsidRPr="005E5B8C" w14:paraId="55B04E0C" w14:textId="77777777" w:rsidTr="00B065ED">
        <w:trPr>
          <w:trHeight w:val="255"/>
        </w:trPr>
        <w:tc>
          <w:tcPr>
            <w:tcW w:w="3628" w:type="dxa"/>
            <w:shd w:val="clear" w:color="auto" w:fill="auto"/>
          </w:tcPr>
          <w:p w14:paraId="69001398" w14:textId="54FD2DBD" w:rsidR="005E5B8C" w:rsidRPr="005E5B8C" w:rsidRDefault="005E5B8C" w:rsidP="005E5B8C">
            <w:pPr>
              <w:spacing w:before="120" w:after="120"/>
              <w:rPr>
                <w:rFonts w:ascii="Arial" w:hAnsi="Arial" w:cs="Arial"/>
                <w:szCs w:val="24"/>
                <w:lang w:eastAsia="en-GB"/>
              </w:rPr>
            </w:pPr>
            <w:r w:rsidRPr="005E5B8C">
              <w:rPr>
                <w:rFonts w:ascii="Arial" w:hAnsi="Arial" w:cs="Arial"/>
                <w:szCs w:val="24"/>
              </w:rPr>
              <w:t>F</w:t>
            </w:r>
            <w:r>
              <w:rPr>
                <w:rFonts w:ascii="Arial" w:hAnsi="Arial" w:cs="Arial"/>
                <w:szCs w:val="24"/>
              </w:rPr>
              <w:t>leet &amp; Engineering Services</w:t>
            </w:r>
          </w:p>
        </w:tc>
        <w:tc>
          <w:tcPr>
            <w:tcW w:w="1100" w:type="dxa"/>
            <w:shd w:val="clear" w:color="auto" w:fill="auto"/>
          </w:tcPr>
          <w:p w14:paraId="42FC9FF6" w14:textId="772A83C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3.401</w:t>
            </w:r>
          </w:p>
        </w:tc>
        <w:tc>
          <w:tcPr>
            <w:tcW w:w="1100" w:type="dxa"/>
            <w:shd w:val="clear" w:color="auto" w:fill="auto"/>
          </w:tcPr>
          <w:p w14:paraId="70916FDD" w14:textId="1B783B7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3.470</w:t>
            </w:r>
          </w:p>
        </w:tc>
        <w:tc>
          <w:tcPr>
            <w:tcW w:w="1100" w:type="dxa"/>
            <w:shd w:val="clear" w:color="auto" w:fill="auto"/>
          </w:tcPr>
          <w:p w14:paraId="167D66C7" w14:textId="4FD063B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3.539</w:t>
            </w:r>
          </w:p>
        </w:tc>
        <w:tc>
          <w:tcPr>
            <w:tcW w:w="1100" w:type="dxa"/>
            <w:shd w:val="clear" w:color="auto" w:fill="auto"/>
          </w:tcPr>
          <w:p w14:paraId="63DC8C93" w14:textId="5C72E123"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3.610</w:t>
            </w:r>
          </w:p>
        </w:tc>
        <w:tc>
          <w:tcPr>
            <w:tcW w:w="1100" w:type="dxa"/>
            <w:shd w:val="clear" w:color="auto" w:fill="auto"/>
          </w:tcPr>
          <w:p w14:paraId="1F09CAA8" w14:textId="686319E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3.682</w:t>
            </w:r>
          </w:p>
        </w:tc>
      </w:tr>
      <w:tr w:rsidR="005E5B8C" w:rsidRPr="005E5B8C" w14:paraId="0059C63B" w14:textId="77777777" w:rsidTr="00B065ED">
        <w:trPr>
          <w:trHeight w:val="255"/>
        </w:trPr>
        <w:tc>
          <w:tcPr>
            <w:tcW w:w="3628" w:type="dxa"/>
            <w:shd w:val="clear" w:color="auto" w:fill="auto"/>
          </w:tcPr>
          <w:p w14:paraId="67AEF2FB" w14:textId="46F7C30C" w:rsidR="005E5B8C" w:rsidRPr="005E5B8C" w:rsidRDefault="005E5B8C" w:rsidP="005E5B8C">
            <w:pPr>
              <w:spacing w:before="120" w:after="120"/>
              <w:rPr>
                <w:rFonts w:ascii="Arial" w:hAnsi="Arial" w:cs="Arial"/>
                <w:szCs w:val="24"/>
                <w:lang w:eastAsia="en-GB"/>
              </w:rPr>
            </w:pPr>
            <w:r>
              <w:rPr>
                <w:rFonts w:ascii="Arial" w:hAnsi="Arial" w:cs="Arial"/>
                <w:szCs w:val="24"/>
              </w:rPr>
              <w:t>Health &amp; Safety</w:t>
            </w:r>
          </w:p>
        </w:tc>
        <w:tc>
          <w:tcPr>
            <w:tcW w:w="1100" w:type="dxa"/>
            <w:shd w:val="clear" w:color="auto" w:fill="auto"/>
          </w:tcPr>
          <w:p w14:paraId="3DAC721B" w14:textId="6C8E4826"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0.335</w:t>
            </w:r>
          </w:p>
        </w:tc>
        <w:tc>
          <w:tcPr>
            <w:tcW w:w="1100" w:type="dxa"/>
            <w:shd w:val="clear" w:color="auto" w:fill="auto"/>
          </w:tcPr>
          <w:p w14:paraId="1BA2575E" w14:textId="33ACCCB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0.341</w:t>
            </w:r>
          </w:p>
        </w:tc>
        <w:tc>
          <w:tcPr>
            <w:tcW w:w="1100" w:type="dxa"/>
            <w:shd w:val="clear" w:color="auto" w:fill="auto"/>
          </w:tcPr>
          <w:p w14:paraId="3DFE77A8" w14:textId="551A713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0.348</w:t>
            </w:r>
          </w:p>
        </w:tc>
        <w:tc>
          <w:tcPr>
            <w:tcW w:w="1100" w:type="dxa"/>
            <w:shd w:val="clear" w:color="auto" w:fill="auto"/>
          </w:tcPr>
          <w:p w14:paraId="66413EF2" w14:textId="54AA045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0.355</w:t>
            </w:r>
          </w:p>
        </w:tc>
        <w:tc>
          <w:tcPr>
            <w:tcW w:w="1100" w:type="dxa"/>
            <w:shd w:val="clear" w:color="auto" w:fill="auto"/>
          </w:tcPr>
          <w:p w14:paraId="7018BEBA" w14:textId="4E3C9F4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0.362</w:t>
            </w:r>
          </w:p>
        </w:tc>
      </w:tr>
      <w:tr w:rsidR="005E5B8C" w:rsidRPr="005E5B8C" w14:paraId="1566A564" w14:textId="77777777" w:rsidTr="00B065ED">
        <w:trPr>
          <w:trHeight w:val="255"/>
        </w:trPr>
        <w:tc>
          <w:tcPr>
            <w:tcW w:w="3628" w:type="dxa"/>
            <w:shd w:val="clear" w:color="auto" w:fill="auto"/>
          </w:tcPr>
          <w:p w14:paraId="0F168533" w14:textId="7D74EE69" w:rsidR="005E5B8C" w:rsidRPr="005E5B8C" w:rsidRDefault="005E5B8C" w:rsidP="005E5B8C">
            <w:pPr>
              <w:spacing w:before="120" w:after="120"/>
              <w:rPr>
                <w:rFonts w:ascii="Arial" w:hAnsi="Arial" w:cs="Arial"/>
                <w:szCs w:val="24"/>
                <w:lang w:eastAsia="en-GB"/>
              </w:rPr>
            </w:pPr>
            <w:r>
              <w:rPr>
                <w:rFonts w:ascii="Arial" w:hAnsi="Arial" w:cs="Arial"/>
                <w:szCs w:val="24"/>
              </w:rPr>
              <w:t>Human Resources</w:t>
            </w:r>
          </w:p>
        </w:tc>
        <w:tc>
          <w:tcPr>
            <w:tcW w:w="1100" w:type="dxa"/>
            <w:shd w:val="clear" w:color="auto" w:fill="auto"/>
          </w:tcPr>
          <w:p w14:paraId="6E00BF1B" w14:textId="0DE14E1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1.011</w:t>
            </w:r>
          </w:p>
        </w:tc>
        <w:tc>
          <w:tcPr>
            <w:tcW w:w="1100" w:type="dxa"/>
            <w:shd w:val="clear" w:color="auto" w:fill="auto"/>
          </w:tcPr>
          <w:p w14:paraId="2DB06541" w14:textId="24549903"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1.031</w:t>
            </w:r>
          </w:p>
        </w:tc>
        <w:tc>
          <w:tcPr>
            <w:tcW w:w="1100" w:type="dxa"/>
            <w:shd w:val="clear" w:color="auto" w:fill="auto"/>
          </w:tcPr>
          <w:p w14:paraId="632930A0" w14:textId="05B1F28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1.052</w:t>
            </w:r>
          </w:p>
        </w:tc>
        <w:tc>
          <w:tcPr>
            <w:tcW w:w="1100" w:type="dxa"/>
            <w:shd w:val="clear" w:color="auto" w:fill="auto"/>
          </w:tcPr>
          <w:p w14:paraId="3E3B44F0" w14:textId="6BF87B3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1.073</w:t>
            </w:r>
          </w:p>
        </w:tc>
        <w:tc>
          <w:tcPr>
            <w:tcW w:w="1100" w:type="dxa"/>
            <w:shd w:val="clear" w:color="auto" w:fill="auto"/>
          </w:tcPr>
          <w:p w14:paraId="02D08ABA" w14:textId="1925DBF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1.094</w:t>
            </w:r>
          </w:p>
        </w:tc>
      </w:tr>
      <w:tr w:rsidR="005E5B8C" w:rsidRPr="005E5B8C" w14:paraId="4A11CABD" w14:textId="77777777" w:rsidTr="00B065ED">
        <w:trPr>
          <w:trHeight w:val="255"/>
        </w:trPr>
        <w:tc>
          <w:tcPr>
            <w:tcW w:w="3628" w:type="dxa"/>
            <w:shd w:val="clear" w:color="auto" w:fill="auto"/>
          </w:tcPr>
          <w:p w14:paraId="1DE39A11" w14:textId="6CD86BBB" w:rsidR="005E5B8C" w:rsidRPr="005E5B8C" w:rsidRDefault="005E5B8C" w:rsidP="005E5B8C">
            <w:pPr>
              <w:spacing w:before="120" w:after="120"/>
              <w:rPr>
                <w:rFonts w:ascii="Arial" w:hAnsi="Arial" w:cs="Arial"/>
                <w:szCs w:val="24"/>
                <w:lang w:eastAsia="en-GB"/>
              </w:rPr>
            </w:pPr>
            <w:r>
              <w:rPr>
                <w:rFonts w:ascii="Arial" w:hAnsi="Arial" w:cs="Arial"/>
                <w:szCs w:val="24"/>
              </w:rPr>
              <w:t>Digital, Data and Technology (DDAT)</w:t>
            </w:r>
          </w:p>
        </w:tc>
        <w:tc>
          <w:tcPr>
            <w:tcW w:w="1100" w:type="dxa"/>
            <w:shd w:val="clear" w:color="auto" w:fill="auto"/>
          </w:tcPr>
          <w:p w14:paraId="3F9A3327" w14:textId="295C2A2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4.626</w:t>
            </w:r>
          </w:p>
        </w:tc>
        <w:tc>
          <w:tcPr>
            <w:tcW w:w="1100" w:type="dxa"/>
            <w:shd w:val="clear" w:color="auto" w:fill="auto"/>
          </w:tcPr>
          <w:p w14:paraId="19A922C2" w14:textId="30BFFC0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4.691</w:t>
            </w:r>
          </w:p>
        </w:tc>
        <w:tc>
          <w:tcPr>
            <w:tcW w:w="1100" w:type="dxa"/>
            <w:shd w:val="clear" w:color="auto" w:fill="auto"/>
          </w:tcPr>
          <w:p w14:paraId="08A719D0" w14:textId="146EB182"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4.787</w:t>
            </w:r>
          </w:p>
        </w:tc>
        <w:tc>
          <w:tcPr>
            <w:tcW w:w="1100" w:type="dxa"/>
            <w:shd w:val="clear" w:color="auto" w:fill="auto"/>
          </w:tcPr>
          <w:p w14:paraId="0D95EFEC" w14:textId="10C6889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4.884</w:t>
            </w:r>
          </w:p>
        </w:tc>
        <w:tc>
          <w:tcPr>
            <w:tcW w:w="1100" w:type="dxa"/>
            <w:shd w:val="clear" w:color="auto" w:fill="auto"/>
          </w:tcPr>
          <w:p w14:paraId="4C21DC6B" w14:textId="057D715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4.983</w:t>
            </w:r>
          </w:p>
        </w:tc>
      </w:tr>
      <w:tr w:rsidR="005E5B8C" w:rsidRPr="005E5B8C" w14:paraId="3F7E5331" w14:textId="77777777" w:rsidTr="00B065ED">
        <w:trPr>
          <w:trHeight w:val="255"/>
        </w:trPr>
        <w:tc>
          <w:tcPr>
            <w:tcW w:w="3628" w:type="dxa"/>
            <w:shd w:val="clear" w:color="auto" w:fill="auto"/>
          </w:tcPr>
          <w:p w14:paraId="279B94A5" w14:textId="6A28109D" w:rsidR="005E5B8C" w:rsidRPr="005E5B8C" w:rsidRDefault="005E5B8C" w:rsidP="005E5B8C">
            <w:pPr>
              <w:spacing w:before="120" w:after="120"/>
              <w:rPr>
                <w:rFonts w:ascii="Arial" w:hAnsi="Arial" w:cs="Arial"/>
                <w:szCs w:val="24"/>
                <w:lang w:eastAsia="en-GB"/>
              </w:rPr>
            </w:pPr>
            <w:r>
              <w:rPr>
                <w:rFonts w:ascii="Arial" w:hAnsi="Arial" w:cs="Arial"/>
                <w:szCs w:val="24"/>
              </w:rPr>
              <w:t>Occupational Health</w:t>
            </w:r>
          </w:p>
        </w:tc>
        <w:tc>
          <w:tcPr>
            <w:tcW w:w="1100" w:type="dxa"/>
            <w:shd w:val="clear" w:color="auto" w:fill="auto"/>
          </w:tcPr>
          <w:p w14:paraId="16A24B92" w14:textId="559D52B2"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0.372</w:t>
            </w:r>
          </w:p>
        </w:tc>
        <w:tc>
          <w:tcPr>
            <w:tcW w:w="1100" w:type="dxa"/>
            <w:shd w:val="clear" w:color="auto" w:fill="auto"/>
          </w:tcPr>
          <w:p w14:paraId="6B39DA68" w14:textId="64AE1CA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0.380</w:t>
            </w:r>
          </w:p>
        </w:tc>
        <w:tc>
          <w:tcPr>
            <w:tcW w:w="1100" w:type="dxa"/>
            <w:shd w:val="clear" w:color="auto" w:fill="auto"/>
          </w:tcPr>
          <w:p w14:paraId="257CB4BB" w14:textId="2C673EAD"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0.387</w:t>
            </w:r>
          </w:p>
        </w:tc>
        <w:tc>
          <w:tcPr>
            <w:tcW w:w="1100" w:type="dxa"/>
            <w:shd w:val="clear" w:color="auto" w:fill="auto"/>
          </w:tcPr>
          <w:p w14:paraId="3C2E219B" w14:textId="0D497DB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0.395</w:t>
            </w:r>
          </w:p>
        </w:tc>
        <w:tc>
          <w:tcPr>
            <w:tcW w:w="1100" w:type="dxa"/>
            <w:shd w:val="clear" w:color="auto" w:fill="auto"/>
          </w:tcPr>
          <w:p w14:paraId="50CC0F93" w14:textId="6B8FAF9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0.403</w:t>
            </w:r>
          </w:p>
        </w:tc>
      </w:tr>
      <w:tr w:rsidR="005E5B8C" w:rsidRPr="005E5B8C" w14:paraId="75A45507" w14:textId="77777777" w:rsidTr="00B065ED">
        <w:trPr>
          <w:trHeight w:val="255"/>
        </w:trPr>
        <w:tc>
          <w:tcPr>
            <w:tcW w:w="3628" w:type="dxa"/>
            <w:shd w:val="clear" w:color="auto" w:fill="auto"/>
          </w:tcPr>
          <w:p w14:paraId="6C4A6201" w14:textId="5FF0EC72" w:rsidR="005E5B8C" w:rsidRPr="005E5B8C" w:rsidRDefault="005E5B8C" w:rsidP="005E5B8C">
            <w:pPr>
              <w:spacing w:before="120" w:after="120"/>
              <w:rPr>
                <w:rFonts w:ascii="Arial" w:hAnsi="Arial" w:cs="Arial"/>
                <w:szCs w:val="24"/>
                <w:lang w:eastAsia="en-GB"/>
              </w:rPr>
            </w:pPr>
            <w:r>
              <w:rPr>
                <w:rFonts w:ascii="Arial" w:hAnsi="Arial" w:cs="Arial"/>
                <w:szCs w:val="24"/>
              </w:rPr>
              <w:t>Pensions</w:t>
            </w:r>
          </w:p>
        </w:tc>
        <w:tc>
          <w:tcPr>
            <w:tcW w:w="1100" w:type="dxa"/>
            <w:shd w:val="clear" w:color="auto" w:fill="auto"/>
          </w:tcPr>
          <w:p w14:paraId="7C9EAD15" w14:textId="062C016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1.452</w:t>
            </w:r>
          </w:p>
        </w:tc>
        <w:tc>
          <w:tcPr>
            <w:tcW w:w="1100" w:type="dxa"/>
            <w:shd w:val="clear" w:color="auto" w:fill="auto"/>
          </w:tcPr>
          <w:p w14:paraId="6E62EE0B" w14:textId="51BE4353"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1.475</w:t>
            </w:r>
          </w:p>
        </w:tc>
        <w:tc>
          <w:tcPr>
            <w:tcW w:w="1100" w:type="dxa"/>
            <w:shd w:val="clear" w:color="auto" w:fill="auto"/>
          </w:tcPr>
          <w:p w14:paraId="64532018" w14:textId="5784FCC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1.498</w:t>
            </w:r>
          </w:p>
        </w:tc>
        <w:tc>
          <w:tcPr>
            <w:tcW w:w="1100" w:type="dxa"/>
            <w:shd w:val="clear" w:color="auto" w:fill="auto"/>
          </w:tcPr>
          <w:p w14:paraId="64031B8C" w14:textId="310A58A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1.522</w:t>
            </w:r>
          </w:p>
        </w:tc>
        <w:tc>
          <w:tcPr>
            <w:tcW w:w="1100" w:type="dxa"/>
            <w:shd w:val="clear" w:color="auto" w:fill="auto"/>
          </w:tcPr>
          <w:p w14:paraId="6644BA1A" w14:textId="7FBEFC68"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1.547</w:t>
            </w:r>
          </w:p>
        </w:tc>
      </w:tr>
      <w:tr w:rsidR="005E5B8C" w:rsidRPr="005E5B8C" w14:paraId="3410258D" w14:textId="77777777" w:rsidTr="00B065ED">
        <w:trPr>
          <w:trHeight w:val="255"/>
        </w:trPr>
        <w:tc>
          <w:tcPr>
            <w:tcW w:w="3628" w:type="dxa"/>
            <w:shd w:val="clear" w:color="auto" w:fill="auto"/>
          </w:tcPr>
          <w:p w14:paraId="3C5EE8BA" w14:textId="6A46C1D9" w:rsidR="005E5B8C" w:rsidRPr="005E5B8C" w:rsidRDefault="005E5B8C" w:rsidP="005E5B8C">
            <w:pPr>
              <w:spacing w:before="120" w:after="120"/>
              <w:rPr>
                <w:rFonts w:ascii="Arial" w:hAnsi="Arial" w:cs="Arial"/>
                <w:szCs w:val="24"/>
                <w:lang w:eastAsia="en-GB"/>
              </w:rPr>
            </w:pPr>
            <w:r>
              <w:rPr>
                <w:rFonts w:ascii="Arial" w:hAnsi="Arial" w:cs="Arial"/>
                <w:szCs w:val="24"/>
              </w:rPr>
              <w:t>Procurement</w:t>
            </w:r>
          </w:p>
        </w:tc>
        <w:tc>
          <w:tcPr>
            <w:tcW w:w="1100" w:type="dxa"/>
            <w:shd w:val="clear" w:color="auto" w:fill="auto"/>
          </w:tcPr>
          <w:p w14:paraId="2012F2BA" w14:textId="1FA9BE04"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0.882</w:t>
            </w:r>
          </w:p>
        </w:tc>
        <w:tc>
          <w:tcPr>
            <w:tcW w:w="1100" w:type="dxa"/>
            <w:shd w:val="clear" w:color="auto" w:fill="auto"/>
          </w:tcPr>
          <w:p w14:paraId="11F6842B" w14:textId="580D03C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0.870</w:t>
            </w:r>
          </w:p>
        </w:tc>
        <w:tc>
          <w:tcPr>
            <w:tcW w:w="1100" w:type="dxa"/>
            <w:shd w:val="clear" w:color="auto" w:fill="auto"/>
          </w:tcPr>
          <w:p w14:paraId="39391ABF" w14:textId="72176DE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0.888</w:t>
            </w:r>
          </w:p>
        </w:tc>
        <w:tc>
          <w:tcPr>
            <w:tcW w:w="1100" w:type="dxa"/>
            <w:shd w:val="clear" w:color="auto" w:fill="auto"/>
          </w:tcPr>
          <w:p w14:paraId="5EC3E2E8" w14:textId="341337BC"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0.906</w:t>
            </w:r>
          </w:p>
        </w:tc>
        <w:tc>
          <w:tcPr>
            <w:tcW w:w="1100" w:type="dxa"/>
            <w:shd w:val="clear" w:color="auto" w:fill="auto"/>
          </w:tcPr>
          <w:p w14:paraId="1BE4D01A" w14:textId="2735FF70"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0.924</w:t>
            </w:r>
          </w:p>
        </w:tc>
      </w:tr>
      <w:tr w:rsidR="005E5B8C" w:rsidRPr="005E5B8C" w14:paraId="2C22F73A" w14:textId="77777777" w:rsidTr="00B065ED">
        <w:trPr>
          <w:trHeight w:val="255"/>
        </w:trPr>
        <w:tc>
          <w:tcPr>
            <w:tcW w:w="3628" w:type="dxa"/>
            <w:shd w:val="clear" w:color="auto" w:fill="auto"/>
          </w:tcPr>
          <w:p w14:paraId="6A7D5D39" w14:textId="588BD640" w:rsidR="005E5B8C" w:rsidRPr="005E5B8C" w:rsidRDefault="005E5B8C" w:rsidP="005E5B8C">
            <w:pPr>
              <w:spacing w:before="120" w:after="120"/>
              <w:rPr>
                <w:rFonts w:ascii="Arial" w:hAnsi="Arial" w:cs="Arial"/>
                <w:szCs w:val="24"/>
                <w:lang w:eastAsia="en-GB"/>
              </w:rPr>
            </w:pPr>
            <w:r>
              <w:rPr>
                <w:rFonts w:ascii="Arial" w:hAnsi="Arial" w:cs="Arial"/>
                <w:szCs w:val="24"/>
              </w:rPr>
              <w:t>Service Development</w:t>
            </w:r>
          </w:p>
        </w:tc>
        <w:tc>
          <w:tcPr>
            <w:tcW w:w="1100" w:type="dxa"/>
            <w:shd w:val="clear" w:color="auto" w:fill="auto"/>
          </w:tcPr>
          <w:p w14:paraId="666E4D17" w14:textId="049B919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2.592</w:t>
            </w:r>
          </w:p>
        </w:tc>
        <w:tc>
          <w:tcPr>
            <w:tcW w:w="1100" w:type="dxa"/>
            <w:shd w:val="clear" w:color="auto" w:fill="auto"/>
          </w:tcPr>
          <w:p w14:paraId="30904F16" w14:textId="067DA90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2.647</w:t>
            </w:r>
          </w:p>
        </w:tc>
        <w:tc>
          <w:tcPr>
            <w:tcW w:w="1100" w:type="dxa"/>
            <w:shd w:val="clear" w:color="auto" w:fill="auto"/>
          </w:tcPr>
          <w:p w14:paraId="2B36CFC4" w14:textId="015C8EC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2.700</w:t>
            </w:r>
          </w:p>
        </w:tc>
        <w:tc>
          <w:tcPr>
            <w:tcW w:w="1100" w:type="dxa"/>
            <w:shd w:val="clear" w:color="auto" w:fill="auto"/>
          </w:tcPr>
          <w:p w14:paraId="70CD64B2" w14:textId="2E27B8A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2.754</w:t>
            </w:r>
          </w:p>
        </w:tc>
        <w:tc>
          <w:tcPr>
            <w:tcW w:w="1100" w:type="dxa"/>
            <w:shd w:val="clear" w:color="auto" w:fill="auto"/>
          </w:tcPr>
          <w:p w14:paraId="129D0058" w14:textId="4AB788B1"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2.809</w:t>
            </w:r>
          </w:p>
        </w:tc>
      </w:tr>
      <w:tr w:rsidR="005E5B8C" w:rsidRPr="005E5B8C" w14:paraId="20275775" w14:textId="77777777" w:rsidTr="00B065ED">
        <w:trPr>
          <w:trHeight w:val="255"/>
        </w:trPr>
        <w:tc>
          <w:tcPr>
            <w:tcW w:w="3628" w:type="dxa"/>
            <w:shd w:val="clear" w:color="auto" w:fill="auto"/>
          </w:tcPr>
          <w:p w14:paraId="54733BF1" w14:textId="4A00535C" w:rsidR="005E5B8C" w:rsidRPr="005E5B8C" w:rsidRDefault="005E5B8C" w:rsidP="005E5B8C">
            <w:pPr>
              <w:spacing w:before="120" w:after="120"/>
              <w:rPr>
                <w:rFonts w:ascii="Arial" w:hAnsi="Arial" w:cs="Arial"/>
                <w:szCs w:val="24"/>
                <w:lang w:eastAsia="en-GB"/>
              </w:rPr>
            </w:pPr>
            <w:r>
              <w:rPr>
                <w:rFonts w:ascii="Arial" w:hAnsi="Arial" w:cs="Arial"/>
                <w:szCs w:val="24"/>
              </w:rPr>
              <w:t>Special Projects</w:t>
            </w:r>
          </w:p>
        </w:tc>
        <w:tc>
          <w:tcPr>
            <w:tcW w:w="1100" w:type="dxa"/>
            <w:shd w:val="clear" w:color="auto" w:fill="auto"/>
          </w:tcPr>
          <w:p w14:paraId="63CF7E84" w14:textId="496AA2D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0.024</w:t>
            </w:r>
          </w:p>
        </w:tc>
        <w:tc>
          <w:tcPr>
            <w:tcW w:w="1100" w:type="dxa"/>
            <w:shd w:val="clear" w:color="auto" w:fill="auto"/>
          </w:tcPr>
          <w:p w14:paraId="2A35725C" w14:textId="0DADBBD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0.024</w:t>
            </w:r>
          </w:p>
        </w:tc>
        <w:tc>
          <w:tcPr>
            <w:tcW w:w="1100" w:type="dxa"/>
            <w:shd w:val="clear" w:color="auto" w:fill="auto"/>
          </w:tcPr>
          <w:p w14:paraId="5F70F62E" w14:textId="35B19A5B"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0.025</w:t>
            </w:r>
          </w:p>
        </w:tc>
        <w:tc>
          <w:tcPr>
            <w:tcW w:w="1100" w:type="dxa"/>
            <w:shd w:val="clear" w:color="auto" w:fill="auto"/>
          </w:tcPr>
          <w:p w14:paraId="0BA13CD9" w14:textId="0E23CD32"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0.025</w:t>
            </w:r>
          </w:p>
        </w:tc>
        <w:tc>
          <w:tcPr>
            <w:tcW w:w="1100" w:type="dxa"/>
            <w:shd w:val="clear" w:color="auto" w:fill="auto"/>
          </w:tcPr>
          <w:p w14:paraId="43A80728" w14:textId="6F9FFFE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0.026</w:t>
            </w:r>
          </w:p>
        </w:tc>
      </w:tr>
      <w:tr w:rsidR="005E5B8C" w:rsidRPr="005E5B8C" w14:paraId="6C993E6C" w14:textId="77777777" w:rsidTr="00B065ED">
        <w:trPr>
          <w:trHeight w:val="255"/>
        </w:trPr>
        <w:tc>
          <w:tcPr>
            <w:tcW w:w="3628" w:type="dxa"/>
            <w:shd w:val="clear" w:color="auto" w:fill="auto"/>
          </w:tcPr>
          <w:p w14:paraId="2052F9C0" w14:textId="3594A4D2" w:rsidR="005E5B8C" w:rsidRPr="005E5B8C" w:rsidRDefault="005E5B8C" w:rsidP="005E5B8C">
            <w:pPr>
              <w:spacing w:before="120" w:after="120"/>
              <w:rPr>
                <w:rFonts w:ascii="Arial" w:hAnsi="Arial" w:cs="Arial"/>
                <w:szCs w:val="24"/>
                <w:lang w:eastAsia="en-GB"/>
              </w:rPr>
            </w:pPr>
            <w:r>
              <w:rPr>
                <w:rFonts w:ascii="Arial" w:hAnsi="Arial" w:cs="Arial"/>
                <w:szCs w:val="24"/>
              </w:rPr>
              <w:t>Leadership &amp; Development</w:t>
            </w:r>
          </w:p>
        </w:tc>
        <w:tc>
          <w:tcPr>
            <w:tcW w:w="1100" w:type="dxa"/>
            <w:shd w:val="clear" w:color="auto" w:fill="auto"/>
          </w:tcPr>
          <w:p w14:paraId="2A43F0DA" w14:textId="05BF3C4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4.279</w:t>
            </w:r>
          </w:p>
        </w:tc>
        <w:tc>
          <w:tcPr>
            <w:tcW w:w="1100" w:type="dxa"/>
            <w:shd w:val="clear" w:color="auto" w:fill="auto"/>
          </w:tcPr>
          <w:p w14:paraId="0B7B9438" w14:textId="6BA3F8D9"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4.654</w:t>
            </w:r>
          </w:p>
        </w:tc>
        <w:tc>
          <w:tcPr>
            <w:tcW w:w="1100" w:type="dxa"/>
            <w:shd w:val="clear" w:color="auto" w:fill="auto"/>
          </w:tcPr>
          <w:p w14:paraId="1EF1E497" w14:textId="55DD976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4.834</w:t>
            </w:r>
          </w:p>
        </w:tc>
        <w:tc>
          <w:tcPr>
            <w:tcW w:w="1100" w:type="dxa"/>
            <w:shd w:val="clear" w:color="auto" w:fill="auto"/>
          </w:tcPr>
          <w:p w14:paraId="40DB29D4" w14:textId="0103DF4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4.920</w:t>
            </w:r>
          </w:p>
        </w:tc>
        <w:tc>
          <w:tcPr>
            <w:tcW w:w="1100" w:type="dxa"/>
            <w:shd w:val="clear" w:color="auto" w:fill="auto"/>
          </w:tcPr>
          <w:p w14:paraId="32E093F7" w14:textId="1B0AE3D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4.696</w:t>
            </w:r>
          </w:p>
        </w:tc>
      </w:tr>
      <w:tr w:rsidR="005E5B8C" w:rsidRPr="005E5B8C" w14:paraId="36F6E475" w14:textId="77777777" w:rsidTr="00B065ED">
        <w:trPr>
          <w:trHeight w:val="255"/>
        </w:trPr>
        <w:tc>
          <w:tcPr>
            <w:tcW w:w="3628" w:type="dxa"/>
            <w:shd w:val="clear" w:color="auto" w:fill="auto"/>
          </w:tcPr>
          <w:p w14:paraId="4DFCB151" w14:textId="0B39C04A" w:rsidR="005E5B8C" w:rsidRPr="005E5B8C" w:rsidRDefault="005E5B8C" w:rsidP="005E5B8C">
            <w:pPr>
              <w:spacing w:before="120" w:after="120"/>
              <w:rPr>
                <w:rFonts w:ascii="Arial" w:hAnsi="Arial" w:cs="Arial"/>
                <w:szCs w:val="24"/>
                <w:lang w:eastAsia="en-GB"/>
              </w:rPr>
            </w:pPr>
            <w:r>
              <w:rPr>
                <w:rFonts w:ascii="Arial" w:hAnsi="Arial" w:cs="Arial"/>
                <w:szCs w:val="24"/>
              </w:rPr>
              <w:t>Property</w:t>
            </w:r>
          </w:p>
        </w:tc>
        <w:tc>
          <w:tcPr>
            <w:tcW w:w="1100" w:type="dxa"/>
            <w:shd w:val="clear" w:color="auto" w:fill="auto"/>
          </w:tcPr>
          <w:p w14:paraId="722B4278" w14:textId="7634E065"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4.196</w:t>
            </w:r>
          </w:p>
        </w:tc>
        <w:tc>
          <w:tcPr>
            <w:tcW w:w="1100" w:type="dxa"/>
            <w:shd w:val="clear" w:color="auto" w:fill="auto"/>
          </w:tcPr>
          <w:p w14:paraId="00A1F1D4" w14:textId="1746A052"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4.280</w:t>
            </w:r>
          </w:p>
        </w:tc>
        <w:tc>
          <w:tcPr>
            <w:tcW w:w="1100" w:type="dxa"/>
            <w:shd w:val="clear" w:color="auto" w:fill="auto"/>
          </w:tcPr>
          <w:p w14:paraId="5FC70BC9" w14:textId="7731FE7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4.365</w:t>
            </w:r>
          </w:p>
        </w:tc>
        <w:tc>
          <w:tcPr>
            <w:tcW w:w="1100" w:type="dxa"/>
            <w:shd w:val="clear" w:color="auto" w:fill="auto"/>
          </w:tcPr>
          <w:p w14:paraId="721BF995" w14:textId="360CA44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4.453</w:t>
            </w:r>
          </w:p>
        </w:tc>
        <w:tc>
          <w:tcPr>
            <w:tcW w:w="1100" w:type="dxa"/>
            <w:shd w:val="clear" w:color="auto" w:fill="auto"/>
          </w:tcPr>
          <w:p w14:paraId="3642AD16" w14:textId="2036AD7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4.542</w:t>
            </w:r>
          </w:p>
        </w:tc>
      </w:tr>
      <w:tr w:rsidR="005E5B8C" w:rsidRPr="005E5B8C" w14:paraId="4EDE5FAE" w14:textId="77777777" w:rsidTr="00B065ED">
        <w:trPr>
          <w:trHeight w:val="255"/>
        </w:trPr>
        <w:tc>
          <w:tcPr>
            <w:tcW w:w="3628" w:type="dxa"/>
            <w:shd w:val="clear" w:color="auto" w:fill="auto"/>
          </w:tcPr>
          <w:p w14:paraId="38A73093" w14:textId="388AFE1F" w:rsidR="005E5B8C" w:rsidRPr="005E5B8C" w:rsidRDefault="005E5B8C" w:rsidP="005E5B8C">
            <w:pPr>
              <w:spacing w:before="120" w:after="120"/>
              <w:rPr>
                <w:rFonts w:ascii="Arial" w:hAnsi="Arial" w:cs="Arial"/>
                <w:szCs w:val="24"/>
                <w:lang w:eastAsia="en-GB"/>
              </w:rPr>
            </w:pPr>
            <w:r>
              <w:rPr>
                <w:rFonts w:ascii="Arial" w:hAnsi="Arial" w:cs="Arial"/>
                <w:szCs w:val="24"/>
              </w:rPr>
              <w:t>Overheads</w:t>
            </w:r>
          </w:p>
        </w:tc>
        <w:tc>
          <w:tcPr>
            <w:tcW w:w="1100" w:type="dxa"/>
            <w:shd w:val="clear" w:color="auto" w:fill="auto"/>
          </w:tcPr>
          <w:p w14:paraId="00FF499A" w14:textId="696707B7"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0.762</w:t>
            </w:r>
          </w:p>
        </w:tc>
        <w:tc>
          <w:tcPr>
            <w:tcW w:w="1100" w:type="dxa"/>
            <w:shd w:val="clear" w:color="auto" w:fill="auto"/>
          </w:tcPr>
          <w:p w14:paraId="5CB75663" w14:textId="0164237A"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0.782</w:t>
            </w:r>
          </w:p>
        </w:tc>
        <w:tc>
          <w:tcPr>
            <w:tcW w:w="1100" w:type="dxa"/>
            <w:shd w:val="clear" w:color="auto" w:fill="auto"/>
          </w:tcPr>
          <w:p w14:paraId="0079EBB6" w14:textId="32ABFC32"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1.472</w:t>
            </w:r>
          </w:p>
        </w:tc>
        <w:tc>
          <w:tcPr>
            <w:tcW w:w="1100" w:type="dxa"/>
            <w:shd w:val="clear" w:color="auto" w:fill="auto"/>
          </w:tcPr>
          <w:p w14:paraId="60545897" w14:textId="3ABE613F"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1.825</w:t>
            </w:r>
          </w:p>
        </w:tc>
        <w:tc>
          <w:tcPr>
            <w:tcW w:w="1100" w:type="dxa"/>
            <w:shd w:val="clear" w:color="auto" w:fill="auto"/>
          </w:tcPr>
          <w:p w14:paraId="1ED790E5" w14:textId="4B10165E" w:rsidR="005E5B8C" w:rsidRPr="005E5B8C" w:rsidRDefault="005E5B8C" w:rsidP="005E5B8C">
            <w:pPr>
              <w:spacing w:before="120" w:after="120"/>
              <w:jc w:val="right"/>
              <w:rPr>
                <w:rFonts w:ascii="Arial" w:hAnsi="Arial" w:cs="Arial"/>
                <w:szCs w:val="24"/>
                <w:lang w:eastAsia="en-GB"/>
              </w:rPr>
            </w:pPr>
            <w:r w:rsidRPr="005E5B8C">
              <w:rPr>
                <w:rFonts w:ascii="Arial" w:hAnsi="Arial" w:cs="Arial"/>
                <w:szCs w:val="24"/>
              </w:rPr>
              <w:t>2.712</w:t>
            </w:r>
          </w:p>
        </w:tc>
      </w:tr>
      <w:tr w:rsidR="005E5B8C" w:rsidRPr="005E5B8C" w14:paraId="40CE3021" w14:textId="77777777" w:rsidTr="00B065ED">
        <w:trPr>
          <w:trHeight w:val="255"/>
        </w:trPr>
        <w:tc>
          <w:tcPr>
            <w:tcW w:w="3628" w:type="dxa"/>
            <w:shd w:val="clear" w:color="auto" w:fill="auto"/>
          </w:tcPr>
          <w:p w14:paraId="440982C8" w14:textId="2B88E947" w:rsidR="005E5B8C" w:rsidRPr="005E5B8C" w:rsidRDefault="005E5B8C" w:rsidP="005E5B8C">
            <w:pPr>
              <w:spacing w:before="120" w:after="120"/>
              <w:rPr>
                <w:rFonts w:ascii="Arial" w:hAnsi="Arial" w:cs="Arial"/>
                <w:b/>
                <w:bCs/>
                <w:szCs w:val="24"/>
                <w:lang w:eastAsia="en-GB"/>
              </w:rPr>
            </w:pPr>
            <w:r w:rsidRPr="005E5B8C">
              <w:rPr>
                <w:rFonts w:ascii="Arial" w:hAnsi="Arial" w:cs="Arial"/>
                <w:b/>
                <w:bCs/>
                <w:szCs w:val="24"/>
              </w:rPr>
              <w:t>Grand Total</w:t>
            </w:r>
          </w:p>
        </w:tc>
        <w:tc>
          <w:tcPr>
            <w:tcW w:w="1100" w:type="dxa"/>
            <w:shd w:val="clear" w:color="auto" w:fill="auto"/>
          </w:tcPr>
          <w:p w14:paraId="3BEB1410" w14:textId="0402691A" w:rsidR="005E5B8C" w:rsidRPr="005E5B8C" w:rsidRDefault="005E5B8C" w:rsidP="005E5B8C">
            <w:pPr>
              <w:spacing w:before="120" w:after="120"/>
              <w:jc w:val="right"/>
              <w:rPr>
                <w:rFonts w:ascii="Arial" w:hAnsi="Arial" w:cs="Arial"/>
                <w:b/>
                <w:bCs/>
                <w:szCs w:val="24"/>
                <w:lang w:eastAsia="en-GB"/>
              </w:rPr>
            </w:pPr>
            <w:r w:rsidRPr="005E5B8C">
              <w:rPr>
                <w:rFonts w:ascii="Arial" w:hAnsi="Arial" w:cs="Arial"/>
                <w:b/>
                <w:bCs/>
                <w:szCs w:val="24"/>
              </w:rPr>
              <w:t>77.511</w:t>
            </w:r>
          </w:p>
        </w:tc>
        <w:tc>
          <w:tcPr>
            <w:tcW w:w="1100" w:type="dxa"/>
            <w:shd w:val="clear" w:color="auto" w:fill="auto"/>
          </w:tcPr>
          <w:p w14:paraId="446D88BF" w14:textId="2D084333" w:rsidR="005E5B8C" w:rsidRPr="005E5B8C" w:rsidRDefault="005E5B8C" w:rsidP="005E5B8C">
            <w:pPr>
              <w:spacing w:before="120" w:after="120"/>
              <w:jc w:val="right"/>
              <w:rPr>
                <w:rFonts w:ascii="Arial" w:hAnsi="Arial" w:cs="Arial"/>
                <w:b/>
                <w:bCs/>
                <w:szCs w:val="24"/>
                <w:lang w:eastAsia="en-GB"/>
              </w:rPr>
            </w:pPr>
            <w:r w:rsidRPr="005E5B8C">
              <w:rPr>
                <w:rFonts w:ascii="Arial" w:hAnsi="Arial" w:cs="Arial"/>
                <w:b/>
                <w:bCs/>
                <w:szCs w:val="24"/>
              </w:rPr>
              <w:t>79.807</w:t>
            </w:r>
          </w:p>
        </w:tc>
        <w:tc>
          <w:tcPr>
            <w:tcW w:w="1100" w:type="dxa"/>
            <w:shd w:val="clear" w:color="auto" w:fill="auto"/>
          </w:tcPr>
          <w:p w14:paraId="3923E68C" w14:textId="6A9C7234" w:rsidR="005E5B8C" w:rsidRPr="005E5B8C" w:rsidRDefault="005E5B8C" w:rsidP="005E5B8C">
            <w:pPr>
              <w:spacing w:before="120" w:after="120"/>
              <w:jc w:val="right"/>
              <w:rPr>
                <w:rFonts w:ascii="Arial" w:hAnsi="Arial" w:cs="Arial"/>
                <w:b/>
                <w:bCs/>
                <w:szCs w:val="24"/>
                <w:lang w:eastAsia="en-GB"/>
              </w:rPr>
            </w:pPr>
            <w:r w:rsidRPr="005E5B8C">
              <w:rPr>
                <w:rFonts w:ascii="Arial" w:hAnsi="Arial" w:cs="Arial"/>
                <w:b/>
                <w:bCs/>
                <w:szCs w:val="24"/>
              </w:rPr>
              <w:t>82.120</w:t>
            </w:r>
          </w:p>
        </w:tc>
        <w:tc>
          <w:tcPr>
            <w:tcW w:w="1100" w:type="dxa"/>
            <w:shd w:val="clear" w:color="auto" w:fill="auto"/>
          </w:tcPr>
          <w:p w14:paraId="31505690" w14:textId="4716958D" w:rsidR="005E5B8C" w:rsidRPr="005E5B8C" w:rsidRDefault="005E5B8C" w:rsidP="005E5B8C">
            <w:pPr>
              <w:spacing w:before="120" w:after="120"/>
              <w:jc w:val="right"/>
              <w:rPr>
                <w:rFonts w:ascii="Arial" w:hAnsi="Arial" w:cs="Arial"/>
                <w:b/>
                <w:bCs/>
                <w:szCs w:val="24"/>
                <w:lang w:eastAsia="en-GB"/>
              </w:rPr>
            </w:pPr>
            <w:r w:rsidRPr="005E5B8C">
              <w:rPr>
                <w:rFonts w:ascii="Arial" w:hAnsi="Arial" w:cs="Arial"/>
                <w:b/>
                <w:bCs/>
                <w:szCs w:val="24"/>
              </w:rPr>
              <w:t>84.319</w:t>
            </w:r>
          </w:p>
        </w:tc>
        <w:tc>
          <w:tcPr>
            <w:tcW w:w="1100" w:type="dxa"/>
            <w:shd w:val="clear" w:color="auto" w:fill="auto"/>
          </w:tcPr>
          <w:p w14:paraId="721593A6" w14:textId="2970E2F8" w:rsidR="005E5B8C" w:rsidRPr="005E5B8C" w:rsidRDefault="005E5B8C" w:rsidP="005E5B8C">
            <w:pPr>
              <w:spacing w:before="120" w:after="120"/>
              <w:jc w:val="right"/>
              <w:rPr>
                <w:rFonts w:ascii="Arial" w:hAnsi="Arial" w:cs="Arial"/>
                <w:b/>
                <w:bCs/>
                <w:szCs w:val="24"/>
                <w:lang w:eastAsia="en-GB"/>
              </w:rPr>
            </w:pPr>
            <w:r w:rsidRPr="005E5B8C">
              <w:rPr>
                <w:rFonts w:ascii="Arial" w:hAnsi="Arial" w:cs="Arial"/>
                <w:b/>
                <w:bCs/>
                <w:szCs w:val="24"/>
              </w:rPr>
              <w:t>86.580</w:t>
            </w:r>
          </w:p>
        </w:tc>
      </w:tr>
    </w:tbl>
    <w:p w14:paraId="28F86060" w14:textId="2BEB942A" w:rsidR="00A37816" w:rsidRDefault="00A37816" w:rsidP="00A37816">
      <w:pPr>
        <w:spacing w:before="240" w:after="120"/>
        <w:jc w:val="right"/>
        <w:rPr>
          <w:rFonts w:ascii="Arial" w:hAnsi="Arial"/>
          <w:b/>
          <w:sz w:val="28"/>
          <w:szCs w:val="28"/>
        </w:rPr>
      </w:pPr>
      <w:r>
        <w:rPr>
          <w:rFonts w:ascii="Arial" w:hAnsi="Arial"/>
          <w:b/>
          <w:sz w:val="28"/>
          <w:szCs w:val="28"/>
        </w:rPr>
        <w:lastRenderedPageBreak/>
        <w:t>Appendix 2</w:t>
      </w:r>
    </w:p>
    <w:p w14:paraId="5A3BD0C7" w14:textId="55EABA42" w:rsidR="00A37816" w:rsidRPr="00F71230" w:rsidRDefault="00A37816" w:rsidP="00A37816">
      <w:pPr>
        <w:spacing w:before="240" w:after="120"/>
        <w:rPr>
          <w:rFonts w:ascii="Arial" w:hAnsi="Arial"/>
          <w:b/>
          <w:sz w:val="28"/>
          <w:szCs w:val="28"/>
        </w:rPr>
      </w:pPr>
      <w:r w:rsidRPr="00F71230">
        <w:rPr>
          <w:rFonts w:ascii="Arial" w:hAnsi="Arial"/>
          <w:b/>
          <w:sz w:val="28"/>
          <w:szCs w:val="28"/>
        </w:rPr>
        <w:t>Analysis of Budget</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100"/>
        <w:gridCol w:w="1100"/>
        <w:gridCol w:w="1100"/>
        <w:gridCol w:w="1100"/>
        <w:gridCol w:w="1100"/>
      </w:tblGrid>
      <w:tr w:rsidR="00A37816" w:rsidRPr="005E5B8C" w14:paraId="246F4002" w14:textId="77777777" w:rsidTr="00155CA1">
        <w:trPr>
          <w:trHeight w:val="255"/>
        </w:trPr>
        <w:tc>
          <w:tcPr>
            <w:tcW w:w="3628" w:type="dxa"/>
            <w:shd w:val="clear" w:color="auto" w:fill="auto"/>
            <w:vAlign w:val="center"/>
          </w:tcPr>
          <w:p w14:paraId="43C54A4B" w14:textId="77777777" w:rsidR="00A37816" w:rsidRPr="005E5B8C" w:rsidRDefault="00A37816" w:rsidP="00155CA1">
            <w:pPr>
              <w:spacing w:before="120" w:after="120"/>
              <w:rPr>
                <w:rFonts w:ascii="Arial" w:hAnsi="Arial" w:cs="Arial"/>
                <w:szCs w:val="24"/>
                <w:lang w:eastAsia="en-GB"/>
              </w:rPr>
            </w:pPr>
          </w:p>
        </w:tc>
        <w:tc>
          <w:tcPr>
            <w:tcW w:w="1100" w:type="dxa"/>
            <w:shd w:val="clear" w:color="auto" w:fill="auto"/>
            <w:vAlign w:val="center"/>
          </w:tcPr>
          <w:p w14:paraId="02BFFD96" w14:textId="77777777" w:rsidR="00A37816" w:rsidRPr="005E5B8C" w:rsidRDefault="00A37816" w:rsidP="00155CA1">
            <w:pPr>
              <w:pStyle w:val="Default"/>
              <w:spacing w:before="120" w:after="120"/>
              <w:jc w:val="center"/>
              <w:rPr>
                <w:b/>
                <w:bCs/>
              </w:rPr>
            </w:pPr>
            <w:r w:rsidRPr="005E5B8C">
              <w:rPr>
                <w:b/>
                <w:bCs/>
              </w:rPr>
              <w:t>2025/26</w:t>
            </w:r>
          </w:p>
          <w:p w14:paraId="1A700AE8" w14:textId="77777777" w:rsidR="00A37816" w:rsidRPr="005E5B8C" w:rsidRDefault="00A37816"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575F2E97" w14:textId="77777777" w:rsidR="00A37816" w:rsidRPr="005E5B8C" w:rsidRDefault="00A37816" w:rsidP="00155CA1">
            <w:pPr>
              <w:pStyle w:val="Default"/>
              <w:spacing w:before="120" w:after="120"/>
              <w:jc w:val="center"/>
              <w:rPr>
                <w:b/>
                <w:bCs/>
              </w:rPr>
            </w:pPr>
            <w:r w:rsidRPr="005E5B8C">
              <w:rPr>
                <w:b/>
                <w:bCs/>
              </w:rPr>
              <w:t>2026/27</w:t>
            </w:r>
          </w:p>
          <w:p w14:paraId="798B2C32" w14:textId="77777777" w:rsidR="00A37816" w:rsidRPr="005E5B8C" w:rsidRDefault="00A37816"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6B2B7618" w14:textId="77777777" w:rsidR="00A37816" w:rsidRPr="005E5B8C" w:rsidRDefault="00A37816" w:rsidP="00155CA1">
            <w:pPr>
              <w:pStyle w:val="Default"/>
              <w:spacing w:before="120" w:after="120"/>
              <w:jc w:val="center"/>
              <w:rPr>
                <w:b/>
                <w:bCs/>
              </w:rPr>
            </w:pPr>
            <w:r w:rsidRPr="005E5B8C">
              <w:rPr>
                <w:b/>
                <w:bCs/>
              </w:rPr>
              <w:t>2027/28</w:t>
            </w:r>
          </w:p>
          <w:p w14:paraId="7D5E6157" w14:textId="77777777" w:rsidR="00A37816" w:rsidRPr="005E5B8C" w:rsidRDefault="00A37816"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28C932BB" w14:textId="77777777" w:rsidR="00A37816" w:rsidRPr="005E5B8C" w:rsidRDefault="00A37816" w:rsidP="00155CA1">
            <w:pPr>
              <w:pStyle w:val="Default"/>
              <w:spacing w:before="120" w:after="120"/>
              <w:jc w:val="center"/>
              <w:rPr>
                <w:b/>
                <w:bCs/>
              </w:rPr>
            </w:pPr>
            <w:r w:rsidRPr="005E5B8C">
              <w:rPr>
                <w:b/>
                <w:bCs/>
              </w:rPr>
              <w:t>2028/29</w:t>
            </w:r>
          </w:p>
          <w:p w14:paraId="49ABE79B" w14:textId="77777777" w:rsidR="00A37816" w:rsidRPr="005E5B8C" w:rsidRDefault="00A37816"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c>
          <w:tcPr>
            <w:tcW w:w="1100" w:type="dxa"/>
            <w:shd w:val="clear" w:color="auto" w:fill="auto"/>
            <w:vAlign w:val="center"/>
          </w:tcPr>
          <w:p w14:paraId="62E0FD93" w14:textId="77777777" w:rsidR="00A37816" w:rsidRPr="005E5B8C" w:rsidRDefault="00A37816" w:rsidP="00155CA1">
            <w:pPr>
              <w:pStyle w:val="Default"/>
              <w:spacing w:before="120" w:after="120"/>
              <w:jc w:val="center"/>
              <w:rPr>
                <w:b/>
                <w:bCs/>
              </w:rPr>
            </w:pPr>
            <w:r w:rsidRPr="005E5B8C">
              <w:rPr>
                <w:b/>
                <w:bCs/>
              </w:rPr>
              <w:t>2029/30</w:t>
            </w:r>
          </w:p>
          <w:p w14:paraId="6C6CC931" w14:textId="77777777" w:rsidR="00A37816" w:rsidRPr="005E5B8C" w:rsidRDefault="00A37816" w:rsidP="00155CA1">
            <w:pPr>
              <w:spacing w:before="120" w:after="120"/>
              <w:jc w:val="center"/>
              <w:rPr>
                <w:rFonts w:ascii="Arial" w:hAnsi="Arial" w:cs="Arial"/>
                <w:szCs w:val="24"/>
                <w:lang w:eastAsia="en-GB"/>
              </w:rPr>
            </w:pPr>
            <w:r w:rsidRPr="005E5B8C">
              <w:rPr>
                <w:rFonts w:ascii="Arial" w:eastAsiaTheme="minorHAnsi" w:hAnsi="Arial" w:cs="Arial"/>
                <w:b/>
                <w:bCs/>
                <w:color w:val="000000"/>
                <w:szCs w:val="24"/>
              </w:rPr>
              <w:t>£m</w:t>
            </w:r>
          </w:p>
        </w:tc>
      </w:tr>
      <w:tr w:rsidR="00A37816" w:rsidRPr="005E5B8C" w14:paraId="6593B43F" w14:textId="77777777" w:rsidTr="00B24DD4">
        <w:trPr>
          <w:trHeight w:val="255"/>
        </w:trPr>
        <w:tc>
          <w:tcPr>
            <w:tcW w:w="3628" w:type="dxa"/>
            <w:shd w:val="clear" w:color="auto" w:fill="auto"/>
            <w:vAlign w:val="center"/>
          </w:tcPr>
          <w:p w14:paraId="5AF75315" w14:textId="0A7BD6BD" w:rsidR="00A37816" w:rsidRPr="005E5B8C" w:rsidRDefault="00A37816" w:rsidP="00A37816">
            <w:pPr>
              <w:spacing w:before="120" w:after="120"/>
              <w:rPr>
                <w:rFonts w:ascii="Arial" w:hAnsi="Arial" w:cs="Arial"/>
                <w:szCs w:val="24"/>
                <w:lang w:eastAsia="en-GB"/>
              </w:rPr>
            </w:pPr>
            <w:r>
              <w:rPr>
                <w:rFonts w:ascii="Arial" w:hAnsi="Arial" w:cs="Arial"/>
              </w:rPr>
              <w:t>Base Budget</w:t>
            </w:r>
          </w:p>
        </w:tc>
        <w:tc>
          <w:tcPr>
            <w:tcW w:w="1100" w:type="dxa"/>
            <w:shd w:val="clear" w:color="auto" w:fill="auto"/>
            <w:vAlign w:val="center"/>
          </w:tcPr>
          <w:p w14:paraId="5D3B3BF9" w14:textId="41C6F737" w:rsidR="00A37816" w:rsidRPr="005E5B8C" w:rsidRDefault="00A37816" w:rsidP="00A37816">
            <w:pPr>
              <w:spacing w:before="120" w:after="120"/>
              <w:jc w:val="right"/>
              <w:rPr>
                <w:rFonts w:ascii="Arial" w:hAnsi="Arial" w:cs="Arial"/>
                <w:szCs w:val="24"/>
                <w:lang w:eastAsia="en-GB"/>
              </w:rPr>
            </w:pPr>
            <w:r>
              <w:rPr>
                <w:rFonts w:ascii="Arial" w:hAnsi="Arial" w:cs="Arial"/>
              </w:rPr>
              <w:t>75.164</w:t>
            </w:r>
          </w:p>
        </w:tc>
        <w:tc>
          <w:tcPr>
            <w:tcW w:w="1100" w:type="dxa"/>
            <w:shd w:val="clear" w:color="auto" w:fill="auto"/>
            <w:vAlign w:val="center"/>
          </w:tcPr>
          <w:p w14:paraId="44789626" w14:textId="634EB0EE" w:rsidR="00A37816" w:rsidRPr="005E5B8C" w:rsidRDefault="00A37816" w:rsidP="00A37816">
            <w:pPr>
              <w:spacing w:before="120" w:after="120"/>
              <w:jc w:val="right"/>
              <w:rPr>
                <w:rFonts w:ascii="Arial" w:hAnsi="Arial" w:cs="Arial"/>
                <w:szCs w:val="24"/>
                <w:lang w:eastAsia="en-GB"/>
              </w:rPr>
            </w:pPr>
            <w:r>
              <w:rPr>
                <w:rFonts w:ascii="Arial" w:hAnsi="Arial" w:cs="Arial"/>
              </w:rPr>
              <w:t>77.511</w:t>
            </w:r>
          </w:p>
        </w:tc>
        <w:tc>
          <w:tcPr>
            <w:tcW w:w="1100" w:type="dxa"/>
            <w:shd w:val="clear" w:color="auto" w:fill="auto"/>
            <w:vAlign w:val="center"/>
          </w:tcPr>
          <w:p w14:paraId="61250FB6" w14:textId="10533C49" w:rsidR="00A37816" w:rsidRPr="005E5B8C" w:rsidRDefault="00A37816" w:rsidP="00A37816">
            <w:pPr>
              <w:spacing w:before="120" w:after="120"/>
              <w:jc w:val="right"/>
              <w:rPr>
                <w:rFonts w:ascii="Arial" w:hAnsi="Arial" w:cs="Arial"/>
                <w:szCs w:val="24"/>
                <w:lang w:eastAsia="en-GB"/>
              </w:rPr>
            </w:pPr>
            <w:r>
              <w:rPr>
                <w:rFonts w:ascii="Arial" w:hAnsi="Arial" w:cs="Arial"/>
              </w:rPr>
              <w:t>79.807</w:t>
            </w:r>
          </w:p>
        </w:tc>
        <w:tc>
          <w:tcPr>
            <w:tcW w:w="1100" w:type="dxa"/>
            <w:shd w:val="clear" w:color="auto" w:fill="auto"/>
            <w:vAlign w:val="center"/>
          </w:tcPr>
          <w:p w14:paraId="65D8A623" w14:textId="7EC0CE5F" w:rsidR="00A37816" w:rsidRPr="005E5B8C" w:rsidRDefault="00A37816" w:rsidP="00A37816">
            <w:pPr>
              <w:spacing w:before="120" w:after="120"/>
              <w:jc w:val="right"/>
              <w:rPr>
                <w:rFonts w:ascii="Arial" w:hAnsi="Arial" w:cs="Arial"/>
                <w:szCs w:val="24"/>
                <w:lang w:eastAsia="en-GB"/>
              </w:rPr>
            </w:pPr>
            <w:r>
              <w:rPr>
                <w:rFonts w:ascii="Arial" w:hAnsi="Arial" w:cs="Arial"/>
              </w:rPr>
              <w:t>82.120</w:t>
            </w:r>
          </w:p>
        </w:tc>
        <w:tc>
          <w:tcPr>
            <w:tcW w:w="1100" w:type="dxa"/>
            <w:shd w:val="clear" w:color="auto" w:fill="auto"/>
            <w:vAlign w:val="center"/>
          </w:tcPr>
          <w:p w14:paraId="436A7192" w14:textId="0FD6F7EF" w:rsidR="00A37816" w:rsidRPr="005E5B8C" w:rsidRDefault="00A37816" w:rsidP="00A37816">
            <w:pPr>
              <w:spacing w:before="120" w:after="120"/>
              <w:jc w:val="right"/>
              <w:rPr>
                <w:rFonts w:ascii="Arial" w:hAnsi="Arial" w:cs="Arial"/>
                <w:szCs w:val="24"/>
                <w:lang w:eastAsia="en-GB"/>
              </w:rPr>
            </w:pPr>
            <w:r>
              <w:rPr>
                <w:rFonts w:ascii="Arial" w:hAnsi="Arial" w:cs="Arial"/>
              </w:rPr>
              <w:t>84.319</w:t>
            </w:r>
          </w:p>
        </w:tc>
      </w:tr>
      <w:tr w:rsidR="00A37816" w:rsidRPr="005E5B8C" w14:paraId="77D3DF60" w14:textId="77777777" w:rsidTr="00B24DD4">
        <w:trPr>
          <w:trHeight w:val="255"/>
        </w:trPr>
        <w:tc>
          <w:tcPr>
            <w:tcW w:w="3628" w:type="dxa"/>
            <w:shd w:val="clear" w:color="auto" w:fill="auto"/>
            <w:vAlign w:val="center"/>
          </w:tcPr>
          <w:p w14:paraId="6E76B64A" w14:textId="606CD786" w:rsidR="00A37816" w:rsidRPr="005E5B8C" w:rsidRDefault="00A37816" w:rsidP="00A37816">
            <w:pPr>
              <w:spacing w:before="120" w:after="120"/>
              <w:rPr>
                <w:rFonts w:ascii="Arial" w:hAnsi="Arial" w:cs="Arial"/>
                <w:szCs w:val="24"/>
                <w:lang w:eastAsia="en-GB"/>
              </w:rPr>
            </w:pPr>
            <w:r>
              <w:rPr>
                <w:rFonts w:ascii="Arial" w:hAnsi="Arial" w:cs="Arial"/>
              </w:rPr>
              <w:t>Unfunded pay award from previous year</w:t>
            </w:r>
          </w:p>
        </w:tc>
        <w:tc>
          <w:tcPr>
            <w:tcW w:w="1100" w:type="dxa"/>
            <w:shd w:val="clear" w:color="auto" w:fill="auto"/>
            <w:vAlign w:val="center"/>
          </w:tcPr>
          <w:p w14:paraId="5B3C3A2E" w14:textId="2019749E" w:rsidR="00A37816" w:rsidRPr="005E5B8C" w:rsidRDefault="00A37816" w:rsidP="00A37816">
            <w:pPr>
              <w:spacing w:before="120" w:after="120"/>
              <w:jc w:val="right"/>
              <w:rPr>
                <w:rFonts w:ascii="Arial" w:hAnsi="Arial" w:cs="Arial"/>
                <w:szCs w:val="24"/>
                <w:lang w:eastAsia="en-GB"/>
              </w:rPr>
            </w:pPr>
            <w:r>
              <w:rPr>
                <w:rFonts w:ascii="Arial" w:hAnsi="Arial" w:cs="Arial"/>
              </w:rPr>
              <w:t>0.485</w:t>
            </w:r>
          </w:p>
        </w:tc>
        <w:tc>
          <w:tcPr>
            <w:tcW w:w="1100" w:type="dxa"/>
            <w:shd w:val="clear" w:color="auto" w:fill="auto"/>
            <w:vAlign w:val="center"/>
          </w:tcPr>
          <w:p w14:paraId="3090D5F2" w14:textId="68B57200"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3F6C7995" w14:textId="15460BE3"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3F812CB5" w14:textId="09BEA9BC"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599D04F4" w14:textId="0B168BC9"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r>
      <w:tr w:rsidR="00A37816" w:rsidRPr="005E5B8C" w14:paraId="044B4D27" w14:textId="77777777" w:rsidTr="00B24DD4">
        <w:trPr>
          <w:trHeight w:val="255"/>
        </w:trPr>
        <w:tc>
          <w:tcPr>
            <w:tcW w:w="3628" w:type="dxa"/>
            <w:shd w:val="clear" w:color="auto" w:fill="auto"/>
            <w:vAlign w:val="center"/>
          </w:tcPr>
          <w:p w14:paraId="162D64CE" w14:textId="57B40A46" w:rsidR="00A37816" w:rsidRPr="005E5B8C" w:rsidRDefault="00A37816" w:rsidP="00A37816">
            <w:pPr>
              <w:spacing w:before="120" w:after="120"/>
              <w:rPr>
                <w:rFonts w:ascii="Arial" w:hAnsi="Arial" w:cs="Arial"/>
                <w:szCs w:val="24"/>
                <w:lang w:eastAsia="en-GB"/>
              </w:rPr>
            </w:pPr>
            <w:r>
              <w:rPr>
                <w:rFonts w:ascii="Arial" w:hAnsi="Arial" w:cs="Arial"/>
              </w:rPr>
              <w:t>Uniform Pay Award (Apr - Jun)</w:t>
            </w:r>
          </w:p>
        </w:tc>
        <w:tc>
          <w:tcPr>
            <w:tcW w:w="1100" w:type="dxa"/>
            <w:shd w:val="clear" w:color="auto" w:fill="auto"/>
            <w:vAlign w:val="center"/>
          </w:tcPr>
          <w:p w14:paraId="66810149" w14:textId="64123C76" w:rsidR="00A37816" w:rsidRPr="005E5B8C" w:rsidRDefault="00A37816" w:rsidP="00A37816">
            <w:pPr>
              <w:spacing w:before="120" w:after="120"/>
              <w:jc w:val="right"/>
              <w:rPr>
                <w:rFonts w:ascii="Arial" w:hAnsi="Arial" w:cs="Arial"/>
                <w:szCs w:val="24"/>
                <w:lang w:eastAsia="en-GB"/>
              </w:rPr>
            </w:pPr>
            <w:r>
              <w:rPr>
                <w:rFonts w:ascii="Arial" w:hAnsi="Arial" w:cs="Arial"/>
              </w:rPr>
              <w:t>0.361</w:t>
            </w:r>
          </w:p>
        </w:tc>
        <w:tc>
          <w:tcPr>
            <w:tcW w:w="1100" w:type="dxa"/>
            <w:shd w:val="clear" w:color="auto" w:fill="auto"/>
            <w:vAlign w:val="center"/>
          </w:tcPr>
          <w:p w14:paraId="7E1B2E2C" w14:textId="4C56DB0B" w:rsidR="00A37816" w:rsidRPr="005E5B8C" w:rsidRDefault="00A37816" w:rsidP="00A37816">
            <w:pPr>
              <w:spacing w:before="120" w:after="120"/>
              <w:jc w:val="right"/>
              <w:rPr>
                <w:rFonts w:ascii="Arial" w:hAnsi="Arial" w:cs="Arial"/>
                <w:szCs w:val="24"/>
                <w:lang w:eastAsia="en-GB"/>
              </w:rPr>
            </w:pPr>
            <w:r>
              <w:rPr>
                <w:rFonts w:ascii="Arial" w:hAnsi="Arial" w:cs="Arial"/>
              </w:rPr>
              <w:t>0.376</w:t>
            </w:r>
          </w:p>
        </w:tc>
        <w:tc>
          <w:tcPr>
            <w:tcW w:w="1100" w:type="dxa"/>
            <w:shd w:val="clear" w:color="auto" w:fill="auto"/>
            <w:vAlign w:val="center"/>
          </w:tcPr>
          <w:p w14:paraId="73C75A52" w14:textId="0B993481" w:rsidR="00A37816" w:rsidRPr="005E5B8C" w:rsidRDefault="00A37816" w:rsidP="00A37816">
            <w:pPr>
              <w:spacing w:before="120" w:after="120"/>
              <w:jc w:val="right"/>
              <w:rPr>
                <w:rFonts w:ascii="Arial" w:hAnsi="Arial" w:cs="Arial"/>
                <w:szCs w:val="24"/>
                <w:lang w:eastAsia="en-GB"/>
              </w:rPr>
            </w:pPr>
            <w:r>
              <w:rPr>
                <w:rFonts w:ascii="Arial" w:hAnsi="Arial" w:cs="Arial"/>
              </w:rPr>
              <w:t>0.259</w:t>
            </w:r>
          </w:p>
        </w:tc>
        <w:tc>
          <w:tcPr>
            <w:tcW w:w="1100" w:type="dxa"/>
            <w:shd w:val="clear" w:color="auto" w:fill="auto"/>
            <w:vAlign w:val="center"/>
          </w:tcPr>
          <w:p w14:paraId="41E1043C" w14:textId="39109D7C" w:rsidR="00A37816" w:rsidRPr="005E5B8C" w:rsidRDefault="00A37816" w:rsidP="00A37816">
            <w:pPr>
              <w:spacing w:before="120" w:after="120"/>
              <w:jc w:val="right"/>
              <w:rPr>
                <w:rFonts w:ascii="Arial" w:hAnsi="Arial" w:cs="Arial"/>
                <w:szCs w:val="24"/>
                <w:lang w:eastAsia="en-GB"/>
              </w:rPr>
            </w:pPr>
            <w:r>
              <w:rPr>
                <w:rFonts w:ascii="Arial" w:hAnsi="Arial" w:cs="Arial"/>
              </w:rPr>
              <w:t>0.265</w:t>
            </w:r>
          </w:p>
        </w:tc>
        <w:tc>
          <w:tcPr>
            <w:tcW w:w="1100" w:type="dxa"/>
            <w:shd w:val="clear" w:color="auto" w:fill="auto"/>
            <w:vAlign w:val="center"/>
          </w:tcPr>
          <w:p w14:paraId="706C42CB" w14:textId="55B6C791" w:rsidR="00A37816" w:rsidRPr="005E5B8C" w:rsidRDefault="00A37816" w:rsidP="00A37816">
            <w:pPr>
              <w:spacing w:before="120" w:after="120"/>
              <w:jc w:val="right"/>
              <w:rPr>
                <w:rFonts w:ascii="Arial" w:hAnsi="Arial" w:cs="Arial"/>
                <w:szCs w:val="24"/>
                <w:lang w:eastAsia="en-GB"/>
              </w:rPr>
            </w:pPr>
            <w:r>
              <w:rPr>
                <w:rFonts w:ascii="Arial" w:hAnsi="Arial" w:cs="Arial"/>
              </w:rPr>
              <w:t>0.271</w:t>
            </w:r>
          </w:p>
        </w:tc>
      </w:tr>
      <w:tr w:rsidR="00A37816" w:rsidRPr="005E5B8C" w14:paraId="4FD0F1CB" w14:textId="77777777" w:rsidTr="00B24DD4">
        <w:trPr>
          <w:trHeight w:val="255"/>
        </w:trPr>
        <w:tc>
          <w:tcPr>
            <w:tcW w:w="3628" w:type="dxa"/>
            <w:shd w:val="clear" w:color="auto" w:fill="auto"/>
            <w:vAlign w:val="center"/>
          </w:tcPr>
          <w:p w14:paraId="57DB77C1" w14:textId="287B8F41" w:rsidR="00A37816" w:rsidRPr="005E5B8C" w:rsidRDefault="00A37816" w:rsidP="00A37816">
            <w:pPr>
              <w:spacing w:before="120" w:after="120"/>
              <w:rPr>
                <w:rFonts w:ascii="Arial" w:hAnsi="Arial" w:cs="Arial"/>
                <w:szCs w:val="24"/>
                <w:lang w:eastAsia="en-GB"/>
              </w:rPr>
            </w:pPr>
            <w:r>
              <w:rPr>
                <w:rFonts w:ascii="Arial" w:hAnsi="Arial" w:cs="Arial"/>
              </w:rPr>
              <w:t>Uniform Pay Award (Jul - Mar)</w:t>
            </w:r>
          </w:p>
        </w:tc>
        <w:tc>
          <w:tcPr>
            <w:tcW w:w="1100" w:type="dxa"/>
            <w:shd w:val="clear" w:color="auto" w:fill="auto"/>
            <w:vAlign w:val="center"/>
          </w:tcPr>
          <w:p w14:paraId="198E15DC" w14:textId="4F4F1A0A" w:rsidR="00A37816" w:rsidRPr="005E5B8C" w:rsidRDefault="00A37816" w:rsidP="00A37816">
            <w:pPr>
              <w:spacing w:before="120" w:after="120"/>
              <w:jc w:val="right"/>
              <w:rPr>
                <w:rFonts w:ascii="Arial" w:hAnsi="Arial" w:cs="Arial"/>
                <w:szCs w:val="24"/>
                <w:lang w:eastAsia="en-GB"/>
              </w:rPr>
            </w:pPr>
            <w:r>
              <w:rPr>
                <w:rFonts w:ascii="Arial" w:hAnsi="Arial" w:cs="Arial"/>
              </w:rPr>
              <w:t>1.139</w:t>
            </w:r>
          </w:p>
        </w:tc>
        <w:tc>
          <w:tcPr>
            <w:tcW w:w="1100" w:type="dxa"/>
            <w:shd w:val="clear" w:color="auto" w:fill="auto"/>
            <w:vAlign w:val="center"/>
          </w:tcPr>
          <w:p w14:paraId="7AE95E3A" w14:textId="20ECFD3C" w:rsidR="00A37816" w:rsidRPr="005E5B8C" w:rsidRDefault="00A37816" w:rsidP="00A37816">
            <w:pPr>
              <w:spacing w:before="120" w:after="120"/>
              <w:jc w:val="right"/>
              <w:rPr>
                <w:rFonts w:ascii="Arial" w:hAnsi="Arial" w:cs="Arial"/>
                <w:szCs w:val="24"/>
                <w:lang w:eastAsia="en-GB"/>
              </w:rPr>
            </w:pPr>
            <w:r>
              <w:rPr>
                <w:rFonts w:ascii="Arial" w:hAnsi="Arial" w:cs="Arial"/>
              </w:rPr>
              <w:t>0.798</w:t>
            </w:r>
          </w:p>
        </w:tc>
        <w:tc>
          <w:tcPr>
            <w:tcW w:w="1100" w:type="dxa"/>
            <w:shd w:val="clear" w:color="auto" w:fill="auto"/>
            <w:vAlign w:val="center"/>
          </w:tcPr>
          <w:p w14:paraId="65D0D7F2" w14:textId="42AF0C56" w:rsidR="00A37816" w:rsidRPr="005E5B8C" w:rsidRDefault="00A37816" w:rsidP="00A37816">
            <w:pPr>
              <w:spacing w:before="120" w:after="120"/>
              <w:jc w:val="right"/>
              <w:rPr>
                <w:rFonts w:ascii="Arial" w:hAnsi="Arial" w:cs="Arial"/>
                <w:szCs w:val="24"/>
                <w:lang w:eastAsia="en-GB"/>
              </w:rPr>
            </w:pPr>
            <w:r>
              <w:rPr>
                <w:rFonts w:ascii="Arial" w:hAnsi="Arial" w:cs="Arial"/>
              </w:rPr>
              <w:t>0.817</w:t>
            </w:r>
          </w:p>
        </w:tc>
        <w:tc>
          <w:tcPr>
            <w:tcW w:w="1100" w:type="dxa"/>
            <w:shd w:val="clear" w:color="auto" w:fill="auto"/>
            <w:vAlign w:val="center"/>
          </w:tcPr>
          <w:p w14:paraId="17F948F1" w14:textId="51AFC1B2" w:rsidR="00A37816" w:rsidRPr="005E5B8C" w:rsidRDefault="00A37816" w:rsidP="00A37816">
            <w:pPr>
              <w:spacing w:before="120" w:after="120"/>
              <w:jc w:val="right"/>
              <w:rPr>
                <w:rFonts w:ascii="Arial" w:hAnsi="Arial" w:cs="Arial"/>
                <w:szCs w:val="24"/>
                <w:lang w:eastAsia="en-GB"/>
              </w:rPr>
            </w:pPr>
            <w:r>
              <w:rPr>
                <w:rFonts w:ascii="Arial" w:hAnsi="Arial" w:cs="Arial"/>
              </w:rPr>
              <w:t>0.829</w:t>
            </w:r>
          </w:p>
        </w:tc>
        <w:tc>
          <w:tcPr>
            <w:tcW w:w="1100" w:type="dxa"/>
            <w:shd w:val="clear" w:color="auto" w:fill="auto"/>
            <w:vAlign w:val="center"/>
          </w:tcPr>
          <w:p w14:paraId="516FF9DA" w14:textId="3AE3D1A3" w:rsidR="00A37816" w:rsidRPr="005E5B8C" w:rsidRDefault="00A37816" w:rsidP="00A37816">
            <w:pPr>
              <w:spacing w:before="120" w:after="120"/>
              <w:jc w:val="right"/>
              <w:rPr>
                <w:rFonts w:ascii="Arial" w:hAnsi="Arial" w:cs="Arial"/>
                <w:szCs w:val="24"/>
                <w:lang w:eastAsia="en-GB"/>
              </w:rPr>
            </w:pPr>
            <w:r>
              <w:rPr>
                <w:rFonts w:ascii="Arial" w:hAnsi="Arial" w:cs="Arial"/>
              </w:rPr>
              <w:t>0.840</w:t>
            </w:r>
          </w:p>
        </w:tc>
      </w:tr>
      <w:tr w:rsidR="00A37816" w:rsidRPr="005E5B8C" w14:paraId="1801299B" w14:textId="77777777" w:rsidTr="00B24DD4">
        <w:trPr>
          <w:trHeight w:val="255"/>
        </w:trPr>
        <w:tc>
          <w:tcPr>
            <w:tcW w:w="3628" w:type="dxa"/>
            <w:shd w:val="clear" w:color="auto" w:fill="auto"/>
            <w:vAlign w:val="center"/>
          </w:tcPr>
          <w:p w14:paraId="1DD8CB2B" w14:textId="7F1418A7" w:rsidR="00A37816" w:rsidRPr="005E5B8C" w:rsidRDefault="00A37816" w:rsidP="00A37816">
            <w:pPr>
              <w:spacing w:before="120" w:after="120"/>
              <w:rPr>
                <w:rFonts w:ascii="Arial" w:hAnsi="Arial" w:cs="Arial"/>
                <w:szCs w:val="24"/>
                <w:lang w:eastAsia="en-GB"/>
              </w:rPr>
            </w:pPr>
            <w:r>
              <w:rPr>
                <w:rFonts w:ascii="Arial" w:hAnsi="Arial" w:cs="Arial"/>
              </w:rPr>
              <w:t>Non-uniform Pay Award</w:t>
            </w:r>
          </w:p>
        </w:tc>
        <w:tc>
          <w:tcPr>
            <w:tcW w:w="1100" w:type="dxa"/>
            <w:shd w:val="clear" w:color="auto" w:fill="auto"/>
            <w:vAlign w:val="center"/>
          </w:tcPr>
          <w:p w14:paraId="20F702F8" w14:textId="5DEB07C6" w:rsidR="00A37816" w:rsidRPr="005E5B8C" w:rsidRDefault="00A37816" w:rsidP="00A37816">
            <w:pPr>
              <w:spacing w:before="120" w:after="120"/>
              <w:jc w:val="right"/>
              <w:rPr>
                <w:rFonts w:ascii="Arial" w:hAnsi="Arial" w:cs="Arial"/>
                <w:szCs w:val="24"/>
                <w:lang w:eastAsia="en-GB"/>
              </w:rPr>
            </w:pPr>
            <w:r>
              <w:rPr>
                <w:rFonts w:ascii="Arial" w:hAnsi="Arial" w:cs="Arial"/>
              </w:rPr>
              <w:t>0.213</w:t>
            </w:r>
          </w:p>
        </w:tc>
        <w:tc>
          <w:tcPr>
            <w:tcW w:w="1100" w:type="dxa"/>
            <w:shd w:val="clear" w:color="auto" w:fill="auto"/>
            <w:vAlign w:val="center"/>
          </w:tcPr>
          <w:p w14:paraId="3F39AF79" w14:textId="45221AD3" w:rsidR="00A37816" w:rsidRPr="005E5B8C" w:rsidRDefault="00A37816" w:rsidP="00A37816">
            <w:pPr>
              <w:spacing w:before="120" w:after="120"/>
              <w:jc w:val="right"/>
              <w:rPr>
                <w:rFonts w:ascii="Arial" w:hAnsi="Arial" w:cs="Arial"/>
                <w:szCs w:val="24"/>
                <w:lang w:eastAsia="en-GB"/>
              </w:rPr>
            </w:pPr>
            <w:r>
              <w:rPr>
                <w:rFonts w:ascii="Arial" w:hAnsi="Arial" w:cs="Arial"/>
              </w:rPr>
              <w:t>0.215</w:t>
            </w:r>
          </w:p>
        </w:tc>
        <w:tc>
          <w:tcPr>
            <w:tcW w:w="1100" w:type="dxa"/>
            <w:shd w:val="clear" w:color="auto" w:fill="auto"/>
            <w:vAlign w:val="center"/>
          </w:tcPr>
          <w:p w14:paraId="230D8475" w14:textId="6D328AE9" w:rsidR="00A37816" w:rsidRPr="005E5B8C" w:rsidRDefault="00A37816" w:rsidP="00A37816">
            <w:pPr>
              <w:spacing w:before="120" w:after="120"/>
              <w:jc w:val="right"/>
              <w:rPr>
                <w:rFonts w:ascii="Arial" w:hAnsi="Arial" w:cs="Arial"/>
                <w:szCs w:val="24"/>
                <w:lang w:eastAsia="en-GB"/>
              </w:rPr>
            </w:pPr>
            <w:r>
              <w:rPr>
                <w:rFonts w:ascii="Arial" w:hAnsi="Arial" w:cs="Arial"/>
              </w:rPr>
              <w:t>0.218</w:t>
            </w:r>
          </w:p>
        </w:tc>
        <w:tc>
          <w:tcPr>
            <w:tcW w:w="1100" w:type="dxa"/>
            <w:shd w:val="clear" w:color="auto" w:fill="auto"/>
            <w:vAlign w:val="center"/>
          </w:tcPr>
          <w:p w14:paraId="589F4BA1" w14:textId="19D93E7B" w:rsidR="00A37816" w:rsidRPr="005E5B8C" w:rsidRDefault="00A37816" w:rsidP="00A37816">
            <w:pPr>
              <w:spacing w:before="120" w:after="120"/>
              <w:jc w:val="right"/>
              <w:rPr>
                <w:rFonts w:ascii="Arial" w:hAnsi="Arial" w:cs="Arial"/>
                <w:szCs w:val="24"/>
                <w:lang w:eastAsia="en-GB"/>
              </w:rPr>
            </w:pPr>
            <w:r>
              <w:rPr>
                <w:rFonts w:ascii="Arial" w:hAnsi="Arial" w:cs="Arial"/>
              </w:rPr>
              <w:t>0.223</w:t>
            </w:r>
          </w:p>
        </w:tc>
        <w:tc>
          <w:tcPr>
            <w:tcW w:w="1100" w:type="dxa"/>
            <w:shd w:val="clear" w:color="auto" w:fill="auto"/>
            <w:vAlign w:val="center"/>
          </w:tcPr>
          <w:p w14:paraId="72253222" w14:textId="05139B14" w:rsidR="00A37816" w:rsidRPr="005E5B8C" w:rsidRDefault="00A37816" w:rsidP="00A37816">
            <w:pPr>
              <w:spacing w:before="120" w:after="120"/>
              <w:jc w:val="right"/>
              <w:rPr>
                <w:rFonts w:ascii="Arial" w:hAnsi="Arial" w:cs="Arial"/>
                <w:szCs w:val="24"/>
                <w:lang w:eastAsia="en-GB"/>
              </w:rPr>
            </w:pPr>
            <w:r>
              <w:rPr>
                <w:rFonts w:ascii="Arial" w:hAnsi="Arial" w:cs="Arial"/>
              </w:rPr>
              <w:t>0.227</w:t>
            </w:r>
          </w:p>
        </w:tc>
      </w:tr>
      <w:tr w:rsidR="00A37816" w:rsidRPr="005E5B8C" w14:paraId="1A9BB4B6" w14:textId="77777777" w:rsidTr="00B24DD4">
        <w:trPr>
          <w:trHeight w:val="255"/>
        </w:trPr>
        <w:tc>
          <w:tcPr>
            <w:tcW w:w="3628" w:type="dxa"/>
            <w:shd w:val="clear" w:color="auto" w:fill="auto"/>
            <w:vAlign w:val="center"/>
          </w:tcPr>
          <w:p w14:paraId="7FA5DE78" w14:textId="2366AB7B" w:rsidR="00A37816" w:rsidRPr="005E5B8C" w:rsidRDefault="00A37816" w:rsidP="00A37816">
            <w:pPr>
              <w:spacing w:before="120" w:after="120"/>
              <w:rPr>
                <w:rFonts w:ascii="Arial" w:hAnsi="Arial" w:cs="Arial"/>
                <w:szCs w:val="24"/>
                <w:lang w:eastAsia="en-GB"/>
              </w:rPr>
            </w:pPr>
            <w:r>
              <w:rPr>
                <w:rFonts w:ascii="Arial" w:hAnsi="Arial" w:cs="Arial"/>
              </w:rPr>
              <w:t>General inflation</w:t>
            </w:r>
          </w:p>
        </w:tc>
        <w:tc>
          <w:tcPr>
            <w:tcW w:w="1100" w:type="dxa"/>
            <w:shd w:val="clear" w:color="auto" w:fill="auto"/>
            <w:vAlign w:val="center"/>
          </w:tcPr>
          <w:p w14:paraId="1954A685" w14:textId="5F9E01E0" w:rsidR="00A37816" w:rsidRPr="005E5B8C" w:rsidRDefault="00A37816" w:rsidP="00A37816">
            <w:pPr>
              <w:spacing w:before="120" w:after="120"/>
              <w:jc w:val="right"/>
              <w:rPr>
                <w:rFonts w:ascii="Arial" w:hAnsi="Arial" w:cs="Arial"/>
                <w:szCs w:val="24"/>
                <w:lang w:eastAsia="en-GB"/>
              </w:rPr>
            </w:pPr>
            <w:r>
              <w:rPr>
                <w:rFonts w:ascii="Arial" w:hAnsi="Arial" w:cs="Arial"/>
              </w:rPr>
              <w:t>0.911</w:t>
            </w:r>
          </w:p>
        </w:tc>
        <w:tc>
          <w:tcPr>
            <w:tcW w:w="1100" w:type="dxa"/>
            <w:shd w:val="clear" w:color="auto" w:fill="auto"/>
            <w:vAlign w:val="center"/>
          </w:tcPr>
          <w:p w14:paraId="5F84F8C8" w14:textId="5882CD6F" w:rsidR="00A37816" w:rsidRPr="005E5B8C" w:rsidRDefault="00A37816" w:rsidP="00A37816">
            <w:pPr>
              <w:spacing w:before="120" w:after="120"/>
              <w:jc w:val="right"/>
              <w:rPr>
                <w:rFonts w:ascii="Arial" w:hAnsi="Arial" w:cs="Arial"/>
                <w:szCs w:val="24"/>
                <w:lang w:eastAsia="en-GB"/>
              </w:rPr>
            </w:pPr>
            <w:r>
              <w:rPr>
                <w:rFonts w:ascii="Arial" w:hAnsi="Arial" w:cs="Arial"/>
              </w:rPr>
              <w:t>0.449</w:t>
            </w:r>
          </w:p>
        </w:tc>
        <w:tc>
          <w:tcPr>
            <w:tcW w:w="1100" w:type="dxa"/>
            <w:shd w:val="clear" w:color="auto" w:fill="auto"/>
            <w:vAlign w:val="center"/>
          </w:tcPr>
          <w:p w14:paraId="0B4900E7" w14:textId="5B1FDCB1" w:rsidR="00A37816" w:rsidRPr="005E5B8C" w:rsidRDefault="00A37816" w:rsidP="00A37816">
            <w:pPr>
              <w:spacing w:before="120" w:after="120"/>
              <w:jc w:val="right"/>
              <w:rPr>
                <w:rFonts w:ascii="Arial" w:hAnsi="Arial" w:cs="Arial"/>
                <w:szCs w:val="24"/>
                <w:lang w:eastAsia="en-GB"/>
              </w:rPr>
            </w:pPr>
            <w:r>
              <w:rPr>
                <w:rFonts w:ascii="Arial" w:hAnsi="Arial" w:cs="Arial"/>
              </w:rPr>
              <w:t>0.253</w:t>
            </w:r>
          </w:p>
        </w:tc>
        <w:tc>
          <w:tcPr>
            <w:tcW w:w="1100" w:type="dxa"/>
            <w:shd w:val="clear" w:color="auto" w:fill="auto"/>
            <w:vAlign w:val="center"/>
          </w:tcPr>
          <w:p w14:paraId="0AB45525" w14:textId="08405989" w:rsidR="00A37816" w:rsidRPr="005E5B8C" w:rsidRDefault="00A37816" w:rsidP="00A37816">
            <w:pPr>
              <w:spacing w:before="120" w:after="120"/>
              <w:jc w:val="right"/>
              <w:rPr>
                <w:rFonts w:ascii="Arial" w:hAnsi="Arial" w:cs="Arial"/>
                <w:szCs w:val="24"/>
                <w:lang w:eastAsia="en-GB"/>
              </w:rPr>
            </w:pPr>
            <w:r>
              <w:rPr>
                <w:rFonts w:ascii="Arial" w:hAnsi="Arial" w:cs="Arial"/>
              </w:rPr>
              <w:t>0.504</w:t>
            </w:r>
          </w:p>
        </w:tc>
        <w:tc>
          <w:tcPr>
            <w:tcW w:w="1100" w:type="dxa"/>
            <w:shd w:val="clear" w:color="auto" w:fill="auto"/>
            <w:vAlign w:val="center"/>
          </w:tcPr>
          <w:p w14:paraId="43331AE6" w14:textId="4864CFB7" w:rsidR="00A37816" w:rsidRPr="005E5B8C" w:rsidRDefault="00A37816" w:rsidP="00A37816">
            <w:pPr>
              <w:spacing w:before="120" w:after="120"/>
              <w:jc w:val="right"/>
              <w:rPr>
                <w:rFonts w:ascii="Arial" w:hAnsi="Arial" w:cs="Arial"/>
                <w:szCs w:val="24"/>
                <w:lang w:eastAsia="en-GB"/>
              </w:rPr>
            </w:pPr>
            <w:r>
              <w:rPr>
                <w:rFonts w:ascii="Arial" w:hAnsi="Arial" w:cs="Arial"/>
              </w:rPr>
              <w:t>0.335</w:t>
            </w:r>
          </w:p>
        </w:tc>
      </w:tr>
      <w:tr w:rsidR="00A37816" w:rsidRPr="005E5B8C" w14:paraId="0182FAC4" w14:textId="77777777" w:rsidTr="00B24DD4">
        <w:trPr>
          <w:trHeight w:val="255"/>
        </w:trPr>
        <w:tc>
          <w:tcPr>
            <w:tcW w:w="3628" w:type="dxa"/>
            <w:shd w:val="clear" w:color="auto" w:fill="auto"/>
            <w:vAlign w:val="center"/>
          </w:tcPr>
          <w:p w14:paraId="627064B6" w14:textId="4614FC58" w:rsidR="00A37816" w:rsidRPr="005E5B8C" w:rsidRDefault="00A37816" w:rsidP="00A37816">
            <w:pPr>
              <w:spacing w:before="120" w:after="120"/>
              <w:rPr>
                <w:rFonts w:ascii="Arial" w:hAnsi="Arial" w:cs="Arial"/>
                <w:szCs w:val="24"/>
                <w:lang w:eastAsia="en-GB"/>
              </w:rPr>
            </w:pPr>
            <w:r>
              <w:rPr>
                <w:rFonts w:ascii="Arial" w:hAnsi="Arial" w:cs="Arial"/>
              </w:rPr>
              <w:t>Investment income changes</w:t>
            </w:r>
          </w:p>
        </w:tc>
        <w:tc>
          <w:tcPr>
            <w:tcW w:w="1100" w:type="dxa"/>
            <w:shd w:val="clear" w:color="auto" w:fill="auto"/>
            <w:vAlign w:val="center"/>
          </w:tcPr>
          <w:p w14:paraId="0CD4759C" w14:textId="25F0294B" w:rsidR="00A37816" w:rsidRPr="005E5B8C" w:rsidRDefault="00A37816" w:rsidP="00A37816">
            <w:pPr>
              <w:spacing w:before="120" w:after="120"/>
              <w:jc w:val="right"/>
              <w:rPr>
                <w:rFonts w:ascii="Arial" w:hAnsi="Arial" w:cs="Arial"/>
                <w:szCs w:val="24"/>
                <w:lang w:eastAsia="en-GB"/>
              </w:rPr>
            </w:pPr>
            <w:r>
              <w:rPr>
                <w:rFonts w:ascii="Arial" w:hAnsi="Arial" w:cs="Arial"/>
              </w:rPr>
              <w:t>(0.385)</w:t>
            </w:r>
          </w:p>
        </w:tc>
        <w:tc>
          <w:tcPr>
            <w:tcW w:w="1100" w:type="dxa"/>
            <w:shd w:val="clear" w:color="auto" w:fill="auto"/>
            <w:vAlign w:val="center"/>
          </w:tcPr>
          <w:p w14:paraId="4DB08CD4" w14:textId="32D68346" w:rsidR="00A37816" w:rsidRPr="005E5B8C" w:rsidRDefault="00A37816" w:rsidP="00A37816">
            <w:pPr>
              <w:spacing w:before="120" w:after="120"/>
              <w:jc w:val="right"/>
              <w:rPr>
                <w:rFonts w:ascii="Arial" w:hAnsi="Arial" w:cs="Arial"/>
                <w:szCs w:val="24"/>
                <w:lang w:eastAsia="en-GB"/>
              </w:rPr>
            </w:pPr>
            <w:r>
              <w:rPr>
                <w:rFonts w:ascii="Arial" w:hAnsi="Arial" w:cs="Arial"/>
              </w:rPr>
              <w:t>0.510</w:t>
            </w:r>
          </w:p>
        </w:tc>
        <w:tc>
          <w:tcPr>
            <w:tcW w:w="1100" w:type="dxa"/>
            <w:shd w:val="clear" w:color="auto" w:fill="auto"/>
            <w:vAlign w:val="center"/>
          </w:tcPr>
          <w:p w14:paraId="091792D6" w14:textId="6B5B4FE1" w:rsidR="00A37816" w:rsidRPr="005E5B8C" w:rsidRDefault="00A37816" w:rsidP="00A37816">
            <w:pPr>
              <w:spacing w:before="120" w:after="120"/>
              <w:jc w:val="right"/>
              <w:rPr>
                <w:rFonts w:ascii="Arial" w:hAnsi="Arial" w:cs="Arial"/>
                <w:szCs w:val="24"/>
                <w:lang w:eastAsia="en-GB"/>
              </w:rPr>
            </w:pPr>
            <w:r>
              <w:rPr>
                <w:rFonts w:ascii="Arial" w:hAnsi="Arial" w:cs="Arial"/>
              </w:rPr>
              <w:t>0.200</w:t>
            </w:r>
          </w:p>
        </w:tc>
        <w:tc>
          <w:tcPr>
            <w:tcW w:w="1100" w:type="dxa"/>
            <w:shd w:val="clear" w:color="auto" w:fill="auto"/>
            <w:vAlign w:val="center"/>
          </w:tcPr>
          <w:p w14:paraId="6868CBD8" w14:textId="0E3DBDFA" w:rsidR="00A37816" w:rsidRPr="005E5B8C" w:rsidRDefault="00A37816" w:rsidP="00A37816">
            <w:pPr>
              <w:spacing w:before="120" w:after="120"/>
              <w:jc w:val="right"/>
              <w:rPr>
                <w:rFonts w:ascii="Arial" w:hAnsi="Arial" w:cs="Arial"/>
                <w:szCs w:val="24"/>
                <w:lang w:eastAsia="en-GB"/>
              </w:rPr>
            </w:pPr>
            <w:r>
              <w:rPr>
                <w:rFonts w:ascii="Arial" w:hAnsi="Arial" w:cs="Arial"/>
              </w:rPr>
              <w:t>0.215</w:t>
            </w:r>
          </w:p>
        </w:tc>
        <w:tc>
          <w:tcPr>
            <w:tcW w:w="1100" w:type="dxa"/>
            <w:shd w:val="clear" w:color="auto" w:fill="auto"/>
            <w:vAlign w:val="center"/>
          </w:tcPr>
          <w:p w14:paraId="17610ED7" w14:textId="32D25054" w:rsidR="00A37816" w:rsidRPr="005E5B8C" w:rsidRDefault="00A37816" w:rsidP="00A37816">
            <w:pPr>
              <w:spacing w:before="120" w:after="120"/>
              <w:jc w:val="right"/>
              <w:rPr>
                <w:rFonts w:ascii="Arial" w:hAnsi="Arial" w:cs="Arial"/>
                <w:szCs w:val="24"/>
                <w:lang w:eastAsia="en-GB"/>
              </w:rPr>
            </w:pPr>
            <w:r>
              <w:rPr>
                <w:rFonts w:ascii="Arial" w:hAnsi="Arial" w:cs="Arial"/>
              </w:rPr>
              <w:t>0.115</w:t>
            </w:r>
          </w:p>
        </w:tc>
      </w:tr>
      <w:tr w:rsidR="00A37816" w:rsidRPr="005E5B8C" w14:paraId="2267BFD3" w14:textId="77777777" w:rsidTr="00B24DD4">
        <w:trPr>
          <w:trHeight w:val="255"/>
        </w:trPr>
        <w:tc>
          <w:tcPr>
            <w:tcW w:w="3628" w:type="dxa"/>
            <w:shd w:val="clear" w:color="auto" w:fill="auto"/>
            <w:vAlign w:val="center"/>
          </w:tcPr>
          <w:p w14:paraId="18DAEE92" w14:textId="5A2C4FFB" w:rsidR="00A37816" w:rsidRPr="005E5B8C" w:rsidRDefault="00A37816" w:rsidP="00A37816">
            <w:pPr>
              <w:spacing w:before="120" w:after="120"/>
              <w:rPr>
                <w:rFonts w:ascii="Arial" w:hAnsi="Arial" w:cs="Arial"/>
                <w:szCs w:val="24"/>
                <w:lang w:eastAsia="en-GB"/>
              </w:rPr>
            </w:pPr>
            <w:r>
              <w:rPr>
                <w:rFonts w:ascii="Arial" w:hAnsi="Arial" w:cs="Arial"/>
              </w:rPr>
              <w:t>Vacancy Factor Adjustments</w:t>
            </w:r>
          </w:p>
        </w:tc>
        <w:tc>
          <w:tcPr>
            <w:tcW w:w="1100" w:type="dxa"/>
            <w:shd w:val="clear" w:color="auto" w:fill="auto"/>
            <w:vAlign w:val="center"/>
          </w:tcPr>
          <w:p w14:paraId="21FF27D1" w14:textId="14180C88" w:rsidR="00A37816" w:rsidRPr="005E5B8C" w:rsidRDefault="00A37816" w:rsidP="00A37816">
            <w:pPr>
              <w:spacing w:before="120" w:after="120"/>
              <w:jc w:val="right"/>
              <w:rPr>
                <w:rFonts w:ascii="Arial" w:hAnsi="Arial" w:cs="Arial"/>
                <w:szCs w:val="24"/>
                <w:lang w:eastAsia="en-GB"/>
              </w:rPr>
            </w:pPr>
            <w:r>
              <w:rPr>
                <w:rFonts w:ascii="Arial" w:hAnsi="Arial" w:cs="Arial"/>
              </w:rPr>
              <w:t>(0.057)</w:t>
            </w:r>
          </w:p>
        </w:tc>
        <w:tc>
          <w:tcPr>
            <w:tcW w:w="1100" w:type="dxa"/>
            <w:shd w:val="clear" w:color="auto" w:fill="auto"/>
            <w:vAlign w:val="center"/>
          </w:tcPr>
          <w:p w14:paraId="54A7348F" w14:textId="597E3011" w:rsidR="00A37816" w:rsidRPr="005E5B8C" w:rsidRDefault="00A37816" w:rsidP="00A37816">
            <w:pPr>
              <w:spacing w:before="120" w:after="120"/>
              <w:jc w:val="right"/>
              <w:rPr>
                <w:rFonts w:ascii="Arial" w:hAnsi="Arial" w:cs="Arial"/>
                <w:szCs w:val="24"/>
                <w:lang w:eastAsia="en-GB"/>
              </w:rPr>
            </w:pPr>
            <w:r>
              <w:rPr>
                <w:rFonts w:ascii="Arial" w:hAnsi="Arial" w:cs="Arial"/>
              </w:rPr>
              <w:t>0.162</w:t>
            </w:r>
          </w:p>
        </w:tc>
        <w:tc>
          <w:tcPr>
            <w:tcW w:w="1100" w:type="dxa"/>
            <w:shd w:val="clear" w:color="auto" w:fill="auto"/>
            <w:vAlign w:val="center"/>
          </w:tcPr>
          <w:p w14:paraId="2D9839EA" w14:textId="794F8676" w:rsidR="00A37816" w:rsidRPr="005E5B8C" w:rsidRDefault="00A37816" w:rsidP="00A37816">
            <w:pPr>
              <w:spacing w:before="120" w:after="120"/>
              <w:jc w:val="right"/>
              <w:rPr>
                <w:rFonts w:ascii="Arial" w:hAnsi="Arial" w:cs="Arial"/>
                <w:szCs w:val="24"/>
                <w:lang w:eastAsia="en-GB"/>
              </w:rPr>
            </w:pPr>
            <w:r>
              <w:rPr>
                <w:rFonts w:ascii="Arial" w:hAnsi="Arial" w:cs="Arial"/>
              </w:rPr>
              <w:t>0.106</w:t>
            </w:r>
          </w:p>
        </w:tc>
        <w:tc>
          <w:tcPr>
            <w:tcW w:w="1100" w:type="dxa"/>
            <w:shd w:val="clear" w:color="auto" w:fill="auto"/>
            <w:vAlign w:val="center"/>
          </w:tcPr>
          <w:p w14:paraId="43F28DA4" w14:textId="73B28017" w:rsidR="00A37816" w:rsidRPr="005E5B8C" w:rsidRDefault="00A37816" w:rsidP="00A37816">
            <w:pPr>
              <w:spacing w:before="120" w:after="120"/>
              <w:jc w:val="right"/>
              <w:rPr>
                <w:rFonts w:ascii="Arial" w:hAnsi="Arial" w:cs="Arial"/>
                <w:szCs w:val="24"/>
                <w:lang w:eastAsia="en-GB"/>
              </w:rPr>
            </w:pPr>
            <w:r>
              <w:rPr>
                <w:rFonts w:ascii="Arial" w:hAnsi="Arial" w:cs="Arial"/>
              </w:rPr>
              <w:t>0.056</w:t>
            </w:r>
          </w:p>
        </w:tc>
        <w:tc>
          <w:tcPr>
            <w:tcW w:w="1100" w:type="dxa"/>
            <w:shd w:val="clear" w:color="auto" w:fill="auto"/>
            <w:vAlign w:val="center"/>
          </w:tcPr>
          <w:p w14:paraId="4B3098EE" w14:textId="01EA5B79" w:rsidR="00A37816" w:rsidRPr="005E5B8C" w:rsidRDefault="00A37816" w:rsidP="00A37816">
            <w:pPr>
              <w:spacing w:before="120" w:after="120"/>
              <w:jc w:val="right"/>
              <w:rPr>
                <w:rFonts w:ascii="Arial" w:hAnsi="Arial" w:cs="Arial"/>
                <w:szCs w:val="24"/>
                <w:lang w:eastAsia="en-GB"/>
              </w:rPr>
            </w:pPr>
            <w:r>
              <w:rPr>
                <w:rFonts w:ascii="Arial" w:hAnsi="Arial" w:cs="Arial"/>
              </w:rPr>
              <w:t>(0.268)</w:t>
            </w:r>
          </w:p>
        </w:tc>
      </w:tr>
      <w:tr w:rsidR="00A37816" w:rsidRPr="005E5B8C" w14:paraId="64546E2D" w14:textId="77777777" w:rsidTr="00B24DD4">
        <w:trPr>
          <w:trHeight w:val="255"/>
        </w:trPr>
        <w:tc>
          <w:tcPr>
            <w:tcW w:w="3628" w:type="dxa"/>
            <w:shd w:val="clear" w:color="auto" w:fill="auto"/>
            <w:vAlign w:val="center"/>
          </w:tcPr>
          <w:p w14:paraId="0136C192" w14:textId="70AAFD02" w:rsidR="00A37816" w:rsidRPr="005E5B8C" w:rsidRDefault="00A37816" w:rsidP="00A37816">
            <w:pPr>
              <w:spacing w:before="120" w:after="120"/>
              <w:rPr>
                <w:rFonts w:ascii="Arial" w:hAnsi="Arial" w:cs="Arial"/>
                <w:szCs w:val="24"/>
                <w:lang w:eastAsia="en-GB"/>
              </w:rPr>
            </w:pPr>
            <w:r>
              <w:rPr>
                <w:rFonts w:ascii="Arial" w:hAnsi="Arial" w:cs="Arial"/>
              </w:rPr>
              <w:t>Other Commitments</w:t>
            </w:r>
          </w:p>
        </w:tc>
        <w:tc>
          <w:tcPr>
            <w:tcW w:w="1100" w:type="dxa"/>
            <w:shd w:val="clear" w:color="auto" w:fill="auto"/>
            <w:vAlign w:val="center"/>
          </w:tcPr>
          <w:p w14:paraId="2CACAF32" w14:textId="76279096" w:rsidR="00A37816" w:rsidRPr="005E5B8C" w:rsidRDefault="00A37816" w:rsidP="00A37816">
            <w:pPr>
              <w:spacing w:before="120" w:after="120"/>
              <w:jc w:val="right"/>
              <w:rPr>
                <w:rFonts w:ascii="Arial" w:hAnsi="Arial" w:cs="Arial"/>
                <w:szCs w:val="24"/>
                <w:lang w:eastAsia="en-GB"/>
              </w:rPr>
            </w:pPr>
            <w:r>
              <w:rPr>
                <w:rFonts w:ascii="Arial" w:hAnsi="Arial" w:cs="Arial"/>
              </w:rPr>
              <w:t>(0.601)</w:t>
            </w:r>
          </w:p>
        </w:tc>
        <w:tc>
          <w:tcPr>
            <w:tcW w:w="1100" w:type="dxa"/>
            <w:shd w:val="clear" w:color="auto" w:fill="auto"/>
            <w:vAlign w:val="center"/>
          </w:tcPr>
          <w:p w14:paraId="77C9CAA2" w14:textId="265B96D8" w:rsidR="00A37816" w:rsidRPr="005E5B8C" w:rsidRDefault="00A37816" w:rsidP="00A37816">
            <w:pPr>
              <w:spacing w:before="120" w:after="120"/>
              <w:jc w:val="right"/>
              <w:rPr>
                <w:rFonts w:ascii="Arial" w:hAnsi="Arial" w:cs="Arial"/>
                <w:szCs w:val="24"/>
                <w:lang w:eastAsia="en-GB"/>
              </w:rPr>
            </w:pPr>
            <w:r>
              <w:rPr>
                <w:rFonts w:ascii="Arial" w:hAnsi="Arial" w:cs="Arial"/>
              </w:rPr>
              <w:t>0.332</w:t>
            </w:r>
          </w:p>
        </w:tc>
        <w:tc>
          <w:tcPr>
            <w:tcW w:w="1100" w:type="dxa"/>
            <w:shd w:val="clear" w:color="auto" w:fill="auto"/>
            <w:vAlign w:val="center"/>
          </w:tcPr>
          <w:p w14:paraId="136F9A69" w14:textId="5201D9F9" w:rsidR="00A37816" w:rsidRPr="005E5B8C" w:rsidRDefault="00A37816" w:rsidP="00A37816">
            <w:pPr>
              <w:spacing w:before="120" w:after="120"/>
              <w:jc w:val="right"/>
              <w:rPr>
                <w:rFonts w:ascii="Arial" w:hAnsi="Arial" w:cs="Arial"/>
                <w:szCs w:val="24"/>
                <w:lang w:eastAsia="en-GB"/>
              </w:rPr>
            </w:pPr>
            <w:r>
              <w:rPr>
                <w:rFonts w:ascii="Arial" w:hAnsi="Arial" w:cs="Arial"/>
              </w:rPr>
              <w:t>0.015</w:t>
            </w:r>
          </w:p>
        </w:tc>
        <w:tc>
          <w:tcPr>
            <w:tcW w:w="1100" w:type="dxa"/>
            <w:shd w:val="clear" w:color="auto" w:fill="auto"/>
            <w:vAlign w:val="center"/>
          </w:tcPr>
          <w:p w14:paraId="3B835914" w14:textId="1558823E"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38FD312D" w14:textId="4FB47879"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r>
      <w:tr w:rsidR="00A37816" w:rsidRPr="005E5B8C" w14:paraId="05B5C303" w14:textId="77777777" w:rsidTr="00B24DD4">
        <w:trPr>
          <w:trHeight w:val="255"/>
        </w:trPr>
        <w:tc>
          <w:tcPr>
            <w:tcW w:w="3628" w:type="dxa"/>
            <w:shd w:val="clear" w:color="auto" w:fill="auto"/>
            <w:vAlign w:val="center"/>
          </w:tcPr>
          <w:p w14:paraId="1613A498" w14:textId="5E8A7AE1" w:rsidR="00A37816" w:rsidRPr="005E5B8C" w:rsidRDefault="00A37816" w:rsidP="00A37816">
            <w:pPr>
              <w:spacing w:before="120" w:after="120"/>
              <w:rPr>
                <w:rFonts w:ascii="Arial" w:hAnsi="Arial" w:cs="Arial"/>
                <w:szCs w:val="24"/>
                <w:lang w:eastAsia="en-GB"/>
              </w:rPr>
            </w:pPr>
            <w:r>
              <w:rPr>
                <w:rFonts w:ascii="Arial" w:hAnsi="Arial" w:cs="Arial"/>
              </w:rPr>
              <w:t>Revenue Contributions to Capital adjustments</w:t>
            </w:r>
          </w:p>
        </w:tc>
        <w:tc>
          <w:tcPr>
            <w:tcW w:w="1100" w:type="dxa"/>
            <w:shd w:val="clear" w:color="auto" w:fill="auto"/>
            <w:vAlign w:val="center"/>
          </w:tcPr>
          <w:p w14:paraId="0A9E1272" w14:textId="6643DE70"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6D364DDE" w14:textId="64F1DFC3" w:rsidR="00A37816" w:rsidRPr="005E5B8C" w:rsidRDefault="00A37816" w:rsidP="00A37816">
            <w:pPr>
              <w:spacing w:before="120" w:after="120"/>
              <w:jc w:val="right"/>
              <w:rPr>
                <w:rFonts w:ascii="Arial" w:hAnsi="Arial" w:cs="Arial"/>
                <w:szCs w:val="24"/>
                <w:lang w:eastAsia="en-GB"/>
              </w:rPr>
            </w:pPr>
            <w:r>
              <w:rPr>
                <w:rFonts w:ascii="Arial" w:hAnsi="Arial" w:cs="Arial"/>
              </w:rPr>
              <w:t>0.500</w:t>
            </w:r>
          </w:p>
        </w:tc>
        <w:tc>
          <w:tcPr>
            <w:tcW w:w="1100" w:type="dxa"/>
            <w:shd w:val="clear" w:color="auto" w:fill="auto"/>
            <w:vAlign w:val="center"/>
          </w:tcPr>
          <w:p w14:paraId="57562F2A" w14:textId="7004DF15" w:rsidR="00A37816" w:rsidRPr="005E5B8C" w:rsidRDefault="00A37816" w:rsidP="00A37816">
            <w:pPr>
              <w:spacing w:before="120" w:after="120"/>
              <w:jc w:val="right"/>
              <w:rPr>
                <w:rFonts w:ascii="Arial" w:hAnsi="Arial" w:cs="Arial"/>
                <w:szCs w:val="24"/>
                <w:lang w:eastAsia="en-GB"/>
              </w:rPr>
            </w:pPr>
            <w:r>
              <w:rPr>
                <w:rFonts w:ascii="Arial" w:hAnsi="Arial" w:cs="Arial"/>
              </w:rPr>
              <w:t>0.500</w:t>
            </w:r>
          </w:p>
        </w:tc>
        <w:tc>
          <w:tcPr>
            <w:tcW w:w="1100" w:type="dxa"/>
            <w:shd w:val="clear" w:color="auto" w:fill="auto"/>
            <w:vAlign w:val="center"/>
          </w:tcPr>
          <w:p w14:paraId="205C3F4B" w14:textId="419F94E7" w:rsidR="00A37816" w:rsidRPr="005E5B8C" w:rsidRDefault="00A37816" w:rsidP="00A37816">
            <w:pPr>
              <w:spacing w:before="120" w:after="120"/>
              <w:jc w:val="right"/>
              <w:rPr>
                <w:rFonts w:ascii="Arial" w:hAnsi="Arial" w:cs="Arial"/>
                <w:szCs w:val="24"/>
                <w:lang w:eastAsia="en-GB"/>
              </w:rPr>
            </w:pPr>
            <w:r>
              <w:rPr>
                <w:rFonts w:ascii="Arial" w:hAnsi="Arial" w:cs="Arial"/>
              </w:rPr>
              <w:t>0.500</w:t>
            </w:r>
          </w:p>
        </w:tc>
        <w:tc>
          <w:tcPr>
            <w:tcW w:w="1100" w:type="dxa"/>
            <w:shd w:val="clear" w:color="auto" w:fill="auto"/>
            <w:vAlign w:val="center"/>
          </w:tcPr>
          <w:p w14:paraId="0DF4DC58" w14:textId="4B36A0EA"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r>
      <w:tr w:rsidR="00A37816" w:rsidRPr="005E5B8C" w14:paraId="3735A3CB" w14:textId="77777777" w:rsidTr="002C7816">
        <w:trPr>
          <w:trHeight w:val="255"/>
        </w:trPr>
        <w:tc>
          <w:tcPr>
            <w:tcW w:w="3628" w:type="dxa"/>
            <w:shd w:val="clear" w:color="auto" w:fill="auto"/>
            <w:vAlign w:val="center"/>
          </w:tcPr>
          <w:p w14:paraId="27BD0D78" w14:textId="31F43E64" w:rsidR="00A37816" w:rsidRPr="005E5B8C" w:rsidRDefault="00A37816" w:rsidP="00A37816">
            <w:pPr>
              <w:spacing w:before="120" w:after="120"/>
              <w:rPr>
                <w:rFonts w:ascii="Arial" w:hAnsi="Arial" w:cs="Arial"/>
                <w:szCs w:val="24"/>
                <w:lang w:eastAsia="en-GB"/>
              </w:rPr>
            </w:pPr>
            <w:r>
              <w:rPr>
                <w:rFonts w:ascii="Arial" w:hAnsi="Arial" w:cs="Arial"/>
              </w:rPr>
              <w:t>Capital Financing Costs</w:t>
            </w:r>
          </w:p>
        </w:tc>
        <w:tc>
          <w:tcPr>
            <w:tcW w:w="1100" w:type="dxa"/>
            <w:shd w:val="clear" w:color="auto" w:fill="auto"/>
            <w:vAlign w:val="center"/>
          </w:tcPr>
          <w:p w14:paraId="1ABA7004" w14:textId="4B83D65F"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7D67FE80" w14:textId="43518B62" w:rsidR="00A37816" w:rsidRPr="005E5B8C" w:rsidRDefault="00A37816" w:rsidP="00A37816">
            <w:pPr>
              <w:spacing w:before="120" w:after="120"/>
              <w:jc w:val="right"/>
              <w:rPr>
                <w:rFonts w:ascii="Arial" w:hAnsi="Arial" w:cs="Arial"/>
                <w:szCs w:val="24"/>
                <w:lang w:eastAsia="en-GB"/>
              </w:rPr>
            </w:pPr>
            <w:r>
              <w:rPr>
                <w:rFonts w:ascii="Arial" w:hAnsi="Arial" w:cs="Arial"/>
              </w:rPr>
              <w:t>0.114</w:t>
            </w:r>
          </w:p>
        </w:tc>
        <w:tc>
          <w:tcPr>
            <w:tcW w:w="1100" w:type="dxa"/>
            <w:shd w:val="clear" w:color="auto" w:fill="auto"/>
            <w:vAlign w:val="center"/>
          </w:tcPr>
          <w:p w14:paraId="199B656B" w14:textId="4F2D9C4F" w:rsidR="00A37816" w:rsidRPr="005E5B8C" w:rsidRDefault="00A37816" w:rsidP="00A37816">
            <w:pPr>
              <w:spacing w:before="120" w:after="120"/>
              <w:jc w:val="right"/>
              <w:rPr>
                <w:rFonts w:ascii="Arial" w:hAnsi="Arial" w:cs="Arial"/>
                <w:szCs w:val="24"/>
                <w:lang w:eastAsia="en-GB"/>
              </w:rPr>
            </w:pPr>
            <w:r>
              <w:rPr>
                <w:rFonts w:ascii="Arial" w:hAnsi="Arial" w:cs="Arial"/>
              </w:rPr>
              <w:t>1.422</w:t>
            </w:r>
          </w:p>
        </w:tc>
        <w:tc>
          <w:tcPr>
            <w:tcW w:w="1100" w:type="dxa"/>
            <w:shd w:val="clear" w:color="auto" w:fill="auto"/>
            <w:vAlign w:val="center"/>
          </w:tcPr>
          <w:p w14:paraId="798E8984" w14:textId="5657C146" w:rsidR="00A37816" w:rsidRPr="005E5B8C" w:rsidRDefault="00A37816" w:rsidP="00A37816">
            <w:pPr>
              <w:spacing w:before="120" w:after="120"/>
              <w:jc w:val="right"/>
              <w:rPr>
                <w:rFonts w:ascii="Arial" w:hAnsi="Arial" w:cs="Arial"/>
                <w:szCs w:val="24"/>
                <w:lang w:eastAsia="en-GB"/>
              </w:rPr>
            </w:pPr>
            <w:r>
              <w:rPr>
                <w:rFonts w:ascii="Arial" w:hAnsi="Arial" w:cs="Arial"/>
              </w:rPr>
              <w:t>1.343</w:t>
            </w:r>
          </w:p>
        </w:tc>
        <w:tc>
          <w:tcPr>
            <w:tcW w:w="1100" w:type="dxa"/>
            <w:shd w:val="clear" w:color="auto" w:fill="auto"/>
            <w:vAlign w:val="center"/>
          </w:tcPr>
          <w:p w14:paraId="6C3E9060" w14:textId="7BD6D8A2" w:rsidR="00A37816" w:rsidRPr="005E5B8C" w:rsidRDefault="00A37816" w:rsidP="00A37816">
            <w:pPr>
              <w:spacing w:before="120" w:after="120"/>
              <w:jc w:val="right"/>
              <w:rPr>
                <w:rFonts w:ascii="Arial" w:hAnsi="Arial" w:cs="Arial"/>
                <w:szCs w:val="24"/>
                <w:lang w:eastAsia="en-GB"/>
              </w:rPr>
            </w:pPr>
            <w:r>
              <w:rPr>
                <w:rFonts w:ascii="Arial" w:hAnsi="Arial" w:cs="Arial"/>
              </w:rPr>
              <w:t>0.682</w:t>
            </w:r>
          </w:p>
        </w:tc>
      </w:tr>
      <w:tr w:rsidR="00A37816" w:rsidRPr="005E5B8C" w14:paraId="5F7E4E17" w14:textId="77777777" w:rsidTr="002C7816">
        <w:trPr>
          <w:trHeight w:val="255"/>
        </w:trPr>
        <w:tc>
          <w:tcPr>
            <w:tcW w:w="3628" w:type="dxa"/>
            <w:shd w:val="clear" w:color="auto" w:fill="auto"/>
            <w:vAlign w:val="center"/>
          </w:tcPr>
          <w:p w14:paraId="1FD97266" w14:textId="5DF84369" w:rsidR="00A37816" w:rsidRPr="005E5B8C" w:rsidRDefault="00A37816" w:rsidP="00A37816">
            <w:pPr>
              <w:spacing w:before="120" w:after="120"/>
              <w:rPr>
                <w:rFonts w:ascii="Arial" w:hAnsi="Arial" w:cs="Arial"/>
                <w:szCs w:val="24"/>
                <w:lang w:eastAsia="en-GB"/>
              </w:rPr>
            </w:pPr>
            <w:r>
              <w:rPr>
                <w:rFonts w:ascii="Arial" w:hAnsi="Arial" w:cs="Arial"/>
              </w:rPr>
              <w:t>Other growth items</w:t>
            </w:r>
          </w:p>
        </w:tc>
        <w:tc>
          <w:tcPr>
            <w:tcW w:w="1100" w:type="dxa"/>
            <w:shd w:val="clear" w:color="auto" w:fill="auto"/>
            <w:vAlign w:val="center"/>
          </w:tcPr>
          <w:p w14:paraId="740669C0" w14:textId="0093561D" w:rsidR="00A37816" w:rsidRPr="005E5B8C" w:rsidRDefault="00A37816" w:rsidP="00A37816">
            <w:pPr>
              <w:spacing w:before="120" w:after="120"/>
              <w:jc w:val="right"/>
              <w:rPr>
                <w:rFonts w:ascii="Arial" w:hAnsi="Arial" w:cs="Arial"/>
                <w:szCs w:val="24"/>
                <w:lang w:eastAsia="en-GB"/>
              </w:rPr>
            </w:pPr>
            <w:r>
              <w:rPr>
                <w:rFonts w:ascii="Arial" w:hAnsi="Arial" w:cs="Arial"/>
              </w:rPr>
              <w:t>0.637</w:t>
            </w:r>
          </w:p>
        </w:tc>
        <w:tc>
          <w:tcPr>
            <w:tcW w:w="1100" w:type="dxa"/>
            <w:shd w:val="clear" w:color="auto" w:fill="auto"/>
            <w:vAlign w:val="center"/>
          </w:tcPr>
          <w:p w14:paraId="3513DB85" w14:textId="5C7823A8" w:rsidR="00A37816" w:rsidRPr="005E5B8C" w:rsidRDefault="00A37816" w:rsidP="00A37816">
            <w:pPr>
              <w:spacing w:before="120" w:after="120"/>
              <w:jc w:val="right"/>
              <w:rPr>
                <w:rFonts w:ascii="Arial" w:hAnsi="Arial" w:cs="Arial"/>
                <w:szCs w:val="24"/>
                <w:lang w:eastAsia="en-GB"/>
              </w:rPr>
            </w:pPr>
            <w:r>
              <w:rPr>
                <w:rFonts w:ascii="Arial" w:hAnsi="Arial" w:cs="Arial"/>
              </w:rPr>
              <w:t>0.250</w:t>
            </w:r>
          </w:p>
        </w:tc>
        <w:tc>
          <w:tcPr>
            <w:tcW w:w="1100" w:type="dxa"/>
            <w:shd w:val="clear" w:color="auto" w:fill="auto"/>
            <w:vAlign w:val="center"/>
          </w:tcPr>
          <w:p w14:paraId="55D93F07" w14:textId="0A21C6B7"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0A53D4DA" w14:textId="0B3F3F9C"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c>
          <w:tcPr>
            <w:tcW w:w="1100" w:type="dxa"/>
            <w:shd w:val="clear" w:color="auto" w:fill="auto"/>
            <w:vAlign w:val="center"/>
          </w:tcPr>
          <w:p w14:paraId="4D19527C" w14:textId="5ADDECA1" w:rsidR="00A37816" w:rsidRPr="005E5B8C" w:rsidRDefault="00A37816" w:rsidP="00A37816">
            <w:pPr>
              <w:spacing w:before="120" w:after="120"/>
              <w:jc w:val="right"/>
              <w:rPr>
                <w:rFonts w:ascii="Arial" w:hAnsi="Arial" w:cs="Arial"/>
                <w:szCs w:val="24"/>
                <w:lang w:eastAsia="en-GB"/>
              </w:rPr>
            </w:pPr>
            <w:r>
              <w:rPr>
                <w:rFonts w:ascii="Arial" w:hAnsi="Arial" w:cs="Arial"/>
              </w:rPr>
              <w:t>0.000</w:t>
            </w:r>
          </w:p>
        </w:tc>
      </w:tr>
      <w:tr w:rsidR="00A37816" w:rsidRPr="005E5B8C" w14:paraId="4639E20C" w14:textId="77777777" w:rsidTr="002C7816">
        <w:trPr>
          <w:trHeight w:val="255"/>
        </w:trPr>
        <w:tc>
          <w:tcPr>
            <w:tcW w:w="3628" w:type="dxa"/>
            <w:shd w:val="clear" w:color="auto" w:fill="auto"/>
            <w:vAlign w:val="center"/>
          </w:tcPr>
          <w:p w14:paraId="0B86A98A" w14:textId="42B175BA" w:rsidR="00A37816" w:rsidRPr="005E5B8C" w:rsidRDefault="00A37816" w:rsidP="00A37816">
            <w:pPr>
              <w:spacing w:before="120" w:after="120"/>
              <w:rPr>
                <w:rFonts w:ascii="Arial" w:hAnsi="Arial" w:cs="Arial"/>
                <w:szCs w:val="24"/>
                <w:lang w:eastAsia="en-GB"/>
              </w:rPr>
            </w:pPr>
            <w:r>
              <w:rPr>
                <w:rFonts w:ascii="Arial" w:hAnsi="Arial" w:cs="Arial"/>
              </w:rPr>
              <w:t xml:space="preserve">One off </w:t>
            </w:r>
            <w:proofErr w:type="gramStart"/>
            <w:r>
              <w:rPr>
                <w:rFonts w:ascii="Arial" w:hAnsi="Arial" w:cs="Arial"/>
              </w:rPr>
              <w:t>pressures</w:t>
            </w:r>
            <w:proofErr w:type="gramEnd"/>
          </w:p>
        </w:tc>
        <w:tc>
          <w:tcPr>
            <w:tcW w:w="1100" w:type="dxa"/>
            <w:shd w:val="clear" w:color="auto" w:fill="auto"/>
            <w:vAlign w:val="center"/>
          </w:tcPr>
          <w:p w14:paraId="4822DD29" w14:textId="390FFB53" w:rsidR="00A37816" w:rsidRPr="005E5B8C" w:rsidRDefault="00A37816" w:rsidP="00A37816">
            <w:pPr>
              <w:spacing w:before="120" w:after="120"/>
              <w:jc w:val="right"/>
              <w:rPr>
                <w:rFonts w:ascii="Arial" w:hAnsi="Arial" w:cs="Arial"/>
                <w:szCs w:val="24"/>
                <w:lang w:eastAsia="en-GB"/>
              </w:rPr>
            </w:pPr>
            <w:r>
              <w:rPr>
                <w:rFonts w:ascii="Arial" w:hAnsi="Arial" w:cs="Arial"/>
              </w:rPr>
              <w:t>0.144</w:t>
            </w:r>
          </w:p>
        </w:tc>
        <w:tc>
          <w:tcPr>
            <w:tcW w:w="1100" w:type="dxa"/>
            <w:shd w:val="clear" w:color="auto" w:fill="auto"/>
            <w:vAlign w:val="center"/>
          </w:tcPr>
          <w:p w14:paraId="7C8B596A" w14:textId="12DFBC47" w:rsidR="00A37816" w:rsidRPr="005E5B8C" w:rsidRDefault="00A37816" w:rsidP="00A37816">
            <w:pPr>
              <w:spacing w:before="120" w:after="120"/>
              <w:jc w:val="right"/>
              <w:rPr>
                <w:rFonts w:ascii="Arial" w:hAnsi="Arial" w:cs="Arial"/>
                <w:szCs w:val="24"/>
                <w:lang w:eastAsia="en-GB"/>
              </w:rPr>
            </w:pPr>
            <w:r>
              <w:rPr>
                <w:rFonts w:ascii="Arial" w:hAnsi="Arial" w:cs="Arial"/>
              </w:rPr>
              <w:t>(0.410)</w:t>
            </w:r>
          </w:p>
        </w:tc>
        <w:tc>
          <w:tcPr>
            <w:tcW w:w="1100" w:type="dxa"/>
            <w:shd w:val="clear" w:color="auto" w:fill="auto"/>
            <w:vAlign w:val="center"/>
          </w:tcPr>
          <w:p w14:paraId="08F22A74" w14:textId="2C7F64EA" w:rsidR="00A37816" w:rsidRPr="005E5B8C" w:rsidRDefault="00A37816" w:rsidP="00A37816">
            <w:pPr>
              <w:spacing w:before="120" w:after="120"/>
              <w:jc w:val="right"/>
              <w:rPr>
                <w:rFonts w:ascii="Arial" w:hAnsi="Arial" w:cs="Arial"/>
                <w:szCs w:val="24"/>
                <w:lang w:eastAsia="en-GB"/>
              </w:rPr>
            </w:pPr>
            <w:r>
              <w:rPr>
                <w:rFonts w:ascii="Arial" w:hAnsi="Arial" w:cs="Arial"/>
              </w:rPr>
              <w:t>0.022</w:t>
            </w:r>
          </w:p>
        </w:tc>
        <w:tc>
          <w:tcPr>
            <w:tcW w:w="1100" w:type="dxa"/>
            <w:shd w:val="clear" w:color="auto" w:fill="auto"/>
            <w:vAlign w:val="center"/>
          </w:tcPr>
          <w:p w14:paraId="4D5349D4" w14:textId="2D0ECBD7" w:rsidR="00A37816" w:rsidRPr="005E5B8C" w:rsidRDefault="00A37816" w:rsidP="00A37816">
            <w:pPr>
              <w:spacing w:before="120" w:after="120"/>
              <w:jc w:val="right"/>
              <w:rPr>
                <w:rFonts w:ascii="Arial" w:hAnsi="Arial" w:cs="Arial"/>
                <w:szCs w:val="24"/>
                <w:lang w:eastAsia="en-GB"/>
              </w:rPr>
            </w:pPr>
            <w:r>
              <w:rPr>
                <w:rFonts w:ascii="Arial" w:hAnsi="Arial" w:cs="Arial"/>
              </w:rPr>
              <w:t>(0.236)</w:t>
            </w:r>
          </w:p>
        </w:tc>
        <w:tc>
          <w:tcPr>
            <w:tcW w:w="1100" w:type="dxa"/>
            <w:shd w:val="clear" w:color="auto" w:fill="auto"/>
            <w:vAlign w:val="center"/>
          </w:tcPr>
          <w:p w14:paraId="0F4431DF" w14:textId="689353A0" w:rsidR="00A37816" w:rsidRPr="005E5B8C" w:rsidRDefault="00A37816" w:rsidP="00A37816">
            <w:pPr>
              <w:spacing w:before="120" w:after="120"/>
              <w:jc w:val="right"/>
              <w:rPr>
                <w:rFonts w:ascii="Arial" w:hAnsi="Arial" w:cs="Arial"/>
                <w:szCs w:val="24"/>
                <w:lang w:eastAsia="en-GB"/>
              </w:rPr>
            </w:pPr>
            <w:r>
              <w:rPr>
                <w:rFonts w:ascii="Arial" w:hAnsi="Arial" w:cs="Arial"/>
              </w:rPr>
              <w:t>0.559</w:t>
            </w:r>
          </w:p>
        </w:tc>
      </w:tr>
      <w:tr w:rsidR="00A37816" w:rsidRPr="005E5B8C" w14:paraId="5C9F59E7" w14:textId="77777777" w:rsidTr="002C7816">
        <w:trPr>
          <w:trHeight w:val="255"/>
        </w:trPr>
        <w:tc>
          <w:tcPr>
            <w:tcW w:w="3628" w:type="dxa"/>
            <w:shd w:val="clear" w:color="auto" w:fill="auto"/>
            <w:vAlign w:val="center"/>
          </w:tcPr>
          <w:p w14:paraId="7AE53BA8" w14:textId="20F31D5E" w:rsidR="00A37816" w:rsidRPr="005E5B8C" w:rsidRDefault="00A37816" w:rsidP="00A37816">
            <w:pPr>
              <w:spacing w:before="120" w:after="120"/>
              <w:rPr>
                <w:rFonts w:ascii="Arial" w:hAnsi="Arial" w:cs="Arial"/>
                <w:szCs w:val="24"/>
                <w:lang w:eastAsia="en-GB"/>
              </w:rPr>
            </w:pPr>
            <w:r>
              <w:rPr>
                <w:rFonts w:ascii="Arial" w:hAnsi="Arial" w:cs="Arial"/>
                <w:lang w:eastAsia="en-GB"/>
              </w:rPr>
              <w:t>Savings</w:t>
            </w:r>
          </w:p>
        </w:tc>
        <w:tc>
          <w:tcPr>
            <w:tcW w:w="1100" w:type="dxa"/>
            <w:shd w:val="clear" w:color="auto" w:fill="auto"/>
            <w:vAlign w:val="center"/>
          </w:tcPr>
          <w:p w14:paraId="472EA48D" w14:textId="4A5D73E3" w:rsidR="00A37816" w:rsidRPr="005E5B8C" w:rsidRDefault="00A37816" w:rsidP="00A37816">
            <w:pPr>
              <w:spacing w:before="120" w:after="120"/>
              <w:jc w:val="right"/>
              <w:rPr>
                <w:rFonts w:ascii="Arial" w:hAnsi="Arial" w:cs="Arial"/>
                <w:szCs w:val="24"/>
                <w:lang w:eastAsia="en-GB"/>
              </w:rPr>
            </w:pPr>
            <w:r>
              <w:rPr>
                <w:rFonts w:ascii="Arial" w:hAnsi="Arial" w:cs="Arial"/>
              </w:rPr>
              <w:t>(0.500)</w:t>
            </w:r>
          </w:p>
        </w:tc>
        <w:tc>
          <w:tcPr>
            <w:tcW w:w="1100" w:type="dxa"/>
            <w:shd w:val="clear" w:color="auto" w:fill="auto"/>
            <w:vAlign w:val="center"/>
          </w:tcPr>
          <w:p w14:paraId="636B8D43" w14:textId="1C45AAF0" w:rsidR="00A37816" w:rsidRPr="005E5B8C" w:rsidRDefault="00A37816" w:rsidP="00A37816">
            <w:pPr>
              <w:spacing w:before="120" w:after="120"/>
              <w:jc w:val="right"/>
              <w:rPr>
                <w:rFonts w:ascii="Arial" w:hAnsi="Arial" w:cs="Arial"/>
                <w:szCs w:val="24"/>
                <w:lang w:eastAsia="en-GB"/>
              </w:rPr>
            </w:pPr>
            <w:r>
              <w:rPr>
                <w:rFonts w:ascii="Arial" w:hAnsi="Arial" w:cs="Arial"/>
              </w:rPr>
              <w:t>(1.000)</w:t>
            </w:r>
          </w:p>
        </w:tc>
        <w:tc>
          <w:tcPr>
            <w:tcW w:w="1100" w:type="dxa"/>
            <w:shd w:val="clear" w:color="auto" w:fill="auto"/>
            <w:vAlign w:val="center"/>
          </w:tcPr>
          <w:p w14:paraId="30172D97" w14:textId="2B7B507C" w:rsidR="00A37816" w:rsidRPr="005E5B8C" w:rsidRDefault="00A37816" w:rsidP="00A37816">
            <w:pPr>
              <w:spacing w:before="120" w:after="120"/>
              <w:jc w:val="right"/>
              <w:rPr>
                <w:rFonts w:ascii="Arial" w:hAnsi="Arial" w:cs="Arial"/>
                <w:szCs w:val="24"/>
                <w:lang w:eastAsia="en-GB"/>
              </w:rPr>
            </w:pPr>
            <w:r>
              <w:rPr>
                <w:rFonts w:ascii="Arial" w:hAnsi="Arial" w:cs="Arial"/>
              </w:rPr>
              <w:t>(1.500)</w:t>
            </w:r>
          </w:p>
        </w:tc>
        <w:tc>
          <w:tcPr>
            <w:tcW w:w="1100" w:type="dxa"/>
            <w:shd w:val="clear" w:color="auto" w:fill="auto"/>
            <w:vAlign w:val="center"/>
          </w:tcPr>
          <w:p w14:paraId="043CC310" w14:textId="7AFB3CB9" w:rsidR="00A37816" w:rsidRPr="005E5B8C" w:rsidRDefault="00A37816" w:rsidP="00A37816">
            <w:pPr>
              <w:spacing w:before="120" w:after="120"/>
              <w:jc w:val="right"/>
              <w:rPr>
                <w:rFonts w:ascii="Arial" w:hAnsi="Arial" w:cs="Arial"/>
                <w:szCs w:val="24"/>
                <w:lang w:eastAsia="en-GB"/>
              </w:rPr>
            </w:pPr>
            <w:r>
              <w:rPr>
                <w:rFonts w:ascii="Arial" w:hAnsi="Arial" w:cs="Arial"/>
              </w:rPr>
              <w:t>(1.500)</w:t>
            </w:r>
          </w:p>
        </w:tc>
        <w:tc>
          <w:tcPr>
            <w:tcW w:w="1100" w:type="dxa"/>
            <w:shd w:val="clear" w:color="auto" w:fill="auto"/>
            <w:vAlign w:val="center"/>
          </w:tcPr>
          <w:p w14:paraId="2A14020C" w14:textId="53421B03" w:rsidR="00A37816" w:rsidRPr="005E5B8C" w:rsidRDefault="00A37816" w:rsidP="00A37816">
            <w:pPr>
              <w:spacing w:before="120" w:after="120"/>
              <w:jc w:val="right"/>
              <w:rPr>
                <w:rFonts w:ascii="Arial" w:hAnsi="Arial" w:cs="Arial"/>
                <w:szCs w:val="24"/>
                <w:lang w:eastAsia="en-GB"/>
              </w:rPr>
            </w:pPr>
            <w:r>
              <w:rPr>
                <w:rFonts w:ascii="Arial" w:hAnsi="Arial" w:cs="Arial"/>
              </w:rPr>
              <w:t>(0.500)</w:t>
            </w:r>
          </w:p>
        </w:tc>
      </w:tr>
      <w:tr w:rsidR="00A37816" w:rsidRPr="00A37816" w14:paraId="450E110C" w14:textId="77777777" w:rsidTr="002C7816">
        <w:trPr>
          <w:trHeight w:val="255"/>
        </w:trPr>
        <w:tc>
          <w:tcPr>
            <w:tcW w:w="3628" w:type="dxa"/>
            <w:shd w:val="clear" w:color="auto" w:fill="auto"/>
            <w:vAlign w:val="center"/>
          </w:tcPr>
          <w:p w14:paraId="6848E10F" w14:textId="2CAA7F39" w:rsidR="00A37816" w:rsidRPr="00A37816" w:rsidRDefault="00A37816" w:rsidP="00A37816">
            <w:pPr>
              <w:spacing w:before="120" w:after="120"/>
              <w:rPr>
                <w:rFonts w:ascii="Arial" w:hAnsi="Arial" w:cs="Arial"/>
                <w:b/>
                <w:bCs/>
                <w:szCs w:val="24"/>
                <w:lang w:eastAsia="en-GB"/>
              </w:rPr>
            </w:pPr>
          </w:p>
        </w:tc>
        <w:tc>
          <w:tcPr>
            <w:tcW w:w="1100" w:type="dxa"/>
            <w:shd w:val="clear" w:color="auto" w:fill="auto"/>
            <w:vAlign w:val="center"/>
          </w:tcPr>
          <w:p w14:paraId="4EEEFD1A" w14:textId="39D5AEA0" w:rsidR="00A37816" w:rsidRPr="00A37816" w:rsidRDefault="00A37816" w:rsidP="00A37816">
            <w:pPr>
              <w:spacing w:before="120" w:after="120"/>
              <w:jc w:val="right"/>
              <w:rPr>
                <w:rFonts w:ascii="Arial" w:hAnsi="Arial" w:cs="Arial"/>
                <w:b/>
                <w:bCs/>
                <w:szCs w:val="24"/>
                <w:lang w:eastAsia="en-GB"/>
              </w:rPr>
            </w:pPr>
            <w:r w:rsidRPr="00A37816">
              <w:rPr>
                <w:rFonts w:ascii="Arial" w:hAnsi="Arial" w:cs="Arial"/>
                <w:b/>
                <w:bCs/>
              </w:rPr>
              <w:t>77.511</w:t>
            </w:r>
          </w:p>
        </w:tc>
        <w:tc>
          <w:tcPr>
            <w:tcW w:w="1100" w:type="dxa"/>
            <w:shd w:val="clear" w:color="auto" w:fill="auto"/>
            <w:vAlign w:val="center"/>
          </w:tcPr>
          <w:p w14:paraId="4170A390" w14:textId="6A7C41C6" w:rsidR="00A37816" w:rsidRPr="00A37816" w:rsidRDefault="00A37816" w:rsidP="00A37816">
            <w:pPr>
              <w:spacing w:before="120" w:after="120"/>
              <w:jc w:val="right"/>
              <w:rPr>
                <w:rFonts w:ascii="Arial" w:hAnsi="Arial" w:cs="Arial"/>
                <w:b/>
                <w:bCs/>
                <w:szCs w:val="24"/>
                <w:lang w:eastAsia="en-GB"/>
              </w:rPr>
            </w:pPr>
            <w:r w:rsidRPr="00A37816">
              <w:rPr>
                <w:rFonts w:ascii="Arial" w:hAnsi="Arial" w:cs="Arial"/>
                <w:b/>
                <w:bCs/>
              </w:rPr>
              <w:t>79.807</w:t>
            </w:r>
          </w:p>
        </w:tc>
        <w:tc>
          <w:tcPr>
            <w:tcW w:w="1100" w:type="dxa"/>
            <w:shd w:val="clear" w:color="auto" w:fill="auto"/>
            <w:vAlign w:val="center"/>
          </w:tcPr>
          <w:p w14:paraId="193FB257" w14:textId="208A89DE" w:rsidR="00A37816" w:rsidRPr="00A37816" w:rsidRDefault="00A37816" w:rsidP="00A37816">
            <w:pPr>
              <w:spacing w:before="120" w:after="120"/>
              <w:jc w:val="right"/>
              <w:rPr>
                <w:rFonts w:ascii="Arial" w:hAnsi="Arial" w:cs="Arial"/>
                <w:b/>
                <w:bCs/>
                <w:szCs w:val="24"/>
                <w:lang w:eastAsia="en-GB"/>
              </w:rPr>
            </w:pPr>
            <w:r w:rsidRPr="00A37816">
              <w:rPr>
                <w:rFonts w:ascii="Arial" w:hAnsi="Arial" w:cs="Arial"/>
                <w:b/>
                <w:bCs/>
              </w:rPr>
              <w:t>82.120</w:t>
            </w:r>
          </w:p>
        </w:tc>
        <w:tc>
          <w:tcPr>
            <w:tcW w:w="1100" w:type="dxa"/>
            <w:shd w:val="clear" w:color="auto" w:fill="auto"/>
            <w:vAlign w:val="center"/>
          </w:tcPr>
          <w:p w14:paraId="3BA98414" w14:textId="5D78AD01" w:rsidR="00A37816" w:rsidRPr="00A37816" w:rsidRDefault="00A37816" w:rsidP="00A37816">
            <w:pPr>
              <w:spacing w:before="120" w:after="120"/>
              <w:jc w:val="right"/>
              <w:rPr>
                <w:rFonts w:ascii="Arial" w:hAnsi="Arial" w:cs="Arial"/>
                <w:b/>
                <w:bCs/>
                <w:szCs w:val="24"/>
                <w:lang w:eastAsia="en-GB"/>
              </w:rPr>
            </w:pPr>
            <w:r w:rsidRPr="00A37816">
              <w:rPr>
                <w:rFonts w:ascii="Arial" w:hAnsi="Arial" w:cs="Arial"/>
                <w:b/>
                <w:bCs/>
              </w:rPr>
              <w:t>84.319</w:t>
            </w:r>
          </w:p>
        </w:tc>
        <w:tc>
          <w:tcPr>
            <w:tcW w:w="1100" w:type="dxa"/>
            <w:shd w:val="clear" w:color="auto" w:fill="auto"/>
            <w:vAlign w:val="center"/>
          </w:tcPr>
          <w:p w14:paraId="713CD040" w14:textId="6D9696EB" w:rsidR="00A37816" w:rsidRPr="00A37816" w:rsidRDefault="00A37816" w:rsidP="00A37816">
            <w:pPr>
              <w:spacing w:before="120" w:after="120"/>
              <w:jc w:val="right"/>
              <w:rPr>
                <w:rFonts w:ascii="Arial" w:hAnsi="Arial" w:cs="Arial"/>
                <w:b/>
                <w:bCs/>
                <w:szCs w:val="24"/>
                <w:lang w:eastAsia="en-GB"/>
              </w:rPr>
            </w:pPr>
            <w:r w:rsidRPr="00A37816">
              <w:rPr>
                <w:rFonts w:ascii="Arial" w:hAnsi="Arial" w:cs="Arial"/>
                <w:b/>
                <w:bCs/>
              </w:rPr>
              <w:t>86.580</w:t>
            </w:r>
          </w:p>
        </w:tc>
      </w:tr>
    </w:tbl>
    <w:p w14:paraId="397BD621" w14:textId="77777777" w:rsidR="005E5B8C" w:rsidRDefault="005E5B8C">
      <w:pPr>
        <w:spacing w:after="160" w:line="259" w:lineRule="auto"/>
        <w:rPr>
          <w:rFonts w:ascii="Arial" w:hAnsi="Arial"/>
          <w:bCs/>
          <w:i/>
          <w:iCs/>
          <w:sz w:val="28"/>
          <w:szCs w:val="28"/>
        </w:rPr>
      </w:pPr>
    </w:p>
    <w:p w14:paraId="46A3BCCF" w14:textId="77777777" w:rsidR="005266B8" w:rsidRDefault="005266B8" w:rsidP="00FC3424">
      <w:pPr>
        <w:spacing w:before="240" w:after="120"/>
        <w:jc w:val="right"/>
        <w:rPr>
          <w:rFonts w:ascii="Arial" w:hAnsi="Arial"/>
          <w:b/>
          <w:sz w:val="28"/>
          <w:szCs w:val="28"/>
        </w:rPr>
      </w:pPr>
    </w:p>
    <w:p w14:paraId="172E4A6E" w14:textId="77777777" w:rsidR="005266B8" w:rsidRDefault="005266B8" w:rsidP="00FC3424">
      <w:pPr>
        <w:spacing w:before="240" w:after="120"/>
        <w:jc w:val="right"/>
        <w:rPr>
          <w:rFonts w:ascii="Arial" w:hAnsi="Arial"/>
          <w:b/>
          <w:sz w:val="28"/>
          <w:szCs w:val="28"/>
        </w:rPr>
      </w:pPr>
    </w:p>
    <w:p w14:paraId="639F99D6" w14:textId="77777777" w:rsidR="005266B8" w:rsidRDefault="005266B8" w:rsidP="00FC3424">
      <w:pPr>
        <w:spacing w:before="240" w:after="120"/>
        <w:jc w:val="right"/>
        <w:rPr>
          <w:rFonts w:ascii="Arial" w:hAnsi="Arial"/>
          <w:b/>
          <w:sz w:val="28"/>
          <w:szCs w:val="28"/>
        </w:rPr>
      </w:pPr>
    </w:p>
    <w:p w14:paraId="599D5A29" w14:textId="77777777" w:rsidR="005266B8" w:rsidRDefault="005266B8" w:rsidP="00FC3424">
      <w:pPr>
        <w:spacing w:before="240" w:after="120"/>
        <w:jc w:val="right"/>
        <w:rPr>
          <w:rFonts w:ascii="Arial" w:hAnsi="Arial"/>
          <w:b/>
          <w:sz w:val="28"/>
          <w:szCs w:val="28"/>
        </w:rPr>
      </w:pPr>
    </w:p>
    <w:p w14:paraId="729858C2" w14:textId="77777777" w:rsidR="005266B8" w:rsidRDefault="005266B8" w:rsidP="00FC3424">
      <w:pPr>
        <w:spacing w:before="240" w:after="120"/>
        <w:jc w:val="right"/>
        <w:rPr>
          <w:rFonts w:ascii="Arial" w:hAnsi="Arial"/>
          <w:b/>
          <w:sz w:val="28"/>
          <w:szCs w:val="28"/>
        </w:rPr>
      </w:pPr>
    </w:p>
    <w:p w14:paraId="4F7DC02E" w14:textId="0498BD07" w:rsidR="00C17D82" w:rsidRPr="000D1445" w:rsidRDefault="00C17D82" w:rsidP="00FC3424">
      <w:pPr>
        <w:spacing w:before="240" w:after="120"/>
        <w:jc w:val="right"/>
        <w:rPr>
          <w:rFonts w:ascii="Arial" w:hAnsi="Arial"/>
          <w:b/>
          <w:sz w:val="28"/>
          <w:szCs w:val="28"/>
        </w:rPr>
      </w:pPr>
      <w:r w:rsidRPr="000D1445">
        <w:rPr>
          <w:rFonts w:ascii="Arial" w:hAnsi="Arial"/>
          <w:b/>
          <w:sz w:val="28"/>
          <w:szCs w:val="28"/>
        </w:rPr>
        <w:lastRenderedPageBreak/>
        <w:t xml:space="preserve">Appendix </w:t>
      </w:r>
      <w:r>
        <w:rPr>
          <w:rFonts w:ascii="Arial" w:hAnsi="Arial"/>
          <w:b/>
          <w:sz w:val="28"/>
          <w:szCs w:val="28"/>
        </w:rPr>
        <w:t>B</w:t>
      </w:r>
    </w:p>
    <w:p w14:paraId="26428BE4" w14:textId="77777777" w:rsidR="00C17D82" w:rsidRPr="000D1445" w:rsidRDefault="00C17D82" w:rsidP="00FC3424">
      <w:pPr>
        <w:spacing w:before="240" w:after="120"/>
        <w:jc w:val="both"/>
        <w:rPr>
          <w:rFonts w:ascii="Arial" w:hAnsi="Arial"/>
          <w:b/>
          <w:sz w:val="28"/>
          <w:szCs w:val="28"/>
        </w:rPr>
      </w:pPr>
      <w:r>
        <w:rPr>
          <w:rFonts w:ascii="Arial" w:hAnsi="Arial"/>
          <w:b/>
          <w:sz w:val="28"/>
          <w:szCs w:val="28"/>
        </w:rPr>
        <w:t>Capital</w:t>
      </w:r>
      <w:r w:rsidRPr="000D1445">
        <w:rPr>
          <w:rFonts w:ascii="Arial" w:hAnsi="Arial"/>
          <w:b/>
          <w:sz w:val="28"/>
          <w:szCs w:val="28"/>
        </w:rPr>
        <w:t xml:space="preserve"> Strategy</w:t>
      </w:r>
    </w:p>
    <w:p w14:paraId="61FD61DF" w14:textId="77777777" w:rsidR="00C17D82" w:rsidRPr="00C318FF" w:rsidRDefault="00C17D82" w:rsidP="00FC3424">
      <w:pPr>
        <w:spacing w:before="240" w:after="120"/>
        <w:jc w:val="both"/>
        <w:rPr>
          <w:rFonts w:ascii="Arial" w:hAnsi="Arial"/>
          <w:b/>
        </w:rPr>
      </w:pPr>
      <w:r>
        <w:rPr>
          <w:rFonts w:ascii="Arial" w:hAnsi="Arial"/>
          <w:b/>
        </w:rPr>
        <w:t>Introduction</w:t>
      </w:r>
    </w:p>
    <w:p w14:paraId="50A0A31E" w14:textId="77777777" w:rsidR="00C17D82" w:rsidRDefault="00C17D82" w:rsidP="00E667AF">
      <w:pPr>
        <w:pStyle w:val="Default"/>
        <w:numPr>
          <w:ilvl w:val="0"/>
          <w:numId w:val="2"/>
        </w:numPr>
        <w:spacing w:before="120" w:after="240"/>
        <w:ind w:left="635" w:hanging="635"/>
      </w:pPr>
      <w:r w:rsidRPr="00E667AF">
        <w:t xml:space="preserve">The </w:t>
      </w:r>
      <w:r w:rsidRPr="001622AC">
        <w:t xml:space="preserve">Chartered Institute of Public Finance and Accountancy </w:t>
      </w:r>
      <w:r>
        <w:t>(</w:t>
      </w:r>
      <w:r w:rsidRPr="00E667AF">
        <w:t>CIPFA</w:t>
      </w:r>
      <w:r>
        <w:t>)</w:t>
      </w:r>
      <w:r w:rsidRPr="00E667AF">
        <w:t xml:space="preserve"> Prudential Code for Capital Finance in Local Authorities establishes a framework that supports local strategic planning, asset management and appropriate options appraisal.</w:t>
      </w:r>
    </w:p>
    <w:p w14:paraId="3D9EA072" w14:textId="77777777" w:rsidR="00C17D82" w:rsidRPr="00E667AF" w:rsidRDefault="00C17D82" w:rsidP="00E667AF">
      <w:pPr>
        <w:pStyle w:val="Default"/>
        <w:numPr>
          <w:ilvl w:val="0"/>
          <w:numId w:val="2"/>
        </w:numPr>
        <w:spacing w:before="120" w:after="240"/>
        <w:ind w:left="635" w:hanging="635"/>
      </w:pPr>
      <w:r w:rsidRPr="00E667AF">
        <w:t xml:space="preserve">The objectives of the Code are to ensure that the capital plans of an </w:t>
      </w:r>
      <w:r>
        <w:t>o</w:t>
      </w:r>
      <w:r w:rsidRPr="00E667AF">
        <w:t>rganisation are affordable, prudent and sustainable and the treasury management decisions are taken in accordance with good professional practice and in full understanding of the risks involved.</w:t>
      </w:r>
    </w:p>
    <w:p w14:paraId="097E1A7F" w14:textId="77777777" w:rsidR="00C17D82" w:rsidRPr="005E0AD1" w:rsidRDefault="00C17D82" w:rsidP="005E0AD1">
      <w:pPr>
        <w:spacing w:before="240" w:after="120"/>
        <w:jc w:val="both"/>
        <w:rPr>
          <w:rFonts w:ascii="Arial" w:hAnsi="Arial"/>
          <w:b/>
        </w:rPr>
      </w:pPr>
      <w:r>
        <w:rPr>
          <w:rFonts w:ascii="Arial" w:hAnsi="Arial"/>
          <w:b/>
        </w:rPr>
        <w:t>Definition</w:t>
      </w:r>
    </w:p>
    <w:p w14:paraId="45CB2EE3" w14:textId="77777777" w:rsidR="00C17D82" w:rsidRPr="00E667AF" w:rsidRDefault="00C17D82" w:rsidP="00E667AF">
      <w:pPr>
        <w:pStyle w:val="Default"/>
        <w:numPr>
          <w:ilvl w:val="0"/>
          <w:numId w:val="2"/>
        </w:numPr>
        <w:spacing w:before="120" w:after="240"/>
        <w:ind w:left="635" w:hanging="635"/>
      </w:pPr>
      <w:r w:rsidRPr="00E667AF">
        <w:t>To utilise the full extent of the Code and its framework, it is essential that there is a clear understanding of what capital expenditure is. Unless expenditure qualifies as capital it will normally fall outside the scope of the Code and its framework and be charged to revenue in the period in which the goods or services were received. If expenditure does qualify as capital, there are opportunities to finance such spend from any capital receipts held or to spread the cost over future years in line with the life of the asset(s) purchased/created.</w:t>
      </w:r>
    </w:p>
    <w:p w14:paraId="1ED28F83" w14:textId="77777777" w:rsidR="00C17D82" w:rsidRPr="00E667AF" w:rsidRDefault="00C17D82" w:rsidP="00E667AF">
      <w:pPr>
        <w:pStyle w:val="Default"/>
        <w:numPr>
          <w:ilvl w:val="0"/>
          <w:numId w:val="2"/>
        </w:numPr>
        <w:spacing w:before="120" w:after="240"/>
        <w:ind w:left="635" w:hanging="635"/>
      </w:pPr>
      <w:r w:rsidRPr="00E667AF">
        <w:t>In the main, expenditure must meet one or more of the following conditions for it to be classified as capital:</w:t>
      </w:r>
    </w:p>
    <w:p w14:paraId="0ED84E4A"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 xml:space="preserve">Spend results in the acquisition, construction or enhancement of an asset (tangible or intangible) in accordance with ‘proper </w:t>
      </w:r>
      <w:proofErr w:type="gramStart"/>
      <w:r w:rsidRPr="005E0AD1">
        <w:rPr>
          <w:rFonts w:ascii="Arial" w:hAnsi="Arial"/>
        </w:rPr>
        <w:t>practices’</w:t>
      </w:r>
      <w:proofErr w:type="gramEnd"/>
      <w:r>
        <w:rPr>
          <w:rFonts w:ascii="Arial" w:hAnsi="Arial"/>
        </w:rPr>
        <w:t>.</w:t>
      </w:r>
    </w:p>
    <w:p w14:paraId="1B401B1E"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Spend meets one of the definitions specified in regulations made under the 2003 Local Government Act</w:t>
      </w:r>
      <w:r>
        <w:rPr>
          <w:rFonts w:ascii="Arial" w:hAnsi="Arial"/>
        </w:rPr>
        <w:t>.</w:t>
      </w:r>
    </w:p>
    <w:p w14:paraId="055D0427"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The Secretary of State makes a direction that the expenditure can be treated as capital.</w:t>
      </w:r>
    </w:p>
    <w:p w14:paraId="5C74ECC3" w14:textId="77777777" w:rsidR="00C17D82" w:rsidRPr="005E0AD1" w:rsidRDefault="00C17D82" w:rsidP="005E0AD1">
      <w:pPr>
        <w:spacing w:before="240" w:after="120"/>
        <w:jc w:val="both"/>
        <w:rPr>
          <w:rFonts w:ascii="Arial" w:hAnsi="Arial"/>
          <w:b/>
        </w:rPr>
      </w:pPr>
      <w:r>
        <w:rPr>
          <w:rFonts w:ascii="Arial" w:hAnsi="Arial"/>
          <w:b/>
        </w:rPr>
        <w:t>Context</w:t>
      </w:r>
    </w:p>
    <w:p w14:paraId="0CABCF35" w14:textId="77777777" w:rsidR="00C17D82" w:rsidRPr="00E667AF" w:rsidRDefault="00C17D82" w:rsidP="00E667AF">
      <w:pPr>
        <w:pStyle w:val="Default"/>
        <w:numPr>
          <w:ilvl w:val="0"/>
          <w:numId w:val="2"/>
        </w:numPr>
        <w:spacing w:before="120" w:after="240"/>
        <w:ind w:left="635" w:hanging="635"/>
      </w:pPr>
      <w:r w:rsidRPr="00E667AF">
        <w:t xml:space="preserve">The capital expenditure plans </w:t>
      </w:r>
      <w:r>
        <w:t xml:space="preserve">are </w:t>
      </w:r>
      <w:r w:rsidRPr="00E667AF">
        <w:t xml:space="preserve">largely limited to replacing and upgrading essential operational assets (e.g. Estate Facilities, Vehicles, Equipment, Communications Infrastructure). </w:t>
      </w:r>
    </w:p>
    <w:p w14:paraId="3638D9FA" w14:textId="77777777" w:rsidR="00C17D82" w:rsidRDefault="00C17D82" w:rsidP="00CC55F7">
      <w:pPr>
        <w:pStyle w:val="Default"/>
        <w:numPr>
          <w:ilvl w:val="0"/>
          <w:numId w:val="2"/>
        </w:numPr>
        <w:spacing w:before="120" w:after="240"/>
        <w:ind w:left="635" w:hanging="635"/>
      </w:pPr>
      <w:r>
        <w:t>This Capital Strategy forms part of our financial strategies, these are one of six core strategies that set out how we will provide services in line with the following priorities in our five-year Community Risk Management Plan (CRMP):</w:t>
      </w:r>
    </w:p>
    <w:p w14:paraId="3E0F2EBA" w14:textId="77777777" w:rsidR="00C17D82" w:rsidRPr="002C045C" w:rsidRDefault="00C17D82" w:rsidP="00CC55F7">
      <w:pPr>
        <w:pStyle w:val="ListParagraph"/>
        <w:numPr>
          <w:ilvl w:val="0"/>
          <w:numId w:val="1"/>
        </w:numPr>
        <w:spacing w:after="120"/>
        <w:ind w:left="1134" w:hanging="357"/>
        <w:contextualSpacing w:val="0"/>
        <w:rPr>
          <w:rFonts w:ascii="Arial" w:hAnsi="Arial"/>
        </w:rPr>
      </w:pPr>
      <w:r w:rsidRPr="002C045C">
        <w:rPr>
          <w:rFonts w:ascii="Arial" w:hAnsi="Arial"/>
        </w:rPr>
        <w:t>Valuing our people</w:t>
      </w:r>
      <w:r>
        <w:rPr>
          <w:rFonts w:ascii="Arial" w:hAnsi="Arial"/>
        </w:rPr>
        <w:t>.</w:t>
      </w:r>
    </w:p>
    <w:p w14:paraId="6780666A" w14:textId="77777777" w:rsidR="00C17D82" w:rsidRPr="002C045C" w:rsidRDefault="00C17D82" w:rsidP="00CC55F7">
      <w:pPr>
        <w:pStyle w:val="ListParagraph"/>
        <w:numPr>
          <w:ilvl w:val="0"/>
          <w:numId w:val="1"/>
        </w:numPr>
        <w:spacing w:after="120"/>
        <w:ind w:left="1134" w:hanging="357"/>
        <w:contextualSpacing w:val="0"/>
        <w:rPr>
          <w:rFonts w:ascii="Arial" w:hAnsi="Arial"/>
        </w:rPr>
      </w:pPr>
      <w:r w:rsidRPr="002C045C">
        <w:rPr>
          <w:rFonts w:ascii="Arial" w:hAnsi="Arial"/>
        </w:rPr>
        <w:t>Preventing fires</w:t>
      </w:r>
      <w:r>
        <w:rPr>
          <w:rFonts w:ascii="Arial" w:hAnsi="Arial"/>
        </w:rPr>
        <w:t>.</w:t>
      </w:r>
    </w:p>
    <w:p w14:paraId="43E5F056" w14:textId="77777777" w:rsidR="00C17D82" w:rsidRPr="002C045C" w:rsidRDefault="00C17D82" w:rsidP="00CC55F7">
      <w:pPr>
        <w:pStyle w:val="ListParagraph"/>
        <w:numPr>
          <w:ilvl w:val="0"/>
          <w:numId w:val="1"/>
        </w:numPr>
        <w:spacing w:after="120"/>
        <w:ind w:left="1134" w:hanging="357"/>
        <w:contextualSpacing w:val="0"/>
        <w:rPr>
          <w:rFonts w:ascii="Arial" w:hAnsi="Arial"/>
        </w:rPr>
      </w:pPr>
      <w:r w:rsidRPr="002C045C">
        <w:rPr>
          <w:rFonts w:ascii="Arial" w:hAnsi="Arial"/>
        </w:rPr>
        <w:t>Protecting people and property</w:t>
      </w:r>
      <w:r>
        <w:rPr>
          <w:rFonts w:ascii="Arial" w:hAnsi="Arial"/>
        </w:rPr>
        <w:t>.</w:t>
      </w:r>
    </w:p>
    <w:p w14:paraId="6741E86F" w14:textId="77777777" w:rsidR="00C17D82" w:rsidRPr="002C045C" w:rsidRDefault="00C17D82" w:rsidP="00CC55F7">
      <w:pPr>
        <w:pStyle w:val="ListParagraph"/>
        <w:numPr>
          <w:ilvl w:val="0"/>
          <w:numId w:val="1"/>
        </w:numPr>
        <w:spacing w:after="120"/>
        <w:ind w:left="1134" w:hanging="357"/>
        <w:contextualSpacing w:val="0"/>
        <w:rPr>
          <w:rFonts w:ascii="Arial" w:hAnsi="Arial"/>
        </w:rPr>
      </w:pPr>
      <w:r w:rsidRPr="002C045C">
        <w:rPr>
          <w:rFonts w:ascii="Arial" w:hAnsi="Arial"/>
        </w:rPr>
        <w:t>Responding to fires and other emerg</w:t>
      </w:r>
      <w:r>
        <w:rPr>
          <w:rFonts w:ascii="Arial" w:hAnsi="Arial"/>
        </w:rPr>
        <w:t>e</w:t>
      </w:r>
      <w:r w:rsidRPr="002C045C">
        <w:rPr>
          <w:rFonts w:ascii="Arial" w:hAnsi="Arial"/>
        </w:rPr>
        <w:t>ncies</w:t>
      </w:r>
      <w:r>
        <w:rPr>
          <w:rFonts w:ascii="Arial" w:hAnsi="Arial"/>
        </w:rPr>
        <w:t>.</w:t>
      </w:r>
    </w:p>
    <w:p w14:paraId="667ED851" w14:textId="77777777" w:rsidR="00C17D82" w:rsidRPr="002C045C" w:rsidRDefault="00C17D82" w:rsidP="00CC55F7">
      <w:pPr>
        <w:pStyle w:val="ListParagraph"/>
        <w:numPr>
          <w:ilvl w:val="0"/>
          <w:numId w:val="1"/>
        </w:numPr>
        <w:spacing w:after="120"/>
        <w:ind w:left="1134" w:hanging="357"/>
        <w:contextualSpacing w:val="0"/>
        <w:rPr>
          <w:rFonts w:ascii="Arial" w:hAnsi="Arial"/>
        </w:rPr>
      </w:pPr>
      <w:r w:rsidRPr="002C045C">
        <w:rPr>
          <w:rFonts w:ascii="Arial" w:hAnsi="Arial"/>
        </w:rPr>
        <w:lastRenderedPageBreak/>
        <w:t>Delivering value for money</w:t>
      </w:r>
      <w:r>
        <w:rPr>
          <w:rFonts w:ascii="Arial" w:hAnsi="Arial"/>
        </w:rPr>
        <w:t>.</w:t>
      </w:r>
    </w:p>
    <w:p w14:paraId="2B3D8E25" w14:textId="77777777" w:rsidR="00C17D82" w:rsidRPr="00E667AF" w:rsidRDefault="00C17D82" w:rsidP="00E667AF">
      <w:pPr>
        <w:pStyle w:val="Default"/>
        <w:numPr>
          <w:ilvl w:val="0"/>
          <w:numId w:val="2"/>
        </w:numPr>
        <w:spacing w:before="120" w:after="240"/>
        <w:ind w:left="635" w:hanging="635"/>
      </w:pPr>
      <w:r w:rsidRPr="00E667AF">
        <w:t xml:space="preserve">The Authority is committed to having rolling medium term revenue and capital plans (summarised in a </w:t>
      </w:r>
      <w:proofErr w:type="gramStart"/>
      <w:r w:rsidRPr="00E667AF">
        <w:t>Medium Term</w:t>
      </w:r>
      <w:proofErr w:type="gramEnd"/>
      <w:r w:rsidRPr="00E667AF">
        <w:t xml:space="preserve"> Financial </w:t>
      </w:r>
      <w:r>
        <w:t>Strategy</w:t>
      </w:r>
      <w:r w:rsidRPr="00E667AF">
        <w:t xml:space="preserve"> – MTF</w:t>
      </w:r>
      <w:r>
        <w:t>S</w:t>
      </w:r>
      <w:r w:rsidRPr="00E667AF">
        <w:t>) that extend</w:t>
      </w:r>
      <w:r>
        <w:t>s</w:t>
      </w:r>
      <w:r w:rsidRPr="00E667AF">
        <w:t xml:space="preserve"> for up to </w:t>
      </w:r>
      <w:r>
        <w:t>five</w:t>
      </w:r>
      <w:r w:rsidRPr="00E667AF">
        <w:t xml:space="preserve"> years. The plans are drawn up, reassessed and extended annually and if required re-prioritised to enable the Authority to achieve its aims and objectives established in the </w:t>
      </w:r>
      <w:r>
        <w:t>C</w:t>
      </w:r>
      <w:r w:rsidRPr="00E667AF">
        <w:t xml:space="preserve">RMP. </w:t>
      </w:r>
    </w:p>
    <w:p w14:paraId="7382D870" w14:textId="77777777" w:rsidR="00C17D82" w:rsidRDefault="00C17D82" w:rsidP="00E667AF">
      <w:pPr>
        <w:pStyle w:val="Default"/>
        <w:numPr>
          <w:ilvl w:val="0"/>
          <w:numId w:val="2"/>
        </w:numPr>
        <w:spacing w:before="120" w:after="240"/>
        <w:ind w:left="635" w:hanging="635"/>
      </w:pPr>
      <w:bookmarkStart w:id="3" w:name="_Hlk157161005"/>
      <w:r w:rsidRPr="00E667AF">
        <w:t>In the past, general capital grant funding was received each year from the Government, which helped to fund replacement of vehicles, IT</w:t>
      </w:r>
      <w:r>
        <w:t>,</w:t>
      </w:r>
      <w:r w:rsidRPr="00E667AF">
        <w:t xml:space="preserve"> </w:t>
      </w:r>
      <w:r w:rsidRPr="00441E22">
        <w:t>operational equipment and capital maintenance of buildings. This general</w:t>
      </w:r>
      <w:r w:rsidRPr="00E667AF">
        <w:t xml:space="preserve"> capital grant funding ended in 2014/15. As a result, all capital investment since </w:t>
      </w:r>
      <w:r>
        <w:t>then</w:t>
      </w:r>
      <w:r w:rsidRPr="00E667AF">
        <w:t xml:space="preserve"> has been funded from the Authority’s own </w:t>
      </w:r>
      <w:r>
        <w:t>resources</w:t>
      </w:r>
      <w:r w:rsidRPr="00E667AF">
        <w:t xml:space="preserve"> unless specific funding was available.</w:t>
      </w:r>
      <w:r>
        <w:t xml:space="preserve"> N</w:t>
      </w:r>
      <w:r w:rsidRPr="00E667AF">
        <w:t xml:space="preserve">o further government capital grant funding is anticipated going forward. The level of reserves currently held will not be sufficient to fund the proposed capital works over the medium term and borrowing will therefore be required going forward to meet the </w:t>
      </w:r>
      <w:r>
        <w:t>capital</w:t>
      </w:r>
      <w:r w:rsidRPr="00E667AF">
        <w:t xml:space="preserve"> programme. Borrowing incurs on-going costs of interest payments and the funding that is set aside to repay the loan in due course. </w:t>
      </w:r>
    </w:p>
    <w:p w14:paraId="7DB626F6" w14:textId="77777777" w:rsidR="00C17D82" w:rsidRPr="00E667AF" w:rsidRDefault="00C17D82" w:rsidP="00C30D00">
      <w:pPr>
        <w:pStyle w:val="Default"/>
        <w:numPr>
          <w:ilvl w:val="0"/>
          <w:numId w:val="2"/>
        </w:numPr>
        <w:spacing w:before="120" w:after="240"/>
        <w:ind w:left="635" w:hanging="635"/>
      </w:pPr>
      <w:r>
        <w:t xml:space="preserve">The Authority has not utilised borrowing to fund its capital programme and thus has one of the lowest levels of borrowing of all fire services in the country. However, the necessary investment in the estate cannot be delivered without borrowing. </w:t>
      </w:r>
    </w:p>
    <w:bookmarkEnd w:id="3"/>
    <w:p w14:paraId="5001A952" w14:textId="77777777" w:rsidR="00C17D82" w:rsidRPr="00E667AF" w:rsidRDefault="00C17D82" w:rsidP="00E667AF">
      <w:pPr>
        <w:pStyle w:val="Default"/>
        <w:numPr>
          <w:ilvl w:val="0"/>
          <w:numId w:val="2"/>
        </w:numPr>
        <w:spacing w:before="120" w:after="240"/>
        <w:ind w:left="635" w:hanging="635"/>
      </w:pPr>
      <w:r w:rsidRPr="00E667AF">
        <w:t>Key focuses of the Capital Programme plans, all aligned to achieving the Authority’s priorities are:</w:t>
      </w:r>
    </w:p>
    <w:p w14:paraId="6AC995AA"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 xml:space="preserve">To ensure the property estate remains fit for purpose, identifying opportunities to streamline assets and develop the estate infrastructure, maintaining core sites and improving core training facilities. </w:t>
      </w:r>
    </w:p>
    <w:p w14:paraId="527F83A8"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The replacement of other core assets where necessary, e.g., vehicles, operational equipment and communication infrastructure.</w:t>
      </w:r>
    </w:p>
    <w:p w14:paraId="00EAA943"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Development of improved capability.</w:t>
      </w:r>
    </w:p>
    <w:p w14:paraId="456C3207"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 xml:space="preserve">To ensure provision is made for ICT to maintain and develop the existing infrastructure and invest in the core technologies required to provide innovative and efficient digital services. </w:t>
      </w:r>
    </w:p>
    <w:p w14:paraId="62C80358" w14:textId="77777777" w:rsidR="00C17D82" w:rsidRPr="005E0AD1" w:rsidRDefault="00C17D82" w:rsidP="005E0AD1">
      <w:pPr>
        <w:pStyle w:val="ListParagraph"/>
        <w:numPr>
          <w:ilvl w:val="0"/>
          <w:numId w:val="1"/>
        </w:numPr>
        <w:spacing w:after="120"/>
        <w:ind w:left="1134" w:hanging="357"/>
        <w:contextualSpacing w:val="0"/>
        <w:rPr>
          <w:rFonts w:ascii="Arial" w:hAnsi="Arial"/>
        </w:rPr>
      </w:pPr>
      <w:r w:rsidRPr="005E0AD1">
        <w:rPr>
          <w:rFonts w:ascii="Arial" w:hAnsi="Arial"/>
        </w:rPr>
        <w:t>Invest to Save Schemes.</w:t>
      </w:r>
    </w:p>
    <w:p w14:paraId="2E35333E" w14:textId="77777777" w:rsidR="00C17D82" w:rsidRPr="00E667AF" w:rsidRDefault="00C17D82" w:rsidP="00E667AF">
      <w:pPr>
        <w:pStyle w:val="Default"/>
        <w:numPr>
          <w:ilvl w:val="0"/>
          <w:numId w:val="2"/>
        </w:numPr>
        <w:spacing w:before="120" w:after="240"/>
        <w:ind w:left="635" w:hanging="635"/>
      </w:pPr>
      <w:r w:rsidRPr="00E667AF">
        <w:t xml:space="preserve">The plans must consider the constrained financial position of the Authority and the need to maximise both the available financial resources and the capacity that the Service </w:t>
      </w:r>
      <w:proofErr w:type="gramStart"/>
      <w:r w:rsidRPr="00E667AF">
        <w:t>has to</w:t>
      </w:r>
      <w:proofErr w:type="gramEnd"/>
      <w:r w:rsidRPr="00E667AF">
        <w:t xml:space="preserve"> manage change projects.</w:t>
      </w:r>
    </w:p>
    <w:p w14:paraId="49FB970E" w14:textId="77777777" w:rsidR="00C17D82" w:rsidRPr="005E0AD1" w:rsidRDefault="00C17D82" w:rsidP="005E0AD1">
      <w:pPr>
        <w:spacing w:before="240" w:after="120"/>
        <w:jc w:val="both"/>
        <w:rPr>
          <w:rFonts w:ascii="Arial" w:hAnsi="Arial"/>
          <w:b/>
        </w:rPr>
      </w:pPr>
      <w:r w:rsidRPr="005E0AD1">
        <w:rPr>
          <w:rFonts w:ascii="Arial" w:hAnsi="Arial"/>
          <w:b/>
        </w:rPr>
        <w:t>Governance</w:t>
      </w:r>
    </w:p>
    <w:p w14:paraId="53DEE381" w14:textId="77777777" w:rsidR="00C17D82" w:rsidRPr="00E667AF" w:rsidRDefault="00C17D82" w:rsidP="00F75BCD">
      <w:pPr>
        <w:pStyle w:val="Default"/>
        <w:numPr>
          <w:ilvl w:val="0"/>
          <w:numId w:val="2"/>
        </w:numPr>
        <w:spacing w:before="120" w:after="240"/>
        <w:ind w:left="635" w:hanging="635"/>
      </w:pPr>
      <w:r w:rsidRPr="00E667AF">
        <w:t xml:space="preserve">The annual budget setting process is an ongoing process managed by the Authority’s </w:t>
      </w:r>
      <w:r>
        <w:t xml:space="preserve">Executive Board. Capital projects are considered by the Executive Board, they include a business case that </w:t>
      </w:r>
      <w:r w:rsidRPr="00E667AF">
        <w:t>identif</w:t>
      </w:r>
      <w:r>
        <w:t>ies</w:t>
      </w:r>
      <w:r w:rsidRPr="00E667AF">
        <w:t xml:space="preserve"> the organisational requirement, rationale, deliverables, benefits, links to the Authority’s priorities </w:t>
      </w:r>
      <w:r w:rsidRPr="00E667AF">
        <w:lastRenderedPageBreak/>
        <w:t>and costs in terms of both capital investment and ongoing revenue consequences.</w:t>
      </w:r>
    </w:p>
    <w:p w14:paraId="28CAA986" w14:textId="77777777" w:rsidR="00C17D82" w:rsidRPr="00E667AF" w:rsidRDefault="00C17D82" w:rsidP="00E667AF">
      <w:pPr>
        <w:pStyle w:val="Default"/>
        <w:numPr>
          <w:ilvl w:val="0"/>
          <w:numId w:val="2"/>
        </w:numPr>
        <w:spacing w:before="120" w:after="240"/>
        <w:ind w:left="635" w:hanging="635"/>
      </w:pPr>
      <w:r>
        <w:t xml:space="preserve">The delivery of capital projects is over overseen by the Capital Projects Programme Board (CPPB) and reported to the Service Management Team – Corporate Programme Board (CPB). Capital budget monitoring reports are presented to the Resources Committee to monitor progress. </w:t>
      </w:r>
    </w:p>
    <w:p w14:paraId="01D65579" w14:textId="77777777" w:rsidR="00C17D82" w:rsidRDefault="00C17D82" w:rsidP="00E667AF">
      <w:pPr>
        <w:pStyle w:val="Default"/>
        <w:numPr>
          <w:ilvl w:val="0"/>
          <w:numId w:val="2"/>
        </w:numPr>
        <w:spacing w:before="120" w:after="240"/>
        <w:ind w:left="635" w:hanging="635"/>
      </w:pPr>
      <w:r>
        <w:t xml:space="preserve">A Member Capital Projects Working Group has also been established to oversee the development and delivery of our major capital projects and progress is also reported to the Resources Committee that considers any slippage, variances and accelerated spend.  </w:t>
      </w:r>
    </w:p>
    <w:p w14:paraId="1699A3A1" w14:textId="77777777" w:rsidR="00C17D82" w:rsidRPr="00E667AF" w:rsidRDefault="00C17D82" w:rsidP="00E667AF">
      <w:pPr>
        <w:pStyle w:val="Default"/>
        <w:numPr>
          <w:ilvl w:val="0"/>
          <w:numId w:val="2"/>
        </w:numPr>
        <w:spacing w:before="120" w:after="240"/>
        <w:ind w:left="635" w:hanging="635"/>
      </w:pPr>
      <w:r w:rsidRPr="00E667AF">
        <w:t xml:space="preserve">An updated </w:t>
      </w:r>
      <w:r>
        <w:t>MTFS and Capital Strategy</w:t>
      </w:r>
      <w:r w:rsidRPr="00E667AF">
        <w:t>, including a recommended Capital Programme</w:t>
      </w:r>
      <w:r>
        <w:t xml:space="preserve"> for the next year</w:t>
      </w:r>
      <w:r w:rsidRPr="00E667AF">
        <w:t>, is then presented to the Authority, providing views on affordability, potential funding issues and options.</w:t>
      </w:r>
    </w:p>
    <w:p w14:paraId="1F271276" w14:textId="77777777" w:rsidR="00C17D82" w:rsidRPr="00E667AF" w:rsidRDefault="00C17D82" w:rsidP="00E667AF">
      <w:pPr>
        <w:pStyle w:val="Default"/>
        <w:numPr>
          <w:ilvl w:val="0"/>
          <w:numId w:val="2"/>
        </w:numPr>
        <w:spacing w:before="120" w:after="240"/>
        <w:ind w:left="635" w:hanging="635"/>
      </w:pPr>
      <w:r w:rsidRPr="00E667AF">
        <w:t xml:space="preserve">To evaluate the success and outcomes of capital projects a post project review is carried out. The depth of this review is proportionate to the scale of the project and the benefits set out in the initial Project Initiation Documentation. This review focuses on the outcomes achieved, the extent to which the benefits claimed are being realised, the actual costs, both revenue and capital, and the impact of other funding and partnership working. This information can then be used to learn lessons and make any improvements during subsequent projects. The post project report is reviewed by the </w:t>
      </w:r>
      <w:r>
        <w:t>CPPB</w:t>
      </w:r>
      <w:r w:rsidRPr="00E667AF">
        <w:t xml:space="preserve"> and escalated to the </w:t>
      </w:r>
      <w:r>
        <w:t>CPB</w:t>
      </w:r>
      <w:r w:rsidRPr="00E667AF">
        <w:t xml:space="preserve"> if required.</w:t>
      </w:r>
    </w:p>
    <w:p w14:paraId="38FC0179" w14:textId="77777777" w:rsidR="00C17D82" w:rsidRPr="005E0AD1" w:rsidRDefault="00C17D82" w:rsidP="005E0AD1">
      <w:pPr>
        <w:spacing w:before="240" w:after="120"/>
        <w:jc w:val="both"/>
        <w:rPr>
          <w:rFonts w:ascii="Arial" w:hAnsi="Arial"/>
          <w:b/>
        </w:rPr>
      </w:pPr>
      <w:r w:rsidRPr="005E0AD1">
        <w:rPr>
          <w:rFonts w:ascii="Arial" w:hAnsi="Arial"/>
          <w:b/>
        </w:rPr>
        <w:t>Funding Streams</w:t>
      </w:r>
    </w:p>
    <w:p w14:paraId="36D1592C" w14:textId="77777777" w:rsidR="00C17D82" w:rsidRPr="005E0AD1" w:rsidRDefault="00C17D82" w:rsidP="005E0AD1">
      <w:pPr>
        <w:pStyle w:val="Default"/>
        <w:numPr>
          <w:ilvl w:val="0"/>
          <w:numId w:val="2"/>
        </w:numPr>
        <w:spacing w:before="120" w:after="240"/>
        <w:ind w:left="635" w:hanging="635"/>
        <w:rPr>
          <w:szCs w:val="20"/>
        </w:rPr>
      </w:pPr>
      <w:r w:rsidRPr="005E0AD1">
        <w:t>Capital</w:t>
      </w:r>
      <w:r w:rsidRPr="005E0AD1">
        <w:rPr>
          <w:szCs w:val="20"/>
        </w:rPr>
        <w:t xml:space="preserve"> expenditure can be funded from </w:t>
      </w:r>
      <w:proofErr w:type="gramStart"/>
      <w:r w:rsidRPr="005E0AD1">
        <w:rPr>
          <w:szCs w:val="20"/>
        </w:rPr>
        <w:t>a number of</w:t>
      </w:r>
      <w:proofErr w:type="gramEnd"/>
      <w:r w:rsidRPr="005E0AD1">
        <w:rPr>
          <w:szCs w:val="20"/>
        </w:rPr>
        <w:t xml:space="preserve"> sources as set out below:</w:t>
      </w:r>
    </w:p>
    <w:p w14:paraId="1856BB23" w14:textId="77777777" w:rsidR="00C17D82" w:rsidRPr="00BC47AF" w:rsidRDefault="00C17D82" w:rsidP="005E0AD1">
      <w:pPr>
        <w:pStyle w:val="ListParagraph"/>
        <w:numPr>
          <w:ilvl w:val="0"/>
          <w:numId w:val="1"/>
        </w:numPr>
        <w:spacing w:after="120"/>
        <w:ind w:left="1134" w:hanging="357"/>
        <w:contextualSpacing w:val="0"/>
        <w:rPr>
          <w:rFonts w:ascii="Arial" w:hAnsi="Arial"/>
        </w:rPr>
      </w:pPr>
      <w:r w:rsidRPr="00BC47AF">
        <w:rPr>
          <w:rFonts w:ascii="Arial" w:hAnsi="Arial"/>
        </w:rPr>
        <w:t>Government Grants – these are either general grants which can be used to fund any capital spend approved by the Authority or specific grants which can only be used to fund specific projects in line with any conditions placed with the grant. The Authority has not received an annual government capital grant allocation since 2014</w:t>
      </w:r>
      <w:r>
        <w:rPr>
          <w:rFonts w:ascii="Arial" w:hAnsi="Arial"/>
        </w:rPr>
        <w:t>/</w:t>
      </w:r>
      <w:r w:rsidRPr="00BC47AF">
        <w:rPr>
          <w:rFonts w:ascii="Arial" w:hAnsi="Arial"/>
        </w:rPr>
        <w:t>15</w:t>
      </w:r>
      <w:r>
        <w:rPr>
          <w:rFonts w:ascii="Arial" w:hAnsi="Arial"/>
        </w:rPr>
        <w:t>.</w:t>
      </w:r>
    </w:p>
    <w:p w14:paraId="5255F280" w14:textId="77777777" w:rsidR="00C17D82" w:rsidRPr="00BC47AF" w:rsidRDefault="00C17D82" w:rsidP="005E0AD1">
      <w:pPr>
        <w:pStyle w:val="ListParagraph"/>
        <w:numPr>
          <w:ilvl w:val="0"/>
          <w:numId w:val="1"/>
        </w:numPr>
        <w:spacing w:after="120"/>
        <w:ind w:left="1134" w:hanging="357"/>
        <w:contextualSpacing w:val="0"/>
        <w:rPr>
          <w:rFonts w:ascii="Arial" w:hAnsi="Arial"/>
        </w:rPr>
      </w:pPr>
      <w:r w:rsidRPr="00BC47AF">
        <w:rPr>
          <w:rFonts w:ascii="Arial" w:hAnsi="Arial"/>
        </w:rPr>
        <w:t>Capital Receipts – when an asset held by the Authority is sold, the proceeds are held in reserve to be used either to fund future capital expenditure or to repay debt. They cannot be used to fund revenue expenditure</w:t>
      </w:r>
      <w:r>
        <w:rPr>
          <w:rFonts w:ascii="Arial" w:hAnsi="Arial"/>
        </w:rPr>
        <w:t>.</w:t>
      </w:r>
    </w:p>
    <w:p w14:paraId="4644E899" w14:textId="77777777" w:rsidR="00C17D82" w:rsidRPr="00BC47AF" w:rsidRDefault="00C17D82" w:rsidP="005E0AD1">
      <w:pPr>
        <w:pStyle w:val="ListParagraph"/>
        <w:numPr>
          <w:ilvl w:val="0"/>
          <w:numId w:val="1"/>
        </w:numPr>
        <w:spacing w:after="120"/>
        <w:ind w:left="1134" w:hanging="357"/>
        <w:contextualSpacing w:val="0"/>
        <w:rPr>
          <w:rFonts w:ascii="Arial" w:hAnsi="Arial"/>
        </w:rPr>
      </w:pPr>
      <w:r w:rsidRPr="00BC47AF">
        <w:rPr>
          <w:rFonts w:ascii="Arial" w:hAnsi="Arial"/>
        </w:rPr>
        <w:t>Reserves – funds can be set aside and held in earmarked reserves if known</w:t>
      </w:r>
      <w:r w:rsidRPr="00BC47AF">
        <w:rPr>
          <w:rFonts w:ascii="Arial" w:hAnsi="Arial"/>
          <w:szCs w:val="24"/>
        </w:rPr>
        <w:t xml:space="preserve"> expenditure is to be </w:t>
      </w:r>
      <w:r w:rsidRPr="00BC47AF">
        <w:rPr>
          <w:rFonts w:ascii="Arial" w:hAnsi="Arial"/>
        </w:rPr>
        <w:t>incurred at a future date. These reserves can then be used to fund such expenditure be it capital or revenue. In terms of capital expenditure, it may be known that a specific asset may need replacing in 10 years and therefore funds are set-aside each year to build up the reserve to fund the replacement. Details of the reserves held are found within the Authority’s Reserves Strategy</w:t>
      </w:r>
      <w:r>
        <w:rPr>
          <w:rFonts w:ascii="Arial" w:hAnsi="Arial"/>
        </w:rPr>
        <w:t>.</w:t>
      </w:r>
    </w:p>
    <w:p w14:paraId="5C9C1617" w14:textId="77777777" w:rsidR="00C17D82" w:rsidRPr="00BC47AF" w:rsidRDefault="00C17D82" w:rsidP="005E0AD1">
      <w:pPr>
        <w:pStyle w:val="ListParagraph"/>
        <w:numPr>
          <w:ilvl w:val="0"/>
          <w:numId w:val="1"/>
        </w:numPr>
        <w:spacing w:after="120"/>
        <w:ind w:left="1134" w:hanging="357"/>
        <w:contextualSpacing w:val="0"/>
        <w:rPr>
          <w:rFonts w:ascii="Arial" w:hAnsi="Arial"/>
        </w:rPr>
      </w:pPr>
      <w:r w:rsidRPr="00BC47AF">
        <w:rPr>
          <w:rFonts w:ascii="Arial" w:hAnsi="Arial"/>
        </w:rPr>
        <w:t>External Contributions – these are funds or grants provided by external organisations such as collaboration partners or local authorities for specifically agreed capital expenditure</w:t>
      </w:r>
      <w:r>
        <w:rPr>
          <w:rFonts w:ascii="Arial" w:hAnsi="Arial"/>
        </w:rPr>
        <w:t>.</w:t>
      </w:r>
    </w:p>
    <w:p w14:paraId="6B084865" w14:textId="77777777" w:rsidR="00C17D82" w:rsidRPr="00BC47AF" w:rsidRDefault="00C17D82" w:rsidP="005E0AD1">
      <w:pPr>
        <w:pStyle w:val="ListParagraph"/>
        <w:numPr>
          <w:ilvl w:val="0"/>
          <w:numId w:val="1"/>
        </w:numPr>
        <w:spacing w:after="120"/>
        <w:ind w:left="1134" w:hanging="357"/>
        <w:contextualSpacing w:val="0"/>
        <w:rPr>
          <w:rFonts w:ascii="Arial" w:hAnsi="Arial"/>
        </w:rPr>
      </w:pPr>
      <w:r w:rsidRPr="00BC47AF">
        <w:rPr>
          <w:rFonts w:ascii="Arial" w:hAnsi="Arial"/>
        </w:rPr>
        <w:lastRenderedPageBreak/>
        <w:t>Borrowing – the Authority is permitted in law to take out loans or financing to fund capital expenditure. The Prudential Code sets out the requirements under which such borrowing must be undertaken including affordability, prudence and cost effectiveness. Any borrowing will incur costs for interest payable and the need to set-aside sufficient funds to repay the loan. These costs impact on the revenue budget.</w:t>
      </w:r>
    </w:p>
    <w:p w14:paraId="37CE34F1" w14:textId="77777777" w:rsidR="00C17D82" w:rsidRPr="00BC47AF" w:rsidRDefault="00C17D82" w:rsidP="00BC47AF">
      <w:pPr>
        <w:spacing w:before="240" w:after="120"/>
        <w:jc w:val="both"/>
        <w:rPr>
          <w:rFonts w:ascii="Arial" w:hAnsi="Arial"/>
          <w:b/>
        </w:rPr>
      </w:pPr>
      <w:r w:rsidRPr="00BC47AF">
        <w:rPr>
          <w:rFonts w:ascii="Arial" w:hAnsi="Arial"/>
          <w:b/>
        </w:rPr>
        <w:t>Capital Programme</w:t>
      </w:r>
    </w:p>
    <w:p w14:paraId="7CD1CAE7" w14:textId="77777777" w:rsidR="00C17D82" w:rsidRDefault="00C17D82" w:rsidP="00E667AF">
      <w:pPr>
        <w:pStyle w:val="Default"/>
        <w:numPr>
          <w:ilvl w:val="0"/>
          <w:numId w:val="2"/>
        </w:numPr>
        <w:spacing w:before="120" w:after="240"/>
        <w:ind w:left="635" w:hanging="635"/>
      </w:pPr>
      <w:r w:rsidRPr="00E667AF">
        <w:t xml:space="preserve">The </w:t>
      </w:r>
      <w:r>
        <w:t xml:space="preserve">Authority has a ten-year capital programme, from </w:t>
      </w:r>
      <w:r w:rsidRPr="00E667AF">
        <w:t>202</w:t>
      </w:r>
      <w:r>
        <w:t>5/</w:t>
      </w:r>
      <w:r w:rsidRPr="00E667AF">
        <w:t>2</w:t>
      </w:r>
      <w:r>
        <w:t>6</w:t>
      </w:r>
      <w:r w:rsidRPr="00E667AF">
        <w:t xml:space="preserve"> to 20</w:t>
      </w:r>
      <w:r>
        <w:t xml:space="preserve">34/35. This reflects the Authority’s capital aspirations in the Fleet, Estates and ICT strategies. The first five years of the strategy are more detailed, but work is ongoing to develop a more detailed </w:t>
      </w:r>
      <w:proofErr w:type="gramStart"/>
      <w:r>
        <w:t>ten year</w:t>
      </w:r>
      <w:proofErr w:type="gramEnd"/>
      <w:r>
        <w:t xml:space="preserve"> strategy, </w:t>
      </w:r>
      <w:proofErr w:type="gramStart"/>
      <w:r>
        <w:t>in particular with</w:t>
      </w:r>
      <w:proofErr w:type="gramEnd"/>
      <w:r>
        <w:t xml:space="preserve"> detailed condition surveys across our estate. </w:t>
      </w:r>
    </w:p>
    <w:p w14:paraId="1761F974" w14:textId="77777777" w:rsidR="00C17D82" w:rsidRDefault="00C17D82" w:rsidP="004442A7">
      <w:pPr>
        <w:pStyle w:val="Default"/>
        <w:numPr>
          <w:ilvl w:val="0"/>
          <w:numId w:val="2"/>
        </w:numPr>
        <w:spacing w:before="120" w:after="240"/>
        <w:ind w:left="635" w:hanging="635"/>
      </w:pPr>
      <w:r>
        <w:t>The</w:t>
      </w:r>
      <w:r w:rsidRPr="00E667AF">
        <w:t xml:space="preserve"> table </w:t>
      </w:r>
      <w:r>
        <w:t xml:space="preserve">below </w:t>
      </w:r>
      <w:r w:rsidRPr="00E667AF">
        <w:t xml:space="preserve">shows the Authority’s </w:t>
      </w:r>
      <w:r>
        <w:t xml:space="preserve">first five years of the </w:t>
      </w:r>
      <w:r w:rsidRPr="00E667AF">
        <w:t>Capital Programme and how it is anticipated that it will be funded</w:t>
      </w:r>
      <w:r>
        <w:t xml:space="preserve">. The detailed ten-year capital programme is set out in Appendix 1 of this paper. </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100"/>
        <w:gridCol w:w="1100"/>
        <w:gridCol w:w="1100"/>
        <w:gridCol w:w="1100"/>
        <w:gridCol w:w="1100"/>
      </w:tblGrid>
      <w:tr w:rsidR="00C17D82" w:rsidRPr="00FD7629" w14:paraId="673A2319" w14:textId="77777777" w:rsidTr="00FD7629">
        <w:trPr>
          <w:trHeight w:val="720"/>
        </w:trPr>
        <w:tc>
          <w:tcPr>
            <w:tcW w:w="3005" w:type="dxa"/>
            <w:shd w:val="clear" w:color="auto" w:fill="auto"/>
            <w:vAlign w:val="center"/>
            <w:hideMark/>
          </w:tcPr>
          <w:p w14:paraId="24ABA298" w14:textId="77777777" w:rsidR="00C17D82" w:rsidRPr="00FD7629" w:rsidRDefault="00C17D82" w:rsidP="00E44E11">
            <w:pPr>
              <w:rPr>
                <w:rFonts w:ascii="Arial" w:hAnsi="Arial" w:cs="Arial"/>
                <w:szCs w:val="24"/>
                <w:lang w:eastAsia="en-GB"/>
              </w:rPr>
            </w:pPr>
            <w:r w:rsidRPr="00FD7629">
              <w:rPr>
                <w:rFonts w:ascii="Arial" w:hAnsi="Arial" w:cs="Arial"/>
                <w:szCs w:val="24"/>
                <w:lang w:eastAsia="en-GB"/>
              </w:rPr>
              <w:t>£m</w:t>
            </w:r>
          </w:p>
        </w:tc>
        <w:tc>
          <w:tcPr>
            <w:tcW w:w="1100" w:type="dxa"/>
            <w:shd w:val="clear" w:color="auto" w:fill="auto"/>
            <w:vAlign w:val="center"/>
            <w:hideMark/>
          </w:tcPr>
          <w:p w14:paraId="678977AF" w14:textId="77777777" w:rsidR="00C17D82" w:rsidRPr="00FD7629" w:rsidRDefault="00C17D82" w:rsidP="00E44E11">
            <w:pPr>
              <w:jc w:val="center"/>
              <w:rPr>
                <w:rFonts w:ascii="Arial" w:hAnsi="Arial" w:cs="Arial"/>
                <w:b/>
                <w:bCs/>
                <w:szCs w:val="24"/>
                <w:lang w:eastAsia="en-GB"/>
              </w:rPr>
            </w:pPr>
            <w:r w:rsidRPr="00FD7629">
              <w:rPr>
                <w:rFonts w:ascii="Arial" w:hAnsi="Arial" w:cs="Arial"/>
                <w:b/>
                <w:bCs/>
                <w:szCs w:val="24"/>
                <w:lang w:eastAsia="en-GB"/>
              </w:rPr>
              <w:t xml:space="preserve"> 25/26 </w:t>
            </w:r>
          </w:p>
        </w:tc>
        <w:tc>
          <w:tcPr>
            <w:tcW w:w="1100" w:type="dxa"/>
            <w:shd w:val="clear" w:color="auto" w:fill="auto"/>
            <w:vAlign w:val="center"/>
            <w:hideMark/>
          </w:tcPr>
          <w:p w14:paraId="1FC165F1" w14:textId="77777777" w:rsidR="00C17D82" w:rsidRPr="00FD7629" w:rsidRDefault="00C17D82" w:rsidP="00E44E11">
            <w:pPr>
              <w:jc w:val="center"/>
              <w:rPr>
                <w:rFonts w:ascii="Arial" w:hAnsi="Arial" w:cs="Arial"/>
                <w:b/>
                <w:bCs/>
                <w:szCs w:val="24"/>
                <w:lang w:eastAsia="en-GB"/>
              </w:rPr>
            </w:pPr>
            <w:r w:rsidRPr="00FD7629">
              <w:rPr>
                <w:rFonts w:ascii="Arial" w:hAnsi="Arial" w:cs="Arial"/>
                <w:b/>
                <w:bCs/>
                <w:szCs w:val="24"/>
                <w:lang w:eastAsia="en-GB"/>
              </w:rPr>
              <w:t xml:space="preserve"> 26/27 </w:t>
            </w:r>
          </w:p>
        </w:tc>
        <w:tc>
          <w:tcPr>
            <w:tcW w:w="1100" w:type="dxa"/>
            <w:shd w:val="clear" w:color="auto" w:fill="auto"/>
            <w:vAlign w:val="center"/>
            <w:hideMark/>
          </w:tcPr>
          <w:p w14:paraId="5970A192" w14:textId="77777777" w:rsidR="00C17D82" w:rsidRPr="00FD7629" w:rsidRDefault="00C17D82" w:rsidP="00E44E11">
            <w:pPr>
              <w:jc w:val="center"/>
              <w:rPr>
                <w:rFonts w:ascii="Arial" w:hAnsi="Arial" w:cs="Arial"/>
                <w:b/>
                <w:bCs/>
                <w:szCs w:val="24"/>
                <w:lang w:eastAsia="en-GB"/>
              </w:rPr>
            </w:pPr>
            <w:r w:rsidRPr="00FD7629">
              <w:rPr>
                <w:rFonts w:ascii="Arial" w:hAnsi="Arial" w:cs="Arial"/>
                <w:b/>
                <w:bCs/>
                <w:szCs w:val="24"/>
                <w:lang w:eastAsia="en-GB"/>
              </w:rPr>
              <w:t xml:space="preserve"> 27/28 </w:t>
            </w:r>
          </w:p>
        </w:tc>
        <w:tc>
          <w:tcPr>
            <w:tcW w:w="1100" w:type="dxa"/>
            <w:shd w:val="clear" w:color="auto" w:fill="auto"/>
            <w:vAlign w:val="center"/>
            <w:hideMark/>
          </w:tcPr>
          <w:p w14:paraId="50F341C5" w14:textId="77777777" w:rsidR="00C17D82" w:rsidRPr="00FD7629" w:rsidRDefault="00C17D82" w:rsidP="00E44E11">
            <w:pPr>
              <w:jc w:val="center"/>
              <w:rPr>
                <w:rFonts w:ascii="Arial" w:hAnsi="Arial" w:cs="Arial"/>
                <w:b/>
                <w:bCs/>
                <w:szCs w:val="24"/>
                <w:lang w:eastAsia="en-GB"/>
              </w:rPr>
            </w:pPr>
            <w:r w:rsidRPr="00FD7629">
              <w:rPr>
                <w:rFonts w:ascii="Arial" w:hAnsi="Arial" w:cs="Arial"/>
                <w:b/>
                <w:bCs/>
                <w:szCs w:val="24"/>
                <w:lang w:eastAsia="en-GB"/>
              </w:rPr>
              <w:t xml:space="preserve"> 28/29 </w:t>
            </w:r>
          </w:p>
        </w:tc>
        <w:tc>
          <w:tcPr>
            <w:tcW w:w="1100" w:type="dxa"/>
            <w:shd w:val="clear" w:color="auto" w:fill="auto"/>
            <w:vAlign w:val="center"/>
            <w:hideMark/>
          </w:tcPr>
          <w:p w14:paraId="1F2EF357" w14:textId="77777777" w:rsidR="00C17D82" w:rsidRPr="00FD7629" w:rsidRDefault="00C17D82" w:rsidP="00E44E11">
            <w:pPr>
              <w:jc w:val="center"/>
              <w:rPr>
                <w:rFonts w:ascii="Arial" w:hAnsi="Arial" w:cs="Arial"/>
                <w:b/>
                <w:bCs/>
                <w:szCs w:val="24"/>
                <w:lang w:eastAsia="en-GB"/>
              </w:rPr>
            </w:pPr>
            <w:r w:rsidRPr="00FD7629">
              <w:rPr>
                <w:rFonts w:ascii="Arial" w:hAnsi="Arial" w:cs="Arial"/>
                <w:b/>
                <w:bCs/>
                <w:szCs w:val="24"/>
                <w:lang w:eastAsia="en-GB"/>
              </w:rPr>
              <w:t xml:space="preserve"> 2</w:t>
            </w:r>
            <w:r>
              <w:rPr>
                <w:rFonts w:ascii="Arial" w:hAnsi="Arial" w:cs="Arial"/>
                <w:b/>
                <w:bCs/>
                <w:szCs w:val="24"/>
                <w:lang w:eastAsia="en-GB"/>
              </w:rPr>
              <w:t>9</w:t>
            </w:r>
            <w:r w:rsidRPr="00FD7629">
              <w:rPr>
                <w:rFonts w:ascii="Arial" w:hAnsi="Arial" w:cs="Arial"/>
                <w:b/>
                <w:bCs/>
                <w:szCs w:val="24"/>
                <w:lang w:eastAsia="en-GB"/>
              </w:rPr>
              <w:t>/</w:t>
            </w:r>
            <w:r>
              <w:rPr>
                <w:rFonts w:ascii="Arial" w:hAnsi="Arial" w:cs="Arial"/>
                <w:b/>
                <w:bCs/>
                <w:szCs w:val="24"/>
                <w:lang w:eastAsia="en-GB"/>
              </w:rPr>
              <w:t>30</w:t>
            </w:r>
            <w:r w:rsidRPr="00FD7629">
              <w:rPr>
                <w:rFonts w:ascii="Arial" w:hAnsi="Arial" w:cs="Arial"/>
                <w:b/>
                <w:bCs/>
                <w:szCs w:val="24"/>
                <w:lang w:eastAsia="en-GB"/>
              </w:rPr>
              <w:t xml:space="preserve"> </w:t>
            </w:r>
          </w:p>
        </w:tc>
      </w:tr>
      <w:tr w:rsidR="00C17D82" w:rsidRPr="00FD7629" w14:paraId="42428099" w14:textId="77777777" w:rsidTr="00EF7FC1">
        <w:trPr>
          <w:trHeight w:val="255"/>
        </w:trPr>
        <w:tc>
          <w:tcPr>
            <w:tcW w:w="3005" w:type="dxa"/>
            <w:shd w:val="clear" w:color="auto" w:fill="auto"/>
            <w:vAlign w:val="center"/>
            <w:hideMark/>
          </w:tcPr>
          <w:p w14:paraId="3C6175C3"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Vehicles</w:t>
            </w:r>
          </w:p>
        </w:tc>
        <w:tc>
          <w:tcPr>
            <w:tcW w:w="1100" w:type="dxa"/>
            <w:shd w:val="clear" w:color="auto" w:fill="auto"/>
            <w:vAlign w:val="center"/>
            <w:hideMark/>
          </w:tcPr>
          <w:p w14:paraId="01EF811A" w14:textId="77777777" w:rsidR="00C17D82" w:rsidRPr="00624974" w:rsidRDefault="00C17D82" w:rsidP="00C774DC">
            <w:pPr>
              <w:jc w:val="right"/>
              <w:rPr>
                <w:rFonts w:ascii="Arial" w:hAnsi="Arial" w:cs="Arial"/>
                <w:szCs w:val="24"/>
                <w:lang w:eastAsia="en-GB"/>
              </w:rPr>
            </w:pPr>
            <w:r>
              <w:rPr>
                <w:rFonts w:ascii="Arial" w:hAnsi="Arial" w:cs="Arial"/>
              </w:rPr>
              <w:t>4.452</w:t>
            </w:r>
          </w:p>
        </w:tc>
        <w:tc>
          <w:tcPr>
            <w:tcW w:w="1100" w:type="dxa"/>
            <w:shd w:val="clear" w:color="auto" w:fill="auto"/>
            <w:vAlign w:val="center"/>
            <w:hideMark/>
          </w:tcPr>
          <w:p w14:paraId="5C386BF4" w14:textId="77777777" w:rsidR="00C17D82" w:rsidRPr="00624974" w:rsidRDefault="00C17D82" w:rsidP="00C774DC">
            <w:pPr>
              <w:jc w:val="right"/>
              <w:rPr>
                <w:rFonts w:ascii="Arial" w:hAnsi="Arial" w:cs="Arial"/>
                <w:szCs w:val="24"/>
                <w:lang w:eastAsia="en-GB"/>
              </w:rPr>
            </w:pPr>
            <w:r>
              <w:rPr>
                <w:rFonts w:ascii="Arial" w:hAnsi="Arial" w:cs="Arial"/>
              </w:rPr>
              <w:t>2.825</w:t>
            </w:r>
          </w:p>
        </w:tc>
        <w:tc>
          <w:tcPr>
            <w:tcW w:w="1100" w:type="dxa"/>
            <w:shd w:val="clear" w:color="auto" w:fill="auto"/>
            <w:vAlign w:val="center"/>
            <w:hideMark/>
          </w:tcPr>
          <w:p w14:paraId="7B92619B" w14:textId="77777777" w:rsidR="00C17D82" w:rsidRPr="00624974" w:rsidRDefault="00C17D82" w:rsidP="00C774DC">
            <w:pPr>
              <w:jc w:val="right"/>
              <w:rPr>
                <w:rFonts w:ascii="Arial" w:hAnsi="Arial" w:cs="Arial"/>
                <w:szCs w:val="24"/>
                <w:lang w:eastAsia="en-GB"/>
              </w:rPr>
            </w:pPr>
            <w:r>
              <w:rPr>
                <w:rFonts w:ascii="Arial" w:hAnsi="Arial" w:cs="Arial"/>
              </w:rPr>
              <w:t>2.035</w:t>
            </w:r>
          </w:p>
        </w:tc>
        <w:tc>
          <w:tcPr>
            <w:tcW w:w="1100" w:type="dxa"/>
            <w:shd w:val="clear" w:color="auto" w:fill="auto"/>
            <w:vAlign w:val="center"/>
            <w:hideMark/>
          </w:tcPr>
          <w:p w14:paraId="39B772B7" w14:textId="77777777" w:rsidR="00C17D82" w:rsidRPr="00624974" w:rsidRDefault="00C17D82" w:rsidP="00C774DC">
            <w:pPr>
              <w:jc w:val="right"/>
              <w:rPr>
                <w:rFonts w:ascii="Arial" w:hAnsi="Arial" w:cs="Arial"/>
                <w:szCs w:val="24"/>
                <w:lang w:eastAsia="en-GB"/>
              </w:rPr>
            </w:pPr>
            <w:r>
              <w:rPr>
                <w:rFonts w:ascii="Arial" w:hAnsi="Arial" w:cs="Arial"/>
              </w:rPr>
              <w:t>2.470</w:t>
            </w:r>
          </w:p>
        </w:tc>
        <w:tc>
          <w:tcPr>
            <w:tcW w:w="1100" w:type="dxa"/>
            <w:shd w:val="clear" w:color="auto" w:fill="auto"/>
            <w:vAlign w:val="center"/>
            <w:hideMark/>
          </w:tcPr>
          <w:p w14:paraId="4DB8B69D" w14:textId="77777777" w:rsidR="00C17D82" w:rsidRPr="00624974" w:rsidRDefault="00C17D82" w:rsidP="00C774DC">
            <w:pPr>
              <w:jc w:val="right"/>
              <w:rPr>
                <w:rFonts w:ascii="Arial" w:hAnsi="Arial" w:cs="Arial"/>
                <w:szCs w:val="24"/>
                <w:lang w:eastAsia="en-GB"/>
              </w:rPr>
            </w:pPr>
            <w:r>
              <w:rPr>
                <w:rFonts w:ascii="Arial" w:hAnsi="Arial" w:cs="Arial"/>
              </w:rPr>
              <w:t>2.895</w:t>
            </w:r>
          </w:p>
        </w:tc>
      </w:tr>
      <w:tr w:rsidR="00C17D82" w:rsidRPr="00FD7629" w14:paraId="398112CB" w14:textId="77777777" w:rsidTr="00EF7FC1">
        <w:trPr>
          <w:trHeight w:val="255"/>
        </w:trPr>
        <w:tc>
          <w:tcPr>
            <w:tcW w:w="3005" w:type="dxa"/>
            <w:shd w:val="clear" w:color="auto" w:fill="auto"/>
            <w:vAlign w:val="center"/>
            <w:hideMark/>
          </w:tcPr>
          <w:p w14:paraId="0C4C4613"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Operational Equipment</w:t>
            </w:r>
          </w:p>
        </w:tc>
        <w:tc>
          <w:tcPr>
            <w:tcW w:w="1100" w:type="dxa"/>
            <w:shd w:val="clear" w:color="auto" w:fill="auto"/>
            <w:vAlign w:val="center"/>
            <w:hideMark/>
          </w:tcPr>
          <w:p w14:paraId="65290E3B" w14:textId="77777777" w:rsidR="00C17D82" w:rsidRPr="00624974" w:rsidRDefault="00C17D82" w:rsidP="00C774DC">
            <w:pPr>
              <w:jc w:val="right"/>
              <w:rPr>
                <w:rFonts w:ascii="Arial" w:hAnsi="Arial" w:cs="Arial"/>
                <w:szCs w:val="24"/>
                <w:lang w:eastAsia="en-GB"/>
              </w:rPr>
            </w:pPr>
            <w:r>
              <w:rPr>
                <w:rFonts w:ascii="Arial" w:hAnsi="Arial" w:cs="Arial"/>
              </w:rPr>
              <w:t>1.588</w:t>
            </w:r>
          </w:p>
        </w:tc>
        <w:tc>
          <w:tcPr>
            <w:tcW w:w="1100" w:type="dxa"/>
            <w:shd w:val="clear" w:color="auto" w:fill="auto"/>
            <w:vAlign w:val="center"/>
            <w:hideMark/>
          </w:tcPr>
          <w:p w14:paraId="7313EAA3" w14:textId="77777777" w:rsidR="00C17D82" w:rsidRPr="00624974" w:rsidRDefault="00C17D82" w:rsidP="00C774DC">
            <w:pPr>
              <w:jc w:val="right"/>
              <w:rPr>
                <w:rFonts w:ascii="Arial" w:hAnsi="Arial" w:cs="Arial"/>
                <w:szCs w:val="24"/>
                <w:lang w:eastAsia="en-GB"/>
              </w:rPr>
            </w:pPr>
            <w:r>
              <w:rPr>
                <w:rFonts w:ascii="Arial" w:hAnsi="Arial" w:cs="Arial"/>
              </w:rPr>
              <w:t>1.220</w:t>
            </w:r>
          </w:p>
        </w:tc>
        <w:tc>
          <w:tcPr>
            <w:tcW w:w="1100" w:type="dxa"/>
            <w:shd w:val="clear" w:color="auto" w:fill="auto"/>
            <w:vAlign w:val="center"/>
            <w:hideMark/>
          </w:tcPr>
          <w:p w14:paraId="5E1D5D0F" w14:textId="77777777" w:rsidR="00C17D82" w:rsidRPr="00624974" w:rsidRDefault="00C17D82" w:rsidP="00C774DC">
            <w:pPr>
              <w:jc w:val="right"/>
              <w:rPr>
                <w:rFonts w:ascii="Arial" w:hAnsi="Arial" w:cs="Arial"/>
                <w:szCs w:val="24"/>
                <w:lang w:eastAsia="en-GB"/>
              </w:rPr>
            </w:pPr>
            <w:r>
              <w:rPr>
                <w:rFonts w:ascii="Arial" w:hAnsi="Arial" w:cs="Arial"/>
              </w:rPr>
              <w:t>0.117</w:t>
            </w:r>
          </w:p>
        </w:tc>
        <w:tc>
          <w:tcPr>
            <w:tcW w:w="1100" w:type="dxa"/>
            <w:shd w:val="clear" w:color="auto" w:fill="auto"/>
            <w:vAlign w:val="center"/>
            <w:hideMark/>
          </w:tcPr>
          <w:p w14:paraId="2787ED61" w14:textId="77777777" w:rsidR="00C17D82" w:rsidRPr="00624974" w:rsidRDefault="00C17D82" w:rsidP="00C774DC">
            <w:pPr>
              <w:jc w:val="right"/>
              <w:rPr>
                <w:rFonts w:ascii="Arial" w:hAnsi="Arial" w:cs="Arial"/>
                <w:szCs w:val="24"/>
                <w:lang w:eastAsia="en-GB"/>
              </w:rPr>
            </w:pPr>
            <w:r>
              <w:rPr>
                <w:rFonts w:ascii="Arial" w:hAnsi="Arial" w:cs="Arial"/>
              </w:rPr>
              <w:t>0.563</w:t>
            </w:r>
          </w:p>
        </w:tc>
        <w:tc>
          <w:tcPr>
            <w:tcW w:w="1100" w:type="dxa"/>
            <w:shd w:val="clear" w:color="auto" w:fill="auto"/>
            <w:vAlign w:val="center"/>
            <w:hideMark/>
          </w:tcPr>
          <w:p w14:paraId="24AA6F6B" w14:textId="77777777" w:rsidR="00C17D82" w:rsidRPr="00624974" w:rsidRDefault="00C17D82" w:rsidP="00C774DC">
            <w:pPr>
              <w:jc w:val="right"/>
              <w:rPr>
                <w:rFonts w:ascii="Arial" w:hAnsi="Arial" w:cs="Arial"/>
                <w:szCs w:val="24"/>
                <w:lang w:eastAsia="en-GB"/>
              </w:rPr>
            </w:pPr>
            <w:r>
              <w:rPr>
                <w:rFonts w:ascii="Arial" w:hAnsi="Arial" w:cs="Arial"/>
              </w:rPr>
              <w:t>0.583</w:t>
            </w:r>
          </w:p>
        </w:tc>
      </w:tr>
      <w:tr w:rsidR="00C17D82" w:rsidRPr="00FD7629" w14:paraId="4F93F93E" w14:textId="77777777" w:rsidTr="00EF7FC1">
        <w:trPr>
          <w:trHeight w:val="255"/>
        </w:trPr>
        <w:tc>
          <w:tcPr>
            <w:tcW w:w="3005" w:type="dxa"/>
            <w:shd w:val="clear" w:color="auto" w:fill="auto"/>
            <w:vAlign w:val="center"/>
            <w:hideMark/>
          </w:tcPr>
          <w:p w14:paraId="27BAD50F"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Buildings</w:t>
            </w:r>
          </w:p>
        </w:tc>
        <w:tc>
          <w:tcPr>
            <w:tcW w:w="1100" w:type="dxa"/>
            <w:shd w:val="clear" w:color="auto" w:fill="auto"/>
            <w:vAlign w:val="center"/>
            <w:hideMark/>
          </w:tcPr>
          <w:p w14:paraId="458C55B9" w14:textId="77777777" w:rsidR="00C17D82" w:rsidRPr="00624974" w:rsidRDefault="00C17D82" w:rsidP="00C774DC">
            <w:pPr>
              <w:jc w:val="right"/>
              <w:rPr>
                <w:rFonts w:ascii="Arial" w:hAnsi="Arial" w:cs="Arial"/>
                <w:szCs w:val="24"/>
                <w:lang w:eastAsia="en-GB"/>
              </w:rPr>
            </w:pPr>
            <w:r>
              <w:rPr>
                <w:rFonts w:ascii="Arial" w:hAnsi="Arial" w:cs="Arial"/>
              </w:rPr>
              <w:t>3.948</w:t>
            </w:r>
          </w:p>
        </w:tc>
        <w:tc>
          <w:tcPr>
            <w:tcW w:w="1100" w:type="dxa"/>
            <w:shd w:val="clear" w:color="auto" w:fill="auto"/>
            <w:vAlign w:val="center"/>
            <w:hideMark/>
          </w:tcPr>
          <w:p w14:paraId="33C179AB" w14:textId="77777777" w:rsidR="00C17D82" w:rsidRPr="00624974" w:rsidRDefault="00C17D82" w:rsidP="00C774DC">
            <w:pPr>
              <w:jc w:val="right"/>
              <w:rPr>
                <w:rFonts w:ascii="Arial" w:hAnsi="Arial" w:cs="Arial"/>
                <w:szCs w:val="24"/>
                <w:lang w:eastAsia="en-GB"/>
              </w:rPr>
            </w:pPr>
            <w:r>
              <w:rPr>
                <w:rFonts w:ascii="Arial" w:hAnsi="Arial" w:cs="Arial"/>
              </w:rPr>
              <w:t>9.446</w:t>
            </w:r>
          </w:p>
        </w:tc>
        <w:tc>
          <w:tcPr>
            <w:tcW w:w="1100" w:type="dxa"/>
            <w:shd w:val="clear" w:color="auto" w:fill="auto"/>
            <w:vAlign w:val="center"/>
            <w:hideMark/>
          </w:tcPr>
          <w:p w14:paraId="20655856" w14:textId="77777777" w:rsidR="00C17D82" w:rsidRPr="00624974" w:rsidRDefault="00C17D82" w:rsidP="00C774DC">
            <w:pPr>
              <w:jc w:val="right"/>
              <w:rPr>
                <w:rFonts w:ascii="Arial" w:hAnsi="Arial" w:cs="Arial"/>
                <w:szCs w:val="24"/>
                <w:lang w:eastAsia="en-GB"/>
              </w:rPr>
            </w:pPr>
            <w:r>
              <w:rPr>
                <w:rFonts w:ascii="Arial" w:hAnsi="Arial" w:cs="Arial"/>
              </w:rPr>
              <w:t>27.816</w:t>
            </w:r>
          </w:p>
        </w:tc>
        <w:tc>
          <w:tcPr>
            <w:tcW w:w="1100" w:type="dxa"/>
            <w:shd w:val="clear" w:color="auto" w:fill="auto"/>
            <w:vAlign w:val="center"/>
            <w:hideMark/>
          </w:tcPr>
          <w:p w14:paraId="6AFA8C18" w14:textId="77777777" w:rsidR="00C17D82" w:rsidRPr="00624974" w:rsidRDefault="00C17D82" w:rsidP="00C774DC">
            <w:pPr>
              <w:jc w:val="right"/>
              <w:rPr>
                <w:rFonts w:ascii="Arial" w:hAnsi="Arial" w:cs="Arial"/>
                <w:szCs w:val="24"/>
                <w:lang w:eastAsia="en-GB"/>
              </w:rPr>
            </w:pPr>
            <w:r>
              <w:rPr>
                <w:rFonts w:ascii="Arial" w:hAnsi="Arial" w:cs="Arial"/>
              </w:rPr>
              <w:t>9.565</w:t>
            </w:r>
          </w:p>
        </w:tc>
        <w:tc>
          <w:tcPr>
            <w:tcW w:w="1100" w:type="dxa"/>
            <w:shd w:val="clear" w:color="auto" w:fill="auto"/>
            <w:vAlign w:val="center"/>
            <w:hideMark/>
          </w:tcPr>
          <w:p w14:paraId="28DD5F0B" w14:textId="77777777" w:rsidR="00C17D82" w:rsidRPr="00624974" w:rsidRDefault="00C17D82" w:rsidP="00C774DC">
            <w:pPr>
              <w:jc w:val="right"/>
              <w:rPr>
                <w:rFonts w:ascii="Arial" w:hAnsi="Arial" w:cs="Arial"/>
                <w:szCs w:val="24"/>
                <w:lang w:eastAsia="en-GB"/>
              </w:rPr>
            </w:pPr>
            <w:r>
              <w:rPr>
                <w:rFonts w:ascii="Arial" w:hAnsi="Arial" w:cs="Arial"/>
              </w:rPr>
              <w:t>11.001</w:t>
            </w:r>
          </w:p>
        </w:tc>
      </w:tr>
      <w:tr w:rsidR="00C17D82" w:rsidRPr="00FD7629" w14:paraId="3DBED42C" w14:textId="77777777" w:rsidTr="00EF7FC1">
        <w:trPr>
          <w:trHeight w:val="255"/>
        </w:trPr>
        <w:tc>
          <w:tcPr>
            <w:tcW w:w="3005" w:type="dxa"/>
            <w:shd w:val="clear" w:color="auto" w:fill="auto"/>
            <w:vAlign w:val="center"/>
            <w:hideMark/>
          </w:tcPr>
          <w:p w14:paraId="7ACDADF7"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ICT</w:t>
            </w:r>
          </w:p>
        </w:tc>
        <w:tc>
          <w:tcPr>
            <w:tcW w:w="1100" w:type="dxa"/>
            <w:shd w:val="clear" w:color="auto" w:fill="auto"/>
            <w:vAlign w:val="center"/>
            <w:hideMark/>
          </w:tcPr>
          <w:p w14:paraId="3F97D2E5" w14:textId="77777777" w:rsidR="00C17D82" w:rsidRPr="00624974" w:rsidRDefault="00C17D82" w:rsidP="00C774DC">
            <w:pPr>
              <w:jc w:val="right"/>
              <w:rPr>
                <w:rFonts w:ascii="Arial" w:hAnsi="Arial" w:cs="Arial"/>
                <w:szCs w:val="24"/>
                <w:lang w:eastAsia="en-GB"/>
              </w:rPr>
            </w:pPr>
            <w:r>
              <w:rPr>
                <w:rFonts w:ascii="Arial" w:hAnsi="Arial" w:cs="Arial"/>
              </w:rPr>
              <w:t>2.774</w:t>
            </w:r>
          </w:p>
        </w:tc>
        <w:tc>
          <w:tcPr>
            <w:tcW w:w="1100" w:type="dxa"/>
            <w:shd w:val="clear" w:color="auto" w:fill="auto"/>
            <w:vAlign w:val="center"/>
            <w:hideMark/>
          </w:tcPr>
          <w:p w14:paraId="3E825FE7" w14:textId="77777777" w:rsidR="00C17D82" w:rsidRPr="00624974" w:rsidRDefault="00C17D82" w:rsidP="00C774DC">
            <w:pPr>
              <w:jc w:val="right"/>
              <w:rPr>
                <w:rFonts w:ascii="Arial" w:hAnsi="Arial" w:cs="Arial"/>
                <w:szCs w:val="24"/>
                <w:lang w:eastAsia="en-GB"/>
              </w:rPr>
            </w:pPr>
            <w:r>
              <w:rPr>
                <w:rFonts w:ascii="Arial" w:hAnsi="Arial" w:cs="Arial"/>
              </w:rPr>
              <w:t>1.305</w:t>
            </w:r>
          </w:p>
        </w:tc>
        <w:tc>
          <w:tcPr>
            <w:tcW w:w="1100" w:type="dxa"/>
            <w:shd w:val="clear" w:color="auto" w:fill="auto"/>
            <w:vAlign w:val="center"/>
            <w:hideMark/>
          </w:tcPr>
          <w:p w14:paraId="2AA5EA0D" w14:textId="77777777" w:rsidR="00C17D82" w:rsidRPr="00624974" w:rsidRDefault="00C17D82" w:rsidP="00C774DC">
            <w:pPr>
              <w:jc w:val="right"/>
              <w:rPr>
                <w:rFonts w:ascii="Arial" w:hAnsi="Arial" w:cs="Arial"/>
                <w:szCs w:val="24"/>
                <w:lang w:eastAsia="en-GB"/>
              </w:rPr>
            </w:pPr>
            <w:r>
              <w:rPr>
                <w:rFonts w:ascii="Arial" w:hAnsi="Arial" w:cs="Arial"/>
              </w:rPr>
              <w:t>0.110</w:t>
            </w:r>
          </w:p>
        </w:tc>
        <w:tc>
          <w:tcPr>
            <w:tcW w:w="1100" w:type="dxa"/>
            <w:shd w:val="clear" w:color="auto" w:fill="auto"/>
            <w:vAlign w:val="center"/>
            <w:hideMark/>
          </w:tcPr>
          <w:p w14:paraId="3A10B2FD" w14:textId="77777777" w:rsidR="00C17D82" w:rsidRPr="00624974" w:rsidRDefault="00C17D82" w:rsidP="00C774DC">
            <w:pPr>
              <w:jc w:val="right"/>
              <w:rPr>
                <w:rFonts w:ascii="Arial" w:hAnsi="Arial" w:cs="Arial"/>
                <w:szCs w:val="24"/>
                <w:lang w:eastAsia="en-GB"/>
              </w:rPr>
            </w:pPr>
            <w:r>
              <w:rPr>
                <w:rFonts w:ascii="Arial" w:hAnsi="Arial" w:cs="Arial"/>
              </w:rPr>
              <w:t>0.550</w:t>
            </w:r>
          </w:p>
        </w:tc>
        <w:tc>
          <w:tcPr>
            <w:tcW w:w="1100" w:type="dxa"/>
            <w:shd w:val="clear" w:color="auto" w:fill="auto"/>
            <w:vAlign w:val="center"/>
            <w:hideMark/>
          </w:tcPr>
          <w:p w14:paraId="2DAF6B94" w14:textId="77777777" w:rsidR="00C17D82" w:rsidRPr="00624974" w:rsidRDefault="00C17D82" w:rsidP="00C774DC">
            <w:pPr>
              <w:jc w:val="right"/>
              <w:rPr>
                <w:rFonts w:ascii="Arial" w:hAnsi="Arial" w:cs="Arial"/>
                <w:szCs w:val="24"/>
                <w:lang w:eastAsia="en-GB"/>
              </w:rPr>
            </w:pPr>
            <w:r>
              <w:rPr>
                <w:rFonts w:ascii="Arial" w:hAnsi="Arial" w:cs="Arial"/>
              </w:rPr>
              <w:t>0.600</w:t>
            </w:r>
          </w:p>
        </w:tc>
      </w:tr>
      <w:tr w:rsidR="00C17D82" w:rsidRPr="00624974" w14:paraId="5332C209" w14:textId="77777777" w:rsidTr="00EF7FC1">
        <w:trPr>
          <w:trHeight w:val="255"/>
        </w:trPr>
        <w:tc>
          <w:tcPr>
            <w:tcW w:w="3005" w:type="dxa"/>
            <w:shd w:val="clear" w:color="auto" w:fill="auto"/>
            <w:vAlign w:val="center"/>
            <w:hideMark/>
          </w:tcPr>
          <w:p w14:paraId="5CDE79CB" w14:textId="77777777" w:rsidR="00C17D82" w:rsidRPr="00624974" w:rsidRDefault="00C17D82" w:rsidP="00C774DC">
            <w:pPr>
              <w:jc w:val="right"/>
              <w:rPr>
                <w:rFonts w:ascii="Arial" w:hAnsi="Arial" w:cs="Arial"/>
                <w:b/>
                <w:bCs/>
                <w:szCs w:val="24"/>
                <w:lang w:eastAsia="en-GB"/>
              </w:rPr>
            </w:pPr>
          </w:p>
        </w:tc>
        <w:tc>
          <w:tcPr>
            <w:tcW w:w="1100" w:type="dxa"/>
            <w:shd w:val="clear" w:color="auto" w:fill="auto"/>
            <w:vAlign w:val="center"/>
            <w:hideMark/>
          </w:tcPr>
          <w:p w14:paraId="5DF34A78" w14:textId="77777777" w:rsidR="00C17D82" w:rsidRPr="00624974" w:rsidRDefault="00C17D82" w:rsidP="00C774DC">
            <w:pPr>
              <w:jc w:val="right"/>
              <w:rPr>
                <w:rFonts w:ascii="Arial" w:hAnsi="Arial" w:cs="Arial"/>
                <w:b/>
                <w:bCs/>
                <w:szCs w:val="24"/>
                <w:lang w:eastAsia="en-GB"/>
              </w:rPr>
            </w:pPr>
            <w:r>
              <w:rPr>
                <w:rFonts w:ascii="Arial" w:hAnsi="Arial" w:cs="Arial"/>
                <w:b/>
                <w:bCs/>
              </w:rPr>
              <w:t>12.761</w:t>
            </w:r>
          </w:p>
        </w:tc>
        <w:tc>
          <w:tcPr>
            <w:tcW w:w="1100" w:type="dxa"/>
            <w:shd w:val="clear" w:color="auto" w:fill="auto"/>
            <w:vAlign w:val="center"/>
            <w:hideMark/>
          </w:tcPr>
          <w:p w14:paraId="597CC2BF" w14:textId="77777777" w:rsidR="00C17D82" w:rsidRPr="00624974" w:rsidRDefault="00C17D82" w:rsidP="00C774DC">
            <w:pPr>
              <w:jc w:val="right"/>
              <w:rPr>
                <w:rFonts w:ascii="Arial" w:hAnsi="Arial" w:cs="Arial"/>
                <w:b/>
                <w:bCs/>
                <w:szCs w:val="24"/>
                <w:lang w:eastAsia="en-GB"/>
              </w:rPr>
            </w:pPr>
            <w:r>
              <w:rPr>
                <w:rFonts w:ascii="Arial" w:hAnsi="Arial" w:cs="Arial"/>
                <w:b/>
                <w:bCs/>
              </w:rPr>
              <w:t>14.796</w:t>
            </w:r>
          </w:p>
        </w:tc>
        <w:tc>
          <w:tcPr>
            <w:tcW w:w="1100" w:type="dxa"/>
            <w:shd w:val="clear" w:color="auto" w:fill="auto"/>
            <w:vAlign w:val="center"/>
            <w:hideMark/>
          </w:tcPr>
          <w:p w14:paraId="2247FB78" w14:textId="77777777" w:rsidR="00C17D82" w:rsidRPr="00624974" w:rsidRDefault="00C17D82" w:rsidP="00C774DC">
            <w:pPr>
              <w:jc w:val="right"/>
              <w:rPr>
                <w:rFonts w:ascii="Arial" w:hAnsi="Arial" w:cs="Arial"/>
                <w:b/>
                <w:bCs/>
                <w:szCs w:val="24"/>
                <w:lang w:eastAsia="en-GB"/>
              </w:rPr>
            </w:pPr>
            <w:r>
              <w:rPr>
                <w:rFonts w:ascii="Arial" w:hAnsi="Arial" w:cs="Arial"/>
                <w:b/>
                <w:bCs/>
              </w:rPr>
              <w:t>30.078</w:t>
            </w:r>
          </w:p>
        </w:tc>
        <w:tc>
          <w:tcPr>
            <w:tcW w:w="1100" w:type="dxa"/>
            <w:shd w:val="clear" w:color="auto" w:fill="auto"/>
            <w:vAlign w:val="center"/>
            <w:hideMark/>
          </w:tcPr>
          <w:p w14:paraId="3E86FB84" w14:textId="77777777" w:rsidR="00C17D82" w:rsidRPr="00624974" w:rsidRDefault="00C17D82" w:rsidP="00C774DC">
            <w:pPr>
              <w:jc w:val="right"/>
              <w:rPr>
                <w:rFonts w:ascii="Arial" w:hAnsi="Arial" w:cs="Arial"/>
                <w:b/>
                <w:bCs/>
                <w:szCs w:val="24"/>
                <w:lang w:eastAsia="en-GB"/>
              </w:rPr>
            </w:pPr>
            <w:r>
              <w:rPr>
                <w:rFonts w:ascii="Arial" w:hAnsi="Arial" w:cs="Arial"/>
                <w:b/>
                <w:bCs/>
              </w:rPr>
              <w:t>13.148</w:t>
            </w:r>
          </w:p>
        </w:tc>
        <w:tc>
          <w:tcPr>
            <w:tcW w:w="1100" w:type="dxa"/>
            <w:shd w:val="clear" w:color="auto" w:fill="auto"/>
            <w:vAlign w:val="center"/>
            <w:hideMark/>
          </w:tcPr>
          <w:p w14:paraId="5B6BD762" w14:textId="77777777" w:rsidR="00C17D82" w:rsidRPr="00624974" w:rsidRDefault="00C17D82" w:rsidP="00C774DC">
            <w:pPr>
              <w:jc w:val="right"/>
              <w:rPr>
                <w:rFonts w:ascii="Arial" w:hAnsi="Arial" w:cs="Arial"/>
                <w:b/>
                <w:bCs/>
                <w:szCs w:val="24"/>
                <w:lang w:eastAsia="en-GB"/>
              </w:rPr>
            </w:pPr>
            <w:r>
              <w:rPr>
                <w:rFonts w:ascii="Arial" w:hAnsi="Arial" w:cs="Arial"/>
                <w:b/>
                <w:bCs/>
              </w:rPr>
              <w:t>15.079</w:t>
            </w:r>
          </w:p>
        </w:tc>
      </w:tr>
      <w:tr w:rsidR="00C17D82" w:rsidRPr="00FD7629" w14:paraId="4D132E15" w14:textId="77777777" w:rsidTr="00EF7FC1">
        <w:trPr>
          <w:trHeight w:val="255"/>
        </w:trPr>
        <w:tc>
          <w:tcPr>
            <w:tcW w:w="3005" w:type="dxa"/>
            <w:shd w:val="clear" w:color="auto" w:fill="auto"/>
            <w:vAlign w:val="center"/>
            <w:hideMark/>
          </w:tcPr>
          <w:p w14:paraId="5D4AC1A3" w14:textId="77777777" w:rsidR="00C17D82" w:rsidRPr="00FD7629" w:rsidRDefault="00C17D82" w:rsidP="00C774DC">
            <w:pPr>
              <w:rPr>
                <w:rFonts w:ascii="Arial" w:hAnsi="Arial" w:cs="Arial"/>
                <w:b/>
                <w:bCs/>
                <w:szCs w:val="24"/>
                <w:lang w:eastAsia="en-GB"/>
              </w:rPr>
            </w:pPr>
            <w:r w:rsidRPr="00FD7629">
              <w:rPr>
                <w:rFonts w:ascii="Arial" w:hAnsi="Arial" w:cs="Arial"/>
                <w:b/>
                <w:bCs/>
                <w:szCs w:val="24"/>
                <w:lang w:eastAsia="en-GB"/>
              </w:rPr>
              <w:t>Funding</w:t>
            </w:r>
          </w:p>
        </w:tc>
        <w:tc>
          <w:tcPr>
            <w:tcW w:w="1100" w:type="dxa"/>
            <w:shd w:val="clear" w:color="auto" w:fill="auto"/>
            <w:vAlign w:val="center"/>
            <w:hideMark/>
          </w:tcPr>
          <w:p w14:paraId="17F37969" w14:textId="77777777" w:rsidR="00C17D82" w:rsidRPr="00624974" w:rsidRDefault="00C17D82" w:rsidP="00C774DC">
            <w:pPr>
              <w:jc w:val="right"/>
              <w:rPr>
                <w:rFonts w:ascii="Arial" w:hAnsi="Arial" w:cs="Arial"/>
                <w:szCs w:val="24"/>
                <w:lang w:eastAsia="en-GB"/>
              </w:rPr>
            </w:pPr>
          </w:p>
        </w:tc>
        <w:tc>
          <w:tcPr>
            <w:tcW w:w="1100" w:type="dxa"/>
            <w:shd w:val="clear" w:color="auto" w:fill="auto"/>
            <w:vAlign w:val="center"/>
            <w:hideMark/>
          </w:tcPr>
          <w:p w14:paraId="728579E6" w14:textId="77777777" w:rsidR="00C17D82" w:rsidRPr="00624974" w:rsidRDefault="00C17D82" w:rsidP="00C774DC">
            <w:pPr>
              <w:jc w:val="right"/>
              <w:rPr>
                <w:rFonts w:ascii="Arial" w:hAnsi="Arial" w:cs="Arial"/>
                <w:szCs w:val="24"/>
                <w:lang w:eastAsia="en-GB"/>
              </w:rPr>
            </w:pPr>
          </w:p>
        </w:tc>
        <w:tc>
          <w:tcPr>
            <w:tcW w:w="1100" w:type="dxa"/>
            <w:shd w:val="clear" w:color="auto" w:fill="auto"/>
            <w:vAlign w:val="center"/>
            <w:hideMark/>
          </w:tcPr>
          <w:p w14:paraId="05A254B5" w14:textId="77777777" w:rsidR="00C17D82" w:rsidRPr="00624974" w:rsidRDefault="00C17D82" w:rsidP="00C774DC">
            <w:pPr>
              <w:jc w:val="right"/>
              <w:rPr>
                <w:rFonts w:ascii="Arial" w:hAnsi="Arial" w:cs="Arial"/>
                <w:szCs w:val="24"/>
                <w:lang w:eastAsia="en-GB"/>
              </w:rPr>
            </w:pPr>
          </w:p>
        </w:tc>
        <w:tc>
          <w:tcPr>
            <w:tcW w:w="1100" w:type="dxa"/>
            <w:shd w:val="clear" w:color="auto" w:fill="auto"/>
            <w:vAlign w:val="center"/>
            <w:hideMark/>
          </w:tcPr>
          <w:p w14:paraId="3F9869D0" w14:textId="77777777" w:rsidR="00C17D82" w:rsidRPr="00624974" w:rsidRDefault="00C17D82" w:rsidP="00C774DC">
            <w:pPr>
              <w:jc w:val="right"/>
              <w:rPr>
                <w:rFonts w:ascii="Arial" w:hAnsi="Arial" w:cs="Arial"/>
                <w:szCs w:val="24"/>
                <w:lang w:eastAsia="en-GB"/>
              </w:rPr>
            </w:pPr>
          </w:p>
        </w:tc>
        <w:tc>
          <w:tcPr>
            <w:tcW w:w="1100" w:type="dxa"/>
            <w:shd w:val="clear" w:color="auto" w:fill="auto"/>
            <w:vAlign w:val="center"/>
            <w:hideMark/>
          </w:tcPr>
          <w:p w14:paraId="55202408" w14:textId="77777777" w:rsidR="00C17D82" w:rsidRPr="00624974" w:rsidRDefault="00C17D82" w:rsidP="00C774DC">
            <w:pPr>
              <w:jc w:val="right"/>
              <w:rPr>
                <w:rFonts w:ascii="Arial" w:hAnsi="Arial" w:cs="Arial"/>
                <w:szCs w:val="24"/>
                <w:lang w:eastAsia="en-GB"/>
              </w:rPr>
            </w:pPr>
          </w:p>
        </w:tc>
      </w:tr>
      <w:tr w:rsidR="00C17D82" w:rsidRPr="00FD7629" w14:paraId="41A3E1C1" w14:textId="77777777" w:rsidTr="00EF7FC1">
        <w:trPr>
          <w:trHeight w:val="255"/>
        </w:trPr>
        <w:tc>
          <w:tcPr>
            <w:tcW w:w="3005" w:type="dxa"/>
            <w:shd w:val="clear" w:color="auto" w:fill="auto"/>
            <w:vAlign w:val="center"/>
            <w:hideMark/>
          </w:tcPr>
          <w:p w14:paraId="73DBBA09"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Revenue Contributions</w:t>
            </w:r>
          </w:p>
        </w:tc>
        <w:tc>
          <w:tcPr>
            <w:tcW w:w="1100" w:type="dxa"/>
            <w:shd w:val="clear" w:color="auto" w:fill="auto"/>
            <w:vAlign w:val="center"/>
            <w:hideMark/>
          </w:tcPr>
          <w:p w14:paraId="4F7CE660" w14:textId="77777777" w:rsidR="00C17D82" w:rsidRPr="00624974" w:rsidRDefault="00C17D82" w:rsidP="00C774DC">
            <w:pPr>
              <w:jc w:val="right"/>
              <w:rPr>
                <w:rFonts w:ascii="Arial" w:hAnsi="Arial" w:cs="Arial"/>
                <w:szCs w:val="24"/>
                <w:lang w:eastAsia="en-GB"/>
              </w:rPr>
            </w:pPr>
            <w:r>
              <w:rPr>
                <w:rFonts w:ascii="Arial" w:hAnsi="Arial" w:cs="Arial"/>
              </w:rPr>
              <w:t>2.500</w:t>
            </w:r>
          </w:p>
        </w:tc>
        <w:tc>
          <w:tcPr>
            <w:tcW w:w="1100" w:type="dxa"/>
            <w:shd w:val="clear" w:color="auto" w:fill="auto"/>
            <w:vAlign w:val="center"/>
            <w:hideMark/>
          </w:tcPr>
          <w:p w14:paraId="059EDB80" w14:textId="77777777" w:rsidR="00C17D82" w:rsidRPr="00624974" w:rsidRDefault="00C17D82" w:rsidP="00C774DC">
            <w:pPr>
              <w:jc w:val="right"/>
              <w:rPr>
                <w:rFonts w:ascii="Arial" w:hAnsi="Arial" w:cs="Arial"/>
                <w:szCs w:val="24"/>
                <w:lang w:eastAsia="en-GB"/>
              </w:rPr>
            </w:pPr>
            <w:r>
              <w:rPr>
                <w:rFonts w:ascii="Arial" w:hAnsi="Arial" w:cs="Arial"/>
              </w:rPr>
              <w:t>3.000</w:t>
            </w:r>
          </w:p>
        </w:tc>
        <w:tc>
          <w:tcPr>
            <w:tcW w:w="1100" w:type="dxa"/>
            <w:shd w:val="clear" w:color="auto" w:fill="auto"/>
            <w:vAlign w:val="center"/>
            <w:hideMark/>
          </w:tcPr>
          <w:p w14:paraId="3A57832F" w14:textId="77777777" w:rsidR="00C17D82" w:rsidRPr="00624974" w:rsidRDefault="00C17D82" w:rsidP="00C774DC">
            <w:pPr>
              <w:jc w:val="right"/>
              <w:rPr>
                <w:rFonts w:ascii="Arial" w:hAnsi="Arial" w:cs="Arial"/>
                <w:szCs w:val="24"/>
                <w:lang w:eastAsia="en-GB"/>
              </w:rPr>
            </w:pPr>
            <w:r>
              <w:rPr>
                <w:rFonts w:ascii="Arial" w:hAnsi="Arial" w:cs="Arial"/>
              </w:rPr>
              <w:t>3.500</w:t>
            </w:r>
          </w:p>
        </w:tc>
        <w:tc>
          <w:tcPr>
            <w:tcW w:w="1100" w:type="dxa"/>
            <w:shd w:val="clear" w:color="auto" w:fill="auto"/>
            <w:vAlign w:val="center"/>
            <w:hideMark/>
          </w:tcPr>
          <w:p w14:paraId="4A507911" w14:textId="77777777" w:rsidR="00C17D82" w:rsidRPr="00624974" w:rsidRDefault="00C17D82" w:rsidP="00C774DC">
            <w:pPr>
              <w:jc w:val="right"/>
              <w:rPr>
                <w:rFonts w:ascii="Arial" w:hAnsi="Arial" w:cs="Arial"/>
                <w:szCs w:val="24"/>
                <w:lang w:eastAsia="en-GB"/>
              </w:rPr>
            </w:pPr>
            <w:r>
              <w:rPr>
                <w:rFonts w:ascii="Arial" w:hAnsi="Arial" w:cs="Arial"/>
              </w:rPr>
              <w:t>4.000</w:t>
            </w:r>
          </w:p>
        </w:tc>
        <w:tc>
          <w:tcPr>
            <w:tcW w:w="1100" w:type="dxa"/>
            <w:shd w:val="clear" w:color="auto" w:fill="auto"/>
            <w:vAlign w:val="center"/>
            <w:hideMark/>
          </w:tcPr>
          <w:p w14:paraId="0C415699" w14:textId="77777777" w:rsidR="00C17D82" w:rsidRPr="00624974" w:rsidRDefault="00C17D82" w:rsidP="00C774DC">
            <w:pPr>
              <w:jc w:val="right"/>
              <w:rPr>
                <w:rFonts w:ascii="Arial" w:hAnsi="Arial" w:cs="Arial"/>
                <w:szCs w:val="24"/>
                <w:lang w:eastAsia="en-GB"/>
              </w:rPr>
            </w:pPr>
            <w:r>
              <w:rPr>
                <w:rFonts w:ascii="Arial" w:hAnsi="Arial" w:cs="Arial"/>
              </w:rPr>
              <w:t>4.000</w:t>
            </w:r>
          </w:p>
        </w:tc>
      </w:tr>
      <w:tr w:rsidR="00C17D82" w:rsidRPr="00FD7629" w14:paraId="4AEB6BDE" w14:textId="77777777" w:rsidTr="00EF7FC1">
        <w:trPr>
          <w:trHeight w:val="255"/>
        </w:trPr>
        <w:tc>
          <w:tcPr>
            <w:tcW w:w="3005" w:type="dxa"/>
            <w:shd w:val="clear" w:color="auto" w:fill="auto"/>
            <w:vAlign w:val="center"/>
            <w:hideMark/>
          </w:tcPr>
          <w:p w14:paraId="47188F77"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Capital Reserve</w:t>
            </w:r>
          </w:p>
        </w:tc>
        <w:tc>
          <w:tcPr>
            <w:tcW w:w="1100" w:type="dxa"/>
            <w:shd w:val="clear" w:color="auto" w:fill="auto"/>
            <w:vAlign w:val="center"/>
            <w:hideMark/>
          </w:tcPr>
          <w:p w14:paraId="1444A6B8" w14:textId="77777777" w:rsidR="00C17D82" w:rsidRPr="00624974" w:rsidRDefault="00C17D82" w:rsidP="00C774DC">
            <w:pPr>
              <w:jc w:val="right"/>
              <w:rPr>
                <w:rFonts w:ascii="Arial" w:hAnsi="Arial" w:cs="Arial"/>
                <w:szCs w:val="24"/>
                <w:lang w:eastAsia="en-GB"/>
              </w:rPr>
            </w:pPr>
            <w:r>
              <w:rPr>
                <w:rFonts w:ascii="Arial" w:hAnsi="Arial" w:cs="Arial"/>
              </w:rPr>
              <w:t>10.261</w:t>
            </w:r>
          </w:p>
        </w:tc>
        <w:tc>
          <w:tcPr>
            <w:tcW w:w="1100" w:type="dxa"/>
            <w:shd w:val="clear" w:color="auto" w:fill="auto"/>
            <w:vAlign w:val="center"/>
            <w:hideMark/>
          </w:tcPr>
          <w:p w14:paraId="28BC9632" w14:textId="77777777" w:rsidR="00C17D82" w:rsidRPr="00624974" w:rsidRDefault="00C17D82" w:rsidP="00C774DC">
            <w:pPr>
              <w:jc w:val="right"/>
              <w:rPr>
                <w:rFonts w:ascii="Arial" w:hAnsi="Arial" w:cs="Arial"/>
                <w:szCs w:val="24"/>
                <w:lang w:eastAsia="en-GB"/>
              </w:rPr>
            </w:pPr>
            <w:r>
              <w:rPr>
                <w:rFonts w:ascii="Arial" w:hAnsi="Arial" w:cs="Arial"/>
              </w:rPr>
              <w:t>6.618</w:t>
            </w:r>
          </w:p>
        </w:tc>
        <w:tc>
          <w:tcPr>
            <w:tcW w:w="1100" w:type="dxa"/>
            <w:shd w:val="clear" w:color="auto" w:fill="auto"/>
            <w:vAlign w:val="center"/>
            <w:hideMark/>
          </w:tcPr>
          <w:p w14:paraId="65DABC3A"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1373E287"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5FC60645" w14:textId="77777777" w:rsidR="00C17D82" w:rsidRPr="00624974" w:rsidRDefault="00C17D82" w:rsidP="00C774DC">
            <w:pPr>
              <w:jc w:val="right"/>
              <w:rPr>
                <w:rFonts w:ascii="Arial" w:hAnsi="Arial" w:cs="Arial"/>
                <w:szCs w:val="24"/>
                <w:lang w:eastAsia="en-GB"/>
              </w:rPr>
            </w:pPr>
            <w:r>
              <w:rPr>
                <w:rFonts w:ascii="Arial" w:hAnsi="Arial" w:cs="Arial"/>
              </w:rPr>
              <w:t>0.000</w:t>
            </w:r>
          </w:p>
        </w:tc>
      </w:tr>
      <w:tr w:rsidR="00C17D82" w:rsidRPr="00FD7629" w14:paraId="7A92866A" w14:textId="77777777" w:rsidTr="00EF7FC1">
        <w:trPr>
          <w:trHeight w:val="255"/>
        </w:trPr>
        <w:tc>
          <w:tcPr>
            <w:tcW w:w="3005" w:type="dxa"/>
            <w:shd w:val="clear" w:color="auto" w:fill="auto"/>
            <w:vAlign w:val="center"/>
            <w:hideMark/>
          </w:tcPr>
          <w:p w14:paraId="44960594"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Capital Receipts</w:t>
            </w:r>
          </w:p>
        </w:tc>
        <w:tc>
          <w:tcPr>
            <w:tcW w:w="1100" w:type="dxa"/>
            <w:shd w:val="clear" w:color="auto" w:fill="auto"/>
            <w:vAlign w:val="center"/>
            <w:hideMark/>
          </w:tcPr>
          <w:p w14:paraId="4A60E81D"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02B58937"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095DACF2"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69C0689A"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1579BE9F" w14:textId="77777777" w:rsidR="00C17D82" w:rsidRPr="00624974" w:rsidRDefault="00C17D82" w:rsidP="00C774DC">
            <w:pPr>
              <w:jc w:val="right"/>
              <w:rPr>
                <w:rFonts w:ascii="Arial" w:hAnsi="Arial" w:cs="Arial"/>
                <w:szCs w:val="24"/>
                <w:lang w:eastAsia="en-GB"/>
              </w:rPr>
            </w:pPr>
            <w:r>
              <w:rPr>
                <w:rFonts w:ascii="Arial" w:hAnsi="Arial" w:cs="Arial"/>
              </w:rPr>
              <w:t>1.600</w:t>
            </w:r>
          </w:p>
        </w:tc>
      </w:tr>
      <w:tr w:rsidR="00C17D82" w:rsidRPr="00FD7629" w14:paraId="1EDF6151" w14:textId="77777777" w:rsidTr="00EF7FC1">
        <w:trPr>
          <w:trHeight w:val="255"/>
        </w:trPr>
        <w:tc>
          <w:tcPr>
            <w:tcW w:w="3005" w:type="dxa"/>
            <w:shd w:val="clear" w:color="auto" w:fill="auto"/>
            <w:vAlign w:val="center"/>
            <w:hideMark/>
          </w:tcPr>
          <w:p w14:paraId="623B9A99"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Grants</w:t>
            </w:r>
          </w:p>
        </w:tc>
        <w:tc>
          <w:tcPr>
            <w:tcW w:w="1100" w:type="dxa"/>
            <w:shd w:val="clear" w:color="auto" w:fill="auto"/>
            <w:vAlign w:val="center"/>
            <w:hideMark/>
          </w:tcPr>
          <w:p w14:paraId="23A6D6CC"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528B0336" w14:textId="77777777" w:rsidR="00C17D82" w:rsidRPr="00624974" w:rsidRDefault="00C17D82" w:rsidP="00C774DC">
            <w:pPr>
              <w:jc w:val="right"/>
              <w:rPr>
                <w:rFonts w:ascii="Arial" w:hAnsi="Arial" w:cs="Arial"/>
                <w:szCs w:val="24"/>
                <w:lang w:eastAsia="en-GB"/>
              </w:rPr>
            </w:pPr>
            <w:r>
              <w:rPr>
                <w:rFonts w:ascii="Arial" w:hAnsi="Arial" w:cs="Arial"/>
              </w:rPr>
              <w:t>1.000</w:t>
            </w:r>
          </w:p>
        </w:tc>
        <w:tc>
          <w:tcPr>
            <w:tcW w:w="1100" w:type="dxa"/>
            <w:shd w:val="clear" w:color="auto" w:fill="auto"/>
            <w:vAlign w:val="center"/>
            <w:hideMark/>
          </w:tcPr>
          <w:p w14:paraId="3A0703D0"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3A2A0A32"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79D5EC83" w14:textId="77777777" w:rsidR="00C17D82" w:rsidRPr="00624974" w:rsidRDefault="00C17D82" w:rsidP="00C774DC">
            <w:pPr>
              <w:jc w:val="right"/>
              <w:rPr>
                <w:rFonts w:ascii="Arial" w:hAnsi="Arial" w:cs="Arial"/>
                <w:szCs w:val="24"/>
                <w:lang w:eastAsia="en-GB"/>
              </w:rPr>
            </w:pPr>
            <w:r>
              <w:rPr>
                <w:rFonts w:ascii="Arial" w:hAnsi="Arial" w:cs="Arial"/>
              </w:rPr>
              <w:t>0.000</w:t>
            </w:r>
          </w:p>
        </w:tc>
      </w:tr>
      <w:tr w:rsidR="00C17D82" w:rsidRPr="00FD7629" w14:paraId="0400727F" w14:textId="77777777" w:rsidTr="00EF7FC1">
        <w:trPr>
          <w:trHeight w:val="255"/>
        </w:trPr>
        <w:tc>
          <w:tcPr>
            <w:tcW w:w="3005" w:type="dxa"/>
            <w:shd w:val="clear" w:color="auto" w:fill="auto"/>
            <w:vAlign w:val="center"/>
            <w:hideMark/>
          </w:tcPr>
          <w:p w14:paraId="7AA5207C" w14:textId="77777777" w:rsidR="00C17D82" w:rsidRPr="00FD7629" w:rsidRDefault="00C17D82" w:rsidP="00C774DC">
            <w:pPr>
              <w:rPr>
                <w:rFonts w:ascii="Arial" w:hAnsi="Arial" w:cs="Arial"/>
                <w:szCs w:val="24"/>
                <w:lang w:eastAsia="en-GB"/>
              </w:rPr>
            </w:pPr>
            <w:r w:rsidRPr="00FD7629">
              <w:rPr>
                <w:rFonts w:ascii="Arial" w:hAnsi="Arial" w:cs="Arial"/>
                <w:szCs w:val="24"/>
                <w:lang w:eastAsia="en-GB"/>
              </w:rPr>
              <w:t>Borrowing</w:t>
            </w:r>
          </w:p>
        </w:tc>
        <w:tc>
          <w:tcPr>
            <w:tcW w:w="1100" w:type="dxa"/>
            <w:shd w:val="clear" w:color="auto" w:fill="auto"/>
            <w:vAlign w:val="center"/>
            <w:hideMark/>
          </w:tcPr>
          <w:p w14:paraId="2BDC40DD" w14:textId="77777777" w:rsidR="00C17D82" w:rsidRPr="00624974" w:rsidRDefault="00C17D82" w:rsidP="00C774DC">
            <w:pPr>
              <w:jc w:val="right"/>
              <w:rPr>
                <w:rFonts w:ascii="Arial" w:hAnsi="Arial" w:cs="Arial"/>
                <w:szCs w:val="24"/>
                <w:lang w:eastAsia="en-GB"/>
              </w:rPr>
            </w:pPr>
            <w:r>
              <w:rPr>
                <w:rFonts w:ascii="Arial" w:hAnsi="Arial" w:cs="Arial"/>
              </w:rPr>
              <w:t>0.000</w:t>
            </w:r>
          </w:p>
        </w:tc>
        <w:tc>
          <w:tcPr>
            <w:tcW w:w="1100" w:type="dxa"/>
            <w:shd w:val="clear" w:color="auto" w:fill="auto"/>
            <w:vAlign w:val="center"/>
            <w:hideMark/>
          </w:tcPr>
          <w:p w14:paraId="3BB13607" w14:textId="77777777" w:rsidR="00C17D82" w:rsidRPr="00624974" w:rsidRDefault="00C17D82" w:rsidP="00C774DC">
            <w:pPr>
              <w:jc w:val="right"/>
              <w:rPr>
                <w:rFonts w:ascii="Arial" w:hAnsi="Arial" w:cs="Arial"/>
                <w:szCs w:val="24"/>
                <w:lang w:eastAsia="en-GB"/>
              </w:rPr>
            </w:pPr>
            <w:r>
              <w:rPr>
                <w:rFonts w:ascii="Arial" w:hAnsi="Arial" w:cs="Arial"/>
              </w:rPr>
              <w:t>4.178</w:t>
            </w:r>
          </w:p>
        </w:tc>
        <w:tc>
          <w:tcPr>
            <w:tcW w:w="1100" w:type="dxa"/>
            <w:shd w:val="clear" w:color="auto" w:fill="auto"/>
            <w:vAlign w:val="center"/>
            <w:hideMark/>
          </w:tcPr>
          <w:p w14:paraId="187278EC" w14:textId="77777777" w:rsidR="00C17D82" w:rsidRPr="00624974" w:rsidRDefault="00C17D82" w:rsidP="00C774DC">
            <w:pPr>
              <w:jc w:val="right"/>
              <w:rPr>
                <w:rFonts w:ascii="Arial" w:hAnsi="Arial" w:cs="Arial"/>
                <w:szCs w:val="24"/>
                <w:lang w:eastAsia="en-GB"/>
              </w:rPr>
            </w:pPr>
            <w:r>
              <w:rPr>
                <w:rFonts w:ascii="Arial" w:hAnsi="Arial" w:cs="Arial"/>
              </w:rPr>
              <w:t>26.578</w:t>
            </w:r>
          </w:p>
        </w:tc>
        <w:tc>
          <w:tcPr>
            <w:tcW w:w="1100" w:type="dxa"/>
            <w:shd w:val="clear" w:color="auto" w:fill="auto"/>
            <w:vAlign w:val="center"/>
            <w:hideMark/>
          </w:tcPr>
          <w:p w14:paraId="7A95A90F" w14:textId="77777777" w:rsidR="00C17D82" w:rsidRPr="00624974" w:rsidRDefault="00C17D82" w:rsidP="00C774DC">
            <w:pPr>
              <w:jc w:val="right"/>
              <w:rPr>
                <w:rFonts w:ascii="Arial" w:hAnsi="Arial" w:cs="Arial"/>
                <w:szCs w:val="24"/>
                <w:lang w:eastAsia="en-GB"/>
              </w:rPr>
            </w:pPr>
            <w:r>
              <w:rPr>
                <w:rFonts w:ascii="Arial" w:hAnsi="Arial" w:cs="Arial"/>
              </w:rPr>
              <w:t>9.148</w:t>
            </w:r>
          </w:p>
        </w:tc>
        <w:tc>
          <w:tcPr>
            <w:tcW w:w="1100" w:type="dxa"/>
            <w:shd w:val="clear" w:color="auto" w:fill="auto"/>
            <w:vAlign w:val="center"/>
            <w:hideMark/>
          </w:tcPr>
          <w:p w14:paraId="5A838E8C" w14:textId="77777777" w:rsidR="00C17D82" w:rsidRPr="00624974" w:rsidRDefault="00C17D82" w:rsidP="00C774DC">
            <w:pPr>
              <w:jc w:val="right"/>
              <w:rPr>
                <w:rFonts w:ascii="Arial" w:hAnsi="Arial" w:cs="Arial"/>
                <w:szCs w:val="24"/>
                <w:lang w:eastAsia="en-GB"/>
              </w:rPr>
            </w:pPr>
            <w:r>
              <w:rPr>
                <w:rFonts w:ascii="Arial" w:hAnsi="Arial" w:cs="Arial"/>
              </w:rPr>
              <w:t>9.479</w:t>
            </w:r>
          </w:p>
        </w:tc>
      </w:tr>
      <w:tr w:rsidR="00C17D82" w:rsidRPr="00624974" w14:paraId="51C46B17" w14:textId="77777777" w:rsidTr="00EF7FC1">
        <w:trPr>
          <w:trHeight w:val="255"/>
        </w:trPr>
        <w:tc>
          <w:tcPr>
            <w:tcW w:w="3005" w:type="dxa"/>
            <w:shd w:val="clear" w:color="auto" w:fill="auto"/>
            <w:vAlign w:val="center"/>
            <w:hideMark/>
          </w:tcPr>
          <w:p w14:paraId="20351940" w14:textId="77777777" w:rsidR="00C17D82" w:rsidRPr="00624974" w:rsidRDefault="00C17D82" w:rsidP="00C774DC">
            <w:pPr>
              <w:rPr>
                <w:rFonts w:ascii="Arial" w:hAnsi="Arial" w:cs="Arial"/>
                <w:b/>
                <w:bCs/>
                <w:szCs w:val="24"/>
                <w:lang w:eastAsia="en-GB"/>
              </w:rPr>
            </w:pPr>
            <w:r w:rsidRPr="00624974">
              <w:rPr>
                <w:rFonts w:ascii="Arial" w:hAnsi="Arial" w:cs="Arial"/>
                <w:b/>
                <w:bCs/>
                <w:szCs w:val="24"/>
                <w:lang w:eastAsia="en-GB"/>
              </w:rPr>
              <w:t>Total</w:t>
            </w:r>
          </w:p>
        </w:tc>
        <w:tc>
          <w:tcPr>
            <w:tcW w:w="1100" w:type="dxa"/>
            <w:shd w:val="clear" w:color="auto" w:fill="auto"/>
            <w:vAlign w:val="center"/>
            <w:hideMark/>
          </w:tcPr>
          <w:p w14:paraId="30167F0C" w14:textId="77777777" w:rsidR="00C17D82" w:rsidRPr="00624974" w:rsidRDefault="00C17D82" w:rsidP="00C774DC">
            <w:pPr>
              <w:jc w:val="right"/>
              <w:rPr>
                <w:rFonts w:ascii="Arial" w:hAnsi="Arial" w:cs="Arial"/>
                <w:b/>
                <w:bCs/>
                <w:szCs w:val="24"/>
                <w:lang w:eastAsia="en-GB"/>
              </w:rPr>
            </w:pPr>
            <w:r>
              <w:rPr>
                <w:rFonts w:ascii="Arial" w:hAnsi="Arial" w:cs="Arial"/>
                <w:b/>
                <w:bCs/>
              </w:rPr>
              <w:t>12.761</w:t>
            </w:r>
          </w:p>
        </w:tc>
        <w:tc>
          <w:tcPr>
            <w:tcW w:w="1100" w:type="dxa"/>
            <w:shd w:val="clear" w:color="auto" w:fill="auto"/>
            <w:vAlign w:val="center"/>
            <w:hideMark/>
          </w:tcPr>
          <w:p w14:paraId="6A14BE2F" w14:textId="77777777" w:rsidR="00C17D82" w:rsidRPr="00624974" w:rsidRDefault="00C17D82" w:rsidP="00C774DC">
            <w:pPr>
              <w:jc w:val="right"/>
              <w:rPr>
                <w:rFonts w:ascii="Arial" w:hAnsi="Arial" w:cs="Arial"/>
                <w:b/>
                <w:bCs/>
                <w:szCs w:val="24"/>
                <w:lang w:eastAsia="en-GB"/>
              </w:rPr>
            </w:pPr>
            <w:r>
              <w:rPr>
                <w:rFonts w:ascii="Arial" w:hAnsi="Arial" w:cs="Arial"/>
                <w:b/>
                <w:bCs/>
              </w:rPr>
              <w:t>14.796</w:t>
            </w:r>
          </w:p>
        </w:tc>
        <w:tc>
          <w:tcPr>
            <w:tcW w:w="1100" w:type="dxa"/>
            <w:shd w:val="clear" w:color="auto" w:fill="auto"/>
            <w:vAlign w:val="center"/>
            <w:hideMark/>
          </w:tcPr>
          <w:p w14:paraId="38D0EE36" w14:textId="77777777" w:rsidR="00C17D82" w:rsidRPr="00624974" w:rsidRDefault="00C17D82" w:rsidP="00C774DC">
            <w:pPr>
              <w:jc w:val="right"/>
              <w:rPr>
                <w:rFonts w:ascii="Arial" w:hAnsi="Arial" w:cs="Arial"/>
                <w:b/>
                <w:bCs/>
                <w:szCs w:val="24"/>
                <w:lang w:eastAsia="en-GB"/>
              </w:rPr>
            </w:pPr>
            <w:r>
              <w:rPr>
                <w:rFonts w:ascii="Arial" w:hAnsi="Arial" w:cs="Arial"/>
                <w:b/>
                <w:bCs/>
              </w:rPr>
              <w:t>30.078</w:t>
            </w:r>
          </w:p>
        </w:tc>
        <w:tc>
          <w:tcPr>
            <w:tcW w:w="1100" w:type="dxa"/>
            <w:shd w:val="clear" w:color="auto" w:fill="auto"/>
            <w:vAlign w:val="center"/>
            <w:hideMark/>
          </w:tcPr>
          <w:p w14:paraId="424F5EFD" w14:textId="77777777" w:rsidR="00C17D82" w:rsidRPr="00624974" w:rsidRDefault="00C17D82" w:rsidP="00C774DC">
            <w:pPr>
              <w:jc w:val="right"/>
              <w:rPr>
                <w:rFonts w:ascii="Arial" w:hAnsi="Arial" w:cs="Arial"/>
                <w:b/>
                <w:bCs/>
                <w:szCs w:val="24"/>
                <w:lang w:eastAsia="en-GB"/>
              </w:rPr>
            </w:pPr>
            <w:r>
              <w:rPr>
                <w:rFonts w:ascii="Arial" w:hAnsi="Arial" w:cs="Arial"/>
                <w:b/>
                <w:bCs/>
              </w:rPr>
              <w:t>13.148</w:t>
            </w:r>
          </w:p>
        </w:tc>
        <w:tc>
          <w:tcPr>
            <w:tcW w:w="1100" w:type="dxa"/>
            <w:shd w:val="clear" w:color="auto" w:fill="auto"/>
            <w:vAlign w:val="center"/>
            <w:hideMark/>
          </w:tcPr>
          <w:p w14:paraId="79FBF3C9" w14:textId="77777777" w:rsidR="00C17D82" w:rsidRPr="00624974" w:rsidRDefault="00C17D82" w:rsidP="00C774DC">
            <w:pPr>
              <w:jc w:val="right"/>
              <w:rPr>
                <w:rFonts w:ascii="Arial" w:hAnsi="Arial" w:cs="Arial"/>
                <w:b/>
                <w:bCs/>
                <w:szCs w:val="24"/>
                <w:lang w:eastAsia="en-GB"/>
              </w:rPr>
            </w:pPr>
            <w:r>
              <w:rPr>
                <w:rFonts w:ascii="Arial" w:hAnsi="Arial" w:cs="Arial"/>
                <w:b/>
                <w:bCs/>
              </w:rPr>
              <w:t>15.079</w:t>
            </w:r>
          </w:p>
        </w:tc>
      </w:tr>
    </w:tbl>
    <w:p w14:paraId="774D41F8" w14:textId="77777777" w:rsidR="00C17D82" w:rsidRDefault="00C17D82" w:rsidP="00FD7629">
      <w:pPr>
        <w:pStyle w:val="Default"/>
        <w:spacing w:before="120" w:after="240"/>
        <w:ind w:left="635"/>
      </w:pPr>
    </w:p>
    <w:p w14:paraId="69E8C785" w14:textId="77777777" w:rsidR="00C17D82" w:rsidRDefault="00C17D82" w:rsidP="006F0F37">
      <w:pPr>
        <w:pStyle w:val="Default"/>
        <w:numPr>
          <w:ilvl w:val="0"/>
          <w:numId w:val="2"/>
        </w:numPr>
        <w:spacing w:before="120" w:after="240"/>
        <w:ind w:left="635" w:hanging="635"/>
      </w:pPr>
      <w:bookmarkStart w:id="4" w:name="_Hlk157170705"/>
      <w:r>
        <w:t xml:space="preserve">The 2024/25 five-year capital programme approved by the Authority in February 2024 included four major </w:t>
      </w:r>
      <w:proofErr w:type="gramStart"/>
      <w:r>
        <w:t>projects;</w:t>
      </w:r>
      <w:proofErr w:type="gramEnd"/>
      <w:r>
        <w:t xml:space="preserve"> </w:t>
      </w:r>
      <w:r w:rsidRPr="453D4910">
        <w:t xml:space="preserve">Leadership and Development Centre Training Facilities </w:t>
      </w:r>
      <w:r>
        <w:t>(£10m), Headquarters and Stores relocation (£18m), Fulwood replacement station (£7m) and Preston replacement station (£10m). Together with the Member Capital Working Group officers have been reviewing the scope of the projects, costings to reflect changes in prices, timings for these three major capital projects and the Masterplan for the Leadership and Development Centre in Chorley. The key changes considered by the working group is reflected in the updated 2025/26 capital programme proposed, these include:</w:t>
      </w:r>
    </w:p>
    <w:bookmarkEnd w:id="4"/>
    <w:p w14:paraId="223B200C" w14:textId="77777777" w:rsidR="00C17D82" w:rsidRDefault="00C17D82" w:rsidP="006F0F37">
      <w:pPr>
        <w:pStyle w:val="ListParagraph"/>
        <w:numPr>
          <w:ilvl w:val="0"/>
          <w:numId w:val="1"/>
        </w:numPr>
        <w:spacing w:after="120"/>
        <w:ind w:left="1134" w:hanging="357"/>
        <w:contextualSpacing w:val="0"/>
        <w:rPr>
          <w:rFonts w:ascii="Arial" w:hAnsi="Arial"/>
        </w:rPr>
      </w:pPr>
      <w:r w:rsidRPr="453D4910">
        <w:rPr>
          <w:rFonts w:ascii="Arial" w:hAnsi="Arial"/>
        </w:rPr>
        <w:t xml:space="preserve">Leadership and Development Centre Training Facilities – A modern and progressive service requires high quality facilities to help in the initial training and ongoing maintenance of competency requirements across a broad spectrum of operational activities. The existing facilities were </w:t>
      </w:r>
      <w:r w:rsidRPr="453D4910">
        <w:rPr>
          <w:rFonts w:ascii="Arial" w:hAnsi="Arial"/>
        </w:rPr>
        <w:lastRenderedPageBreak/>
        <w:t xml:space="preserve">reviewed alongside more modern facilities in the region. The review identified that greater investment is required to meet our requirements and an estimate of £18m is included in the programme between 2026/27 and 2027/28. </w:t>
      </w:r>
    </w:p>
    <w:p w14:paraId="514920F5" w14:textId="77777777" w:rsidR="00C17D82" w:rsidRDefault="00C17D82" w:rsidP="006F0F37">
      <w:pPr>
        <w:pStyle w:val="ListParagraph"/>
        <w:numPr>
          <w:ilvl w:val="0"/>
          <w:numId w:val="1"/>
        </w:numPr>
        <w:spacing w:after="120"/>
        <w:ind w:left="1134" w:hanging="357"/>
        <w:contextualSpacing w:val="0"/>
        <w:rPr>
          <w:rFonts w:ascii="Arial" w:hAnsi="Arial"/>
        </w:rPr>
      </w:pPr>
      <w:r w:rsidRPr="453D4910">
        <w:rPr>
          <w:rFonts w:ascii="Arial" w:hAnsi="Arial"/>
        </w:rPr>
        <w:t xml:space="preserve">Headquarters and Stores relocation – This project combines the Headquarters and Training Facility and relocates the Stores at the Leadership and Development Centre, replacing the current Headquarters at Fulwood and office / training / catering space in Lancaster House. This will provide modern office and training facilities that meet current environmental and design requirements. It will also ensure that our people have the best facilities to support health and wellbeing by providing a safe and positive work environment. The costings were updated during the year to reflect the latest inflation forecast and an estimate of £18m is included in the programme between 2028/29 and 2030/31. </w:t>
      </w:r>
    </w:p>
    <w:p w14:paraId="7D824479" w14:textId="77777777" w:rsidR="00C17D82" w:rsidRDefault="00C17D82" w:rsidP="006F0F37">
      <w:pPr>
        <w:pStyle w:val="ListParagraph"/>
        <w:numPr>
          <w:ilvl w:val="0"/>
          <w:numId w:val="1"/>
        </w:numPr>
        <w:spacing w:after="120"/>
        <w:ind w:left="1134" w:hanging="357"/>
        <w:contextualSpacing w:val="0"/>
        <w:rPr>
          <w:rFonts w:ascii="Arial" w:hAnsi="Arial"/>
        </w:rPr>
      </w:pPr>
      <w:r w:rsidRPr="453D4910">
        <w:rPr>
          <w:rFonts w:ascii="Arial" w:hAnsi="Arial"/>
        </w:rPr>
        <w:t>The relocation of Headquarters considered below necessitates the need to invest in a new station to replace Fulwood either on the existing site or at an alternative location. This forms part of the Preston review and is included in the programme at an estimate of £7m in 2026/27 and 2027/28.</w:t>
      </w:r>
    </w:p>
    <w:p w14:paraId="0989BE43" w14:textId="77777777" w:rsidR="00C17D82" w:rsidRDefault="00C17D82" w:rsidP="006F0F37">
      <w:pPr>
        <w:pStyle w:val="ListParagraph"/>
        <w:numPr>
          <w:ilvl w:val="0"/>
          <w:numId w:val="1"/>
        </w:numPr>
        <w:spacing w:after="120"/>
        <w:ind w:left="1134" w:hanging="357"/>
        <w:contextualSpacing w:val="0"/>
        <w:rPr>
          <w:rFonts w:ascii="Arial" w:hAnsi="Arial"/>
        </w:rPr>
      </w:pPr>
      <w:r w:rsidRPr="453D4910">
        <w:rPr>
          <w:rFonts w:ascii="Arial" w:hAnsi="Arial"/>
        </w:rPr>
        <w:t>Preston replacement station – A review of emergency cover in the Preston area has commenced. The aim of the review is to create a new, modern station for Preston and consider the impact on other stations in the area, either in the same place or another location, that serves both our staff and the local community well. The budget is £10m, which assumes any cost of new land (if the station is relocated) is offset by capital receipts from the sale of the existing site and is programmed for 2027/28.</w:t>
      </w:r>
    </w:p>
    <w:p w14:paraId="0454BDD3" w14:textId="77777777" w:rsidR="00C17D82" w:rsidRDefault="00C17D82" w:rsidP="006F0F37">
      <w:pPr>
        <w:pStyle w:val="Default"/>
        <w:numPr>
          <w:ilvl w:val="0"/>
          <w:numId w:val="2"/>
        </w:numPr>
        <w:spacing w:before="120" w:after="240"/>
        <w:ind w:left="635" w:hanging="635"/>
      </w:pPr>
      <w:r>
        <w:t>W</w:t>
      </w:r>
      <w:r w:rsidRPr="004D6AEA">
        <w:t>hilst we have sequenced the projects as detailed, the Authority should remain flexible</w:t>
      </w:r>
      <w:r>
        <w:t>,</w:t>
      </w:r>
      <w:r w:rsidRPr="004D6AEA">
        <w:t xml:space="preserve"> and the years that the projects are delivered may change due to opportunities of land and other matters, details of which will be discussed with the Working Group and </w:t>
      </w:r>
      <w:r>
        <w:t>approvals sought</w:t>
      </w:r>
      <w:r w:rsidRPr="004D6AEA">
        <w:t xml:space="preserve"> as required.</w:t>
      </w:r>
    </w:p>
    <w:p w14:paraId="420304F2" w14:textId="77777777" w:rsidR="00C17D82" w:rsidRPr="00C27B63" w:rsidRDefault="00C17D82" w:rsidP="006F0F37">
      <w:pPr>
        <w:pStyle w:val="Default"/>
        <w:numPr>
          <w:ilvl w:val="0"/>
          <w:numId w:val="2"/>
        </w:numPr>
        <w:spacing w:before="120" w:after="240"/>
        <w:ind w:left="635" w:hanging="635"/>
      </w:pPr>
      <w:r>
        <w:t xml:space="preserve">To fund the Capital Programme table four shows that in addition to utilising the Capital Reserve and revenue contributions, £49m of new borrowing is required. The long-term revenue costs of this borrowing, based on the latest borrowing forecasts, is over £4m per annum which is included in the MTFS. </w:t>
      </w:r>
    </w:p>
    <w:p w14:paraId="08E181B9" w14:textId="77777777" w:rsidR="00C17D82" w:rsidRPr="002A18FA" w:rsidRDefault="00C17D82" w:rsidP="002A18FA">
      <w:pPr>
        <w:spacing w:before="240" w:after="120"/>
        <w:jc w:val="both"/>
        <w:rPr>
          <w:rFonts w:ascii="Arial" w:hAnsi="Arial"/>
          <w:b/>
        </w:rPr>
      </w:pPr>
      <w:r w:rsidRPr="002A18FA">
        <w:rPr>
          <w:rFonts w:ascii="Arial" w:hAnsi="Arial"/>
          <w:b/>
        </w:rPr>
        <w:t>Affordability</w:t>
      </w:r>
    </w:p>
    <w:p w14:paraId="4E3A4676" w14:textId="77777777" w:rsidR="00C17D82" w:rsidRPr="001970D3" w:rsidRDefault="00C17D82" w:rsidP="00E667AF">
      <w:pPr>
        <w:pStyle w:val="Default"/>
        <w:numPr>
          <w:ilvl w:val="0"/>
          <w:numId w:val="2"/>
        </w:numPr>
        <w:spacing w:before="120" w:after="240"/>
        <w:ind w:left="635" w:hanging="635"/>
      </w:pPr>
      <w:r w:rsidRPr="00E667AF">
        <w:t xml:space="preserve">Capital expenditure plans are a key driver of treasury management activity. The funding of such plans impacts on cash balances and borrowing requirements in the short and longer terms. The on-going consequences of these decisions have a direct impact on the annual revenue budget. As such, having regard to the CIPFA Prudential Code for Capital Finance in Local Authorities, the Authority sets and reviews </w:t>
      </w:r>
      <w:proofErr w:type="gramStart"/>
      <w:r w:rsidRPr="00E667AF">
        <w:t>a number of</w:t>
      </w:r>
      <w:proofErr w:type="gramEnd"/>
      <w:r w:rsidRPr="00E667AF">
        <w:t xml:space="preserve"> prudential indicators providing </w:t>
      </w:r>
      <w:r w:rsidRPr="001970D3">
        <w:t xml:space="preserve">context for proposed capital expenditure plans: how they are to be funded, the impact on the organisation’s finances; and their affordability in terms of the impact on revenue budgets. </w:t>
      </w:r>
    </w:p>
    <w:p w14:paraId="2CADF5CF" w14:textId="77777777" w:rsidR="00C17D82" w:rsidRPr="001970D3" w:rsidRDefault="00C17D82" w:rsidP="00250576">
      <w:pPr>
        <w:pStyle w:val="Default"/>
        <w:numPr>
          <w:ilvl w:val="0"/>
          <w:numId w:val="2"/>
        </w:numPr>
        <w:spacing w:before="120" w:after="240"/>
        <w:ind w:left="635" w:hanging="635"/>
      </w:pPr>
      <w:r w:rsidRPr="001970D3">
        <w:t>Full details and commentary on the prudential indicators are found within the Authority’s Treasury Management Strategy 202</w:t>
      </w:r>
      <w:r>
        <w:t>5</w:t>
      </w:r>
      <w:r w:rsidRPr="001970D3">
        <w:t>/2</w:t>
      </w:r>
      <w:r>
        <w:t>6</w:t>
      </w:r>
      <w:r w:rsidRPr="001970D3">
        <w:t xml:space="preserve">. Along with controls and </w:t>
      </w:r>
      <w:r w:rsidRPr="001970D3">
        <w:lastRenderedPageBreak/>
        <w:t>limits relating to levels of capital expenditure and resulting borrowing requirements, these prudential indicators also include a specific affordability indicator, shown below, which provides an indication of the impact of the above capital expenditure plans and their financing proposals on the overall finances</w:t>
      </w:r>
    </w:p>
    <w:p w14:paraId="28BBD0FB" w14:textId="77777777" w:rsidR="00C17D82" w:rsidRPr="001970D3" w:rsidRDefault="00C17D82" w:rsidP="00250576">
      <w:pPr>
        <w:spacing w:before="240" w:after="120"/>
        <w:jc w:val="both"/>
        <w:rPr>
          <w:rFonts w:ascii="Arial" w:hAnsi="Arial"/>
          <w:b/>
          <w:bCs/>
        </w:rPr>
      </w:pPr>
      <w:r w:rsidRPr="001970D3">
        <w:rPr>
          <w:rFonts w:ascii="Arial" w:hAnsi="Arial"/>
          <w:b/>
          <w:bCs/>
        </w:rPr>
        <w:t>Risk Management</w:t>
      </w:r>
    </w:p>
    <w:p w14:paraId="484CEB4D" w14:textId="77777777" w:rsidR="00C17D82" w:rsidRPr="00E667AF" w:rsidRDefault="00C17D82" w:rsidP="00E667AF">
      <w:pPr>
        <w:pStyle w:val="Default"/>
        <w:numPr>
          <w:ilvl w:val="0"/>
          <w:numId w:val="2"/>
        </w:numPr>
        <w:spacing w:before="120" w:after="240"/>
        <w:ind w:left="635" w:hanging="635"/>
      </w:pPr>
      <w:r w:rsidRPr="00E667AF">
        <w:t>Risk is the threat that an event or action will adversely affect the Authority’s ability to achieve its desired outcomes and ability to execute its strategies successfully. Risk management is the process of identifying risks, evaluating their potential consequences, and determining the most effective methods of managing them and/or responding to them. It is both a means of minimising the costs and disruption to the organisation caused by undesired events and of ensuring that staff understand and appreciate the elements of risk in all their activities.</w:t>
      </w:r>
    </w:p>
    <w:p w14:paraId="49EBB2B4" w14:textId="77777777" w:rsidR="00C17D82" w:rsidRPr="00E667AF" w:rsidRDefault="00C17D82" w:rsidP="00E667AF">
      <w:pPr>
        <w:pStyle w:val="Default"/>
        <w:numPr>
          <w:ilvl w:val="0"/>
          <w:numId w:val="2"/>
        </w:numPr>
        <w:spacing w:before="120" w:after="240"/>
        <w:ind w:left="635" w:hanging="635"/>
      </w:pPr>
      <w:r w:rsidRPr="00E667AF">
        <w:t xml:space="preserve">The aim is to reduce the frequency of adverse risk events occurring (where possible), minimise the severity of their consequences if they do occur, or to consider whether risk can be transferred to other parties. The corporate risk register sets out the key risks to the successful delivery of corporate aims and priorities and outlines the key controls and actions to mitigate and reduce </w:t>
      </w:r>
      <w:proofErr w:type="gramStart"/>
      <w:r w:rsidRPr="00E667AF">
        <w:t>risks, or</w:t>
      </w:r>
      <w:proofErr w:type="gramEnd"/>
      <w:r w:rsidRPr="00E667AF">
        <w:t xml:space="preserve"> maximise opportunities. </w:t>
      </w:r>
    </w:p>
    <w:p w14:paraId="72337309" w14:textId="77777777" w:rsidR="00C17D82" w:rsidRPr="00E667AF" w:rsidRDefault="00C17D82" w:rsidP="00E667AF">
      <w:pPr>
        <w:pStyle w:val="Default"/>
        <w:numPr>
          <w:ilvl w:val="0"/>
          <w:numId w:val="2"/>
        </w:numPr>
        <w:spacing w:before="120" w:after="240"/>
        <w:ind w:left="635" w:hanging="635"/>
      </w:pPr>
      <w:r w:rsidRPr="00E667AF">
        <w:t>To manage risk effectively, the risks associated with each capital project need to be systematically identified, analysed, influenced, and monitored. It is important to identify the appetite for risk for each scheme and for the capital programme, especially when investing in complex business change programmes. Where greater risks are identified as necessary to achieve desired outcomes, the organisation will seek to mitigate or manage those risks to a tolerable level. All key risks identified as part of the capital planning process are considered for inclusion in the corporate risk register.</w:t>
      </w:r>
    </w:p>
    <w:p w14:paraId="3AD123B2" w14:textId="77777777" w:rsidR="00C17D82" w:rsidRPr="00E667AF" w:rsidRDefault="00C17D82" w:rsidP="00E667AF">
      <w:pPr>
        <w:pStyle w:val="Default"/>
        <w:numPr>
          <w:ilvl w:val="0"/>
          <w:numId w:val="2"/>
        </w:numPr>
        <w:spacing w:before="120" w:after="240"/>
        <w:ind w:left="635" w:hanging="635"/>
      </w:pPr>
      <w:r w:rsidRPr="00E667AF">
        <w:t>The Treasurer will report on the deliverability, affordability and risk associated with this Capital Strategy and the associated capital programme. Where appropriate they will have access to specialised advice to enable them to reach their conclusions.</w:t>
      </w:r>
    </w:p>
    <w:p w14:paraId="04532E39"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t>Credit Risk - The risk that an organisation with which we have contracted to deliver capital projects becomes insolvent and cannot complete the agreed contract. We will ensure that robust due diligence procedures cover the appointment of partners and contractors relating to capital programme delivery. Where possible contingency plans will be identified at the outset.</w:t>
      </w:r>
    </w:p>
    <w:p w14:paraId="0620E9EC"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t xml:space="preserve">Liquidity Risk - This is the risk that the timing of any cash inflows from a project will be delayed, for example if other organisations do not make their contributions when agreed. There is also a risk that the cash inflows will be less than expected, for example </w:t>
      </w:r>
      <w:proofErr w:type="gramStart"/>
      <w:r w:rsidRPr="00B81C92">
        <w:rPr>
          <w:rFonts w:ascii="Arial" w:hAnsi="Arial"/>
        </w:rPr>
        <w:t>due to the effects</w:t>
      </w:r>
      <w:proofErr w:type="gramEnd"/>
      <w:r w:rsidRPr="00B81C92">
        <w:rPr>
          <w:rFonts w:ascii="Arial" w:hAnsi="Arial"/>
        </w:rPr>
        <w:t xml:space="preserve"> of inflation, interest rates or exchange rates. Our exposure to this risk will be monitored via the revenue and capital budget monitoring processes and mitigating actions taken promptly where appropriate.</w:t>
      </w:r>
    </w:p>
    <w:p w14:paraId="37BAB277"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lastRenderedPageBreak/>
        <w:t>Interest and Exchange Rate Risk - This is the risk that interest rates or exchange rates will move in a way that has an adverse effect on the value of capital expenditure or the expected financial returns from a project. Rates will be reviewed as part of the on-going monitoring arrangements to identify such adverse effects. As far as possible our exposure to this risk will be mitigated via robust contract terms and when necessary, contract re-negotiations.</w:t>
      </w:r>
    </w:p>
    <w:p w14:paraId="105D4DC2"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t>Inflation Risk - This is the risk that rates of inflation will move in a way that has an adverse effect on the value of capital expenditure or the expected financial returns from a project. Rates of inflation will be reviewed as part of the ongoing monitoring arrangements to identify such adverse effects. As far as possible our exposure to this risk will be mitigated via robust contract terms and when necessary, contract re-negotiations.</w:t>
      </w:r>
    </w:p>
    <w:p w14:paraId="667CCCBD"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t>Legal and Regulatory Risk - This is the risk that changes in laws or regulation make a capital project more expensive or time consuming to complete, make it no longer cost effective or make it illegal or not advisable to complete. Before making capital investments, the Authority will understand the powers under which the investment is made. Forthcoming changes to relevant laws and regulations will be kept under review and factored into any capital bidding and programme monitoring processes.</w:t>
      </w:r>
    </w:p>
    <w:p w14:paraId="5CC75084" w14:textId="77777777" w:rsidR="00C17D82" w:rsidRPr="00B81C92" w:rsidRDefault="00C17D82" w:rsidP="00B81C92">
      <w:pPr>
        <w:pStyle w:val="ListParagraph"/>
        <w:numPr>
          <w:ilvl w:val="0"/>
          <w:numId w:val="1"/>
        </w:numPr>
        <w:spacing w:after="120"/>
        <w:ind w:left="1134" w:hanging="357"/>
        <w:contextualSpacing w:val="0"/>
        <w:rPr>
          <w:rFonts w:ascii="Arial" w:hAnsi="Arial"/>
        </w:rPr>
      </w:pPr>
      <w:r w:rsidRPr="00B81C92">
        <w:rPr>
          <w:rFonts w:ascii="Arial" w:hAnsi="Arial"/>
        </w:rPr>
        <w:t>Fraud, Error and Corruption - This is the risk that financial losses will occur due to errors or fraudulent or corrupt activities. Officers involved in any of the processes around capital expenditure or funding are required to follow the agreed Code of Corporate Governance. Cheshire Fire Authority has a strong ethical culture which is evidenced through its values, principles, and appropriate behaviour. This is supported by a Code of Ethics and detailed policies such as Anti-Fraud and Corruption and processes such as that in relation to declaration of interests.</w:t>
      </w:r>
    </w:p>
    <w:p w14:paraId="6568BA55" w14:textId="77777777" w:rsidR="00C17D82" w:rsidRPr="00B81C92" w:rsidRDefault="00C17D82" w:rsidP="00B81C92">
      <w:pPr>
        <w:spacing w:before="240" w:after="120"/>
        <w:jc w:val="both"/>
        <w:rPr>
          <w:rFonts w:ascii="Arial" w:hAnsi="Arial"/>
          <w:b/>
        </w:rPr>
      </w:pPr>
      <w:r w:rsidRPr="00B81C92">
        <w:rPr>
          <w:rFonts w:ascii="Arial" w:hAnsi="Arial"/>
          <w:b/>
        </w:rPr>
        <w:t>Future Actions</w:t>
      </w:r>
    </w:p>
    <w:p w14:paraId="407BC427" w14:textId="77777777" w:rsidR="005266B8" w:rsidRDefault="00C17D82" w:rsidP="009E1ACF">
      <w:pPr>
        <w:pStyle w:val="Default"/>
        <w:numPr>
          <w:ilvl w:val="0"/>
          <w:numId w:val="2"/>
        </w:numPr>
        <w:spacing w:before="120" w:after="240"/>
        <w:ind w:left="635" w:hanging="635"/>
        <w:sectPr w:rsidR="005266B8" w:rsidSect="00C17D82">
          <w:pgSz w:w="11906" w:h="16838"/>
          <w:pgMar w:top="1440" w:right="1440" w:bottom="1440" w:left="1440" w:header="708" w:footer="708" w:gutter="0"/>
          <w:cols w:space="708"/>
          <w:docGrid w:linePitch="360"/>
        </w:sectPr>
      </w:pPr>
      <w:r w:rsidRPr="00E667AF">
        <w:t xml:space="preserve">This Capital Strategy looks ahead over the next </w:t>
      </w:r>
      <w:r>
        <w:t>10</w:t>
      </w:r>
      <w:r w:rsidRPr="00E667AF">
        <w:t xml:space="preserve"> years to 20</w:t>
      </w:r>
      <w:r>
        <w:t>34</w:t>
      </w:r>
      <w:r w:rsidRPr="00E667AF">
        <w:t xml:space="preserve"> </w:t>
      </w:r>
      <w:r>
        <w:t>and</w:t>
      </w:r>
      <w:r w:rsidRPr="00E667AF">
        <w:t xml:space="preserve"> will be </w:t>
      </w:r>
      <w:r>
        <w:t>refined</w:t>
      </w:r>
      <w:r w:rsidRPr="00E667AF">
        <w:t xml:space="preserve"> considering emerging and changing issues, circumstances and priorities.</w:t>
      </w:r>
      <w:r>
        <w:t xml:space="preserve"> Based on the current projections, for the final five years of the capital programme, from 2030 to 2035, there is a funding gap which will be considered as part of the </w:t>
      </w:r>
      <w:proofErr w:type="gramStart"/>
      <w:r>
        <w:t>longer term</w:t>
      </w:r>
      <w:proofErr w:type="gramEnd"/>
      <w:r>
        <w:t xml:space="preserve"> financial planning for the Service. </w:t>
      </w:r>
    </w:p>
    <w:p w14:paraId="791B2BCB" w14:textId="77777777" w:rsidR="00C17D82" w:rsidRPr="00F71230" w:rsidRDefault="00C17D82" w:rsidP="00F71230">
      <w:pPr>
        <w:spacing w:before="240" w:after="120"/>
        <w:jc w:val="right"/>
        <w:rPr>
          <w:rFonts w:ascii="Arial" w:hAnsi="Arial"/>
          <w:b/>
          <w:sz w:val="28"/>
          <w:szCs w:val="28"/>
        </w:rPr>
      </w:pPr>
      <w:r w:rsidRPr="00F71230">
        <w:rPr>
          <w:rFonts w:ascii="Arial" w:hAnsi="Arial"/>
          <w:b/>
          <w:sz w:val="28"/>
          <w:szCs w:val="28"/>
        </w:rPr>
        <w:lastRenderedPageBreak/>
        <w:t xml:space="preserve">Appendix </w:t>
      </w:r>
      <w:r>
        <w:rPr>
          <w:rFonts w:ascii="Arial" w:hAnsi="Arial"/>
          <w:b/>
          <w:sz w:val="28"/>
          <w:szCs w:val="28"/>
        </w:rPr>
        <w:t>1</w:t>
      </w:r>
    </w:p>
    <w:p w14:paraId="226C03C2" w14:textId="77777777" w:rsidR="00C17D82" w:rsidRPr="00F71230" w:rsidRDefault="00C17D82" w:rsidP="00F71230">
      <w:pPr>
        <w:spacing w:before="240" w:after="120"/>
        <w:rPr>
          <w:rFonts w:ascii="Arial" w:hAnsi="Arial"/>
          <w:b/>
          <w:sz w:val="28"/>
          <w:szCs w:val="28"/>
        </w:rPr>
      </w:pPr>
      <w:r>
        <w:rPr>
          <w:rFonts w:ascii="Arial" w:hAnsi="Arial"/>
          <w:b/>
          <w:sz w:val="28"/>
          <w:szCs w:val="28"/>
        </w:rPr>
        <w:t>Capital Programme – 2025/26 – 2034/35</w:t>
      </w:r>
    </w:p>
    <w:tbl>
      <w:tblPr>
        <w:tblStyle w:val="TableGrid"/>
        <w:tblW w:w="0" w:type="auto"/>
        <w:tblLook w:val="04A0" w:firstRow="1" w:lastRow="0" w:firstColumn="1" w:lastColumn="0" w:noHBand="0" w:noVBand="1"/>
      </w:tblPr>
      <w:tblGrid>
        <w:gridCol w:w="2448"/>
        <w:gridCol w:w="986"/>
        <w:gridCol w:w="986"/>
        <w:gridCol w:w="986"/>
        <w:gridCol w:w="986"/>
        <w:gridCol w:w="986"/>
        <w:gridCol w:w="986"/>
        <w:gridCol w:w="986"/>
        <w:gridCol w:w="986"/>
        <w:gridCol w:w="986"/>
        <w:gridCol w:w="986"/>
        <w:gridCol w:w="1084"/>
      </w:tblGrid>
      <w:tr w:rsidR="00C17D82" w:rsidRPr="006F0F37" w14:paraId="4523653B" w14:textId="77777777" w:rsidTr="005F256D">
        <w:trPr>
          <w:trHeight w:val="107"/>
          <w:tblHeader/>
        </w:trPr>
        <w:tc>
          <w:tcPr>
            <w:tcW w:w="2448" w:type="dxa"/>
            <w:shd w:val="clear" w:color="auto" w:fill="D9D9D9" w:themeFill="background1" w:themeFillShade="D9"/>
            <w:vAlign w:val="center"/>
            <w:hideMark/>
          </w:tcPr>
          <w:p w14:paraId="24D8EA71"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£'m</w:t>
            </w:r>
          </w:p>
        </w:tc>
        <w:tc>
          <w:tcPr>
            <w:tcW w:w="986" w:type="dxa"/>
            <w:shd w:val="clear" w:color="auto" w:fill="D9D9D9" w:themeFill="background1" w:themeFillShade="D9"/>
            <w:vAlign w:val="center"/>
            <w:hideMark/>
          </w:tcPr>
          <w:p w14:paraId="30A6B709"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25/26</w:t>
            </w:r>
          </w:p>
        </w:tc>
        <w:tc>
          <w:tcPr>
            <w:tcW w:w="986" w:type="dxa"/>
            <w:shd w:val="clear" w:color="auto" w:fill="D9D9D9" w:themeFill="background1" w:themeFillShade="D9"/>
            <w:vAlign w:val="center"/>
            <w:hideMark/>
          </w:tcPr>
          <w:p w14:paraId="06C8A0C6"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26/27</w:t>
            </w:r>
          </w:p>
        </w:tc>
        <w:tc>
          <w:tcPr>
            <w:tcW w:w="986" w:type="dxa"/>
            <w:shd w:val="clear" w:color="auto" w:fill="D9D9D9" w:themeFill="background1" w:themeFillShade="D9"/>
            <w:vAlign w:val="center"/>
            <w:hideMark/>
          </w:tcPr>
          <w:p w14:paraId="59CC90DD"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27/28</w:t>
            </w:r>
          </w:p>
        </w:tc>
        <w:tc>
          <w:tcPr>
            <w:tcW w:w="986" w:type="dxa"/>
            <w:shd w:val="clear" w:color="auto" w:fill="D9D9D9" w:themeFill="background1" w:themeFillShade="D9"/>
            <w:vAlign w:val="center"/>
            <w:hideMark/>
          </w:tcPr>
          <w:p w14:paraId="17DE4C53"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28/29</w:t>
            </w:r>
          </w:p>
        </w:tc>
        <w:tc>
          <w:tcPr>
            <w:tcW w:w="986" w:type="dxa"/>
            <w:shd w:val="clear" w:color="auto" w:fill="D9D9D9" w:themeFill="background1" w:themeFillShade="D9"/>
            <w:vAlign w:val="center"/>
            <w:hideMark/>
          </w:tcPr>
          <w:p w14:paraId="4622BE0E"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29/30</w:t>
            </w:r>
          </w:p>
        </w:tc>
        <w:tc>
          <w:tcPr>
            <w:tcW w:w="986" w:type="dxa"/>
            <w:shd w:val="clear" w:color="auto" w:fill="D9D9D9" w:themeFill="background1" w:themeFillShade="D9"/>
            <w:vAlign w:val="center"/>
            <w:hideMark/>
          </w:tcPr>
          <w:p w14:paraId="3DE1F7E0"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30/31</w:t>
            </w:r>
          </w:p>
        </w:tc>
        <w:tc>
          <w:tcPr>
            <w:tcW w:w="986" w:type="dxa"/>
            <w:shd w:val="clear" w:color="auto" w:fill="D9D9D9" w:themeFill="background1" w:themeFillShade="D9"/>
            <w:vAlign w:val="center"/>
            <w:hideMark/>
          </w:tcPr>
          <w:p w14:paraId="20EF2F95"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31/32</w:t>
            </w:r>
          </w:p>
        </w:tc>
        <w:tc>
          <w:tcPr>
            <w:tcW w:w="986" w:type="dxa"/>
            <w:shd w:val="clear" w:color="auto" w:fill="D9D9D9" w:themeFill="background1" w:themeFillShade="D9"/>
            <w:vAlign w:val="center"/>
            <w:hideMark/>
          </w:tcPr>
          <w:p w14:paraId="13012D7D"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32/33</w:t>
            </w:r>
          </w:p>
        </w:tc>
        <w:tc>
          <w:tcPr>
            <w:tcW w:w="986" w:type="dxa"/>
            <w:shd w:val="clear" w:color="auto" w:fill="D9D9D9" w:themeFill="background1" w:themeFillShade="D9"/>
            <w:vAlign w:val="center"/>
            <w:hideMark/>
          </w:tcPr>
          <w:p w14:paraId="2F3ADD64"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33/34</w:t>
            </w:r>
          </w:p>
        </w:tc>
        <w:tc>
          <w:tcPr>
            <w:tcW w:w="986" w:type="dxa"/>
            <w:shd w:val="clear" w:color="auto" w:fill="D9D9D9" w:themeFill="background1" w:themeFillShade="D9"/>
            <w:vAlign w:val="center"/>
            <w:hideMark/>
          </w:tcPr>
          <w:p w14:paraId="004C1C06"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34/35</w:t>
            </w:r>
          </w:p>
        </w:tc>
        <w:tc>
          <w:tcPr>
            <w:tcW w:w="1084" w:type="dxa"/>
            <w:shd w:val="clear" w:color="auto" w:fill="D9D9D9" w:themeFill="background1" w:themeFillShade="D9"/>
            <w:vAlign w:val="center"/>
            <w:hideMark/>
          </w:tcPr>
          <w:p w14:paraId="02DBCBBB" w14:textId="77777777" w:rsidR="00C17D82" w:rsidRPr="006F0F37" w:rsidRDefault="00C17D82" w:rsidP="005F256D">
            <w:pPr>
              <w:spacing w:before="120" w:after="120"/>
              <w:jc w:val="center"/>
              <w:rPr>
                <w:rFonts w:ascii="Arial" w:hAnsi="Arial" w:cs="Arial"/>
                <w:b/>
                <w:bCs/>
                <w:szCs w:val="24"/>
              </w:rPr>
            </w:pPr>
            <w:r w:rsidRPr="006F0F37">
              <w:rPr>
                <w:rFonts w:ascii="Arial" w:hAnsi="Arial" w:cs="Arial"/>
                <w:b/>
                <w:bCs/>
                <w:szCs w:val="24"/>
              </w:rPr>
              <w:t>TOTAL</w:t>
            </w:r>
          </w:p>
        </w:tc>
      </w:tr>
      <w:tr w:rsidR="00C17D82" w:rsidRPr="006F0F37" w14:paraId="0C13423D" w14:textId="77777777" w:rsidTr="005F256D">
        <w:trPr>
          <w:trHeight w:val="255"/>
        </w:trPr>
        <w:tc>
          <w:tcPr>
            <w:tcW w:w="2448" w:type="dxa"/>
            <w:vAlign w:val="center"/>
            <w:hideMark/>
          </w:tcPr>
          <w:p w14:paraId="79EF554C" w14:textId="77777777" w:rsidR="00C17D82" w:rsidRPr="006F0F37" w:rsidRDefault="00C17D82" w:rsidP="005F256D">
            <w:pPr>
              <w:spacing w:before="120" w:after="120"/>
              <w:rPr>
                <w:rFonts w:ascii="Arial" w:hAnsi="Arial" w:cs="Arial"/>
                <w:b/>
                <w:bCs/>
                <w:szCs w:val="24"/>
              </w:rPr>
            </w:pPr>
            <w:r w:rsidRPr="006F0F37">
              <w:rPr>
                <w:rFonts w:ascii="Arial" w:hAnsi="Arial" w:cs="Arial"/>
                <w:b/>
                <w:bCs/>
                <w:szCs w:val="24"/>
              </w:rPr>
              <w:t>Vehicles</w:t>
            </w:r>
          </w:p>
        </w:tc>
        <w:tc>
          <w:tcPr>
            <w:tcW w:w="986" w:type="dxa"/>
            <w:vAlign w:val="center"/>
            <w:hideMark/>
          </w:tcPr>
          <w:p w14:paraId="6DA82C75"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67BE7B6A"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1191758A"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1456F56B"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6711CBE2"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30C777EA"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6F502B8A"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71A33DAC"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1E81E918" w14:textId="77777777" w:rsidR="00C17D82" w:rsidRPr="006F0F37" w:rsidRDefault="00C17D82" w:rsidP="005F256D">
            <w:pPr>
              <w:spacing w:before="120" w:after="120"/>
              <w:jc w:val="right"/>
              <w:rPr>
                <w:rFonts w:ascii="Arial" w:hAnsi="Arial" w:cs="Arial"/>
                <w:bCs/>
                <w:szCs w:val="24"/>
              </w:rPr>
            </w:pPr>
          </w:p>
        </w:tc>
        <w:tc>
          <w:tcPr>
            <w:tcW w:w="986" w:type="dxa"/>
            <w:vAlign w:val="center"/>
            <w:hideMark/>
          </w:tcPr>
          <w:p w14:paraId="78D81010" w14:textId="77777777" w:rsidR="00C17D82" w:rsidRPr="006F0F37" w:rsidRDefault="00C17D82" w:rsidP="005F256D">
            <w:pPr>
              <w:spacing w:before="120" w:after="120"/>
              <w:jc w:val="right"/>
              <w:rPr>
                <w:rFonts w:ascii="Arial" w:hAnsi="Arial" w:cs="Arial"/>
                <w:bCs/>
                <w:szCs w:val="24"/>
              </w:rPr>
            </w:pPr>
          </w:p>
        </w:tc>
        <w:tc>
          <w:tcPr>
            <w:tcW w:w="1084" w:type="dxa"/>
            <w:vAlign w:val="center"/>
            <w:hideMark/>
          </w:tcPr>
          <w:p w14:paraId="13ED278F" w14:textId="77777777" w:rsidR="00C17D82" w:rsidRPr="006F0F37" w:rsidRDefault="00C17D82" w:rsidP="005F256D">
            <w:pPr>
              <w:spacing w:before="120" w:after="120"/>
              <w:jc w:val="right"/>
              <w:rPr>
                <w:rFonts w:ascii="Arial" w:hAnsi="Arial" w:cs="Arial"/>
                <w:bCs/>
                <w:szCs w:val="24"/>
              </w:rPr>
            </w:pPr>
          </w:p>
        </w:tc>
      </w:tr>
      <w:tr w:rsidR="00C17D82" w:rsidRPr="006F0F37" w14:paraId="7A9CF7F9" w14:textId="77777777" w:rsidTr="005F256D">
        <w:trPr>
          <w:trHeight w:val="255"/>
        </w:trPr>
        <w:tc>
          <w:tcPr>
            <w:tcW w:w="2448" w:type="dxa"/>
            <w:vAlign w:val="center"/>
            <w:hideMark/>
          </w:tcPr>
          <w:p w14:paraId="59E0D4D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Aerial Ladder Platform</w:t>
            </w:r>
          </w:p>
        </w:tc>
        <w:tc>
          <w:tcPr>
            <w:tcW w:w="986" w:type="dxa"/>
            <w:vAlign w:val="center"/>
            <w:hideMark/>
          </w:tcPr>
          <w:p w14:paraId="2152C65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0.251</w:t>
            </w:r>
          </w:p>
        </w:tc>
        <w:tc>
          <w:tcPr>
            <w:tcW w:w="986" w:type="dxa"/>
            <w:vAlign w:val="center"/>
            <w:hideMark/>
          </w:tcPr>
          <w:p w14:paraId="7F8F46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683248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1C36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56BD9C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58DA1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8108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0.725</w:t>
            </w:r>
          </w:p>
        </w:tc>
        <w:tc>
          <w:tcPr>
            <w:tcW w:w="986" w:type="dxa"/>
            <w:vAlign w:val="center"/>
            <w:hideMark/>
          </w:tcPr>
          <w:p w14:paraId="6236949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0.725</w:t>
            </w:r>
          </w:p>
        </w:tc>
        <w:tc>
          <w:tcPr>
            <w:tcW w:w="986" w:type="dxa"/>
            <w:vAlign w:val="center"/>
            <w:hideMark/>
          </w:tcPr>
          <w:p w14:paraId="62F0149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0.725</w:t>
            </w:r>
          </w:p>
        </w:tc>
        <w:tc>
          <w:tcPr>
            <w:tcW w:w="986" w:type="dxa"/>
            <w:vAlign w:val="center"/>
            <w:hideMark/>
          </w:tcPr>
          <w:p w14:paraId="2F53B31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90B1E7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2.426</w:t>
            </w:r>
          </w:p>
        </w:tc>
      </w:tr>
      <w:tr w:rsidR="00C17D82" w:rsidRPr="006F0F37" w14:paraId="196683A9" w14:textId="77777777" w:rsidTr="005F256D">
        <w:trPr>
          <w:trHeight w:val="255"/>
        </w:trPr>
        <w:tc>
          <w:tcPr>
            <w:tcW w:w="2448" w:type="dxa"/>
            <w:vAlign w:val="center"/>
            <w:hideMark/>
          </w:tcPr>
          <w:p w14:paraId="72E1FA7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Fire appliance</w:t>
            </w:r>
          </w:p>
        </w:tc>
        <w:tc>
          <w:tcPr>
            <w:tcW w:w="986" w:type="dxa"/>
            <w:vAlign w:val="center"/>
            <w:hideMark/>
          </w:tcPr>
          <w:p w14:paraId="6253E1D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2.200</w:t>
            </w:r>
          </w:p>
        </w:tc>
        <w:tc>
          <w:tcPr>
            <w:tcW w:w="986" w:type="dxa"/>
            <w:vAlign w:val="center"/>
            <w:hideMark/>
          </w:tcPr>
          <w:p w14:paraId="470B806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0.900</w:t>
            </w:r>
          </w:p>
        </w:tc>
        <w:tc>
          <w:tcPr>
            <w:tcW w:w="986" w:type="dxa"/>
            <w:vAlign w:val="center"/>
            <w:hideMark/>
          </w:tcPr>
          <w:p w14:paraId="1F4A73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062F357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5C2301D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4609F59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071E5D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32E63C0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4598EDD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986" w:type="dxa"/>
            <w:vAlign w:val="center"/>
            <w:hideMark/>
          </w:tcPr>
          <w:p w14:paraId="16E95E7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1084" w:type="dxa"/>
            <w:vAlign w:val="center"/>
            <w:hideMark/>
          </w:tcPr>
          <w:p w14:paraId="11DAFE9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15.100</w:t>
            </w:r>
          </w:p>
        </w:tc>
      </w:tr>
      <w:tr w:rsidR="00C17D82" w:rsidRPr="006F0F37" w14:paraId="44A3BB89" w14:textId="77777777" w:rsidTr="005F256D">
        <w:trPr>
          <w:trHeight w:val="255"/>
        </w:trPr>
        <w:tc>
          <w:tcPr>
            <w:tcW w:w="2448" w:type="dxa"/>
            <w:vAlign w:val="center"/>
            <w:hideMark/>
          </w:tcPr>
          <w:p w14:paraId="0CD5ADD5"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Climate change Vehicle</w:t>
            </w:r>
          </w:p>
        </w:tc>
        <w:tc>
          <w:tcPr>
            <w:tcW w:w="986" w:type="dxa"/>
            <w:vAlign w:val="center"/>
            <w:hideMark/>
          </w:tcPr>
          <w:p w14:paraId="7C7A8A2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0.600</w:t>
            </w:r>
          </w:p>
        </w:tc>
        <w:tc>
          <w:tcPr>
            <w:tcW w:w="986" w:type="dxa"/>
            <w:vAlign w:val="center"/>
            <w:hideMark/>
          </w:tcPr>
          <w:p w14:paraId="04123EA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0.650</w:t>
            </w:r>
          </w:p>
        </w:tc>
        <w:tc>
          <w:tcPr>
            <w:tcW w:w="986" w:type="dxa"/>
            <w:vAlign w:val="center"/>
            <w:hideMark/>
          </w:tcPr>
          <w:p w14:paraId="4AFB44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477DC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435F4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4AC245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AFA810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735EE6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B08744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E61E04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BE5A97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1.250</w:t>
            </w:r>
          </w:p>
        </w:tc>
      </w:tr>
      <w:tr w:rsidR="00C17D82" w:rsidRPr="006F0F37" w14:paraId="3B0CF986" w14:textId="77777777" w:rsidTr="005F256D">
        <w:trPr>
          <w:trHeight w:val="255"/>
        </w:trPr>
        <w:tc>
          <w:tcPr>
            <w:tcW w:w="2448" w:type="dxa"/>
            <w:vAlign w:val="center"/>
            <w:hideMark/>
          </w:tcPr>
          <w:p w14:paraId="585E472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Water tower</w:t>
            </w:r>
          </w:p>
        </w:tc>
        <w:tc>
          <w:tcPr>
            <w:tcW w:w="986" w:type="dxa"/>
            <w:vAlign w:val="center"/>
            <w:hideMark/>
          </w:tcPr>
          <w:p w14:paraId="33DD12A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20E52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0.650</w:t>
            </w:r>
          </w:p>
        </w:tc>
        <w:tc>
          <w:tcPr>
            <w:tcW w:w="986" w:type="dxa"/>
            <w:vAlign w:val="center"/>
            <w:hideMark/>
          </w:tcPr>
          <w:p w14:paraId="600335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618E19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392373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0.650</w:t>
            </w:r>
          </w:p>
        </w:tc>
        <w:tc>
          <w:tcPr>
            <w:tcW w:w="986" w:type="dxa"/>
            <w:vAlign w:val="center"/>
            <w:hideMark/>
          </w:tcPr>
          <w:p w14:paraId="0B5D140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D5D1E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E1FC0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8DAC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730A00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0.650</w:t>
            </w:r>
          </w:p>
        </w:tc>
        <w:tc>
          <w:tcPr>
            <w:tcW w:w="1084" w:type="dxa"/>
            <w:vAlign w:val="center"/>
            <w:hideMark/>
          </w:tcPr>
          <w:p w14:paraId="5F78DE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1.950</w:t>
            </w:r>
          </w:p>
        </w:tc>
      </w:tr>
      <w:tr w:rsidR="00C17D82" w:rsidRPr="006F0F37" w14:paraId="24533046" w14:textId="77777777" w:rsidTr="005F256D">
        <w:trPr>
          <w:trHeight w:val="255"/>
        </w:trPr>
        <w:tc>
          <w:tcPr>
            <w:tcW w:w="2448" w:type="dxa"/>
            <w:vAlign w:val="center"/>
            <w:hideMark/>
          </w:tcPr>
          <w:p w14:paraId="7BCD51D5" w14:textId="77777777" w:rsidR="00C17D82" w:rsidRPr="006F0F37" w:rsidRDefault="00C17D82" w:rsidP="006F0F37">
            <w:pPr>
              <w:spacing w:before="120" w:after="120"/>
              <w:rPr>
                <w:rFonts w:ascii="Arial" w:hAnsi="Arial" w:cs="Arial"/>
                <w:bCs/>
                <w:szCs w:val="24"/>
              </w:rPr>
            </w:pPr>
            <w:proofErr w:type="spellStart"/>
            <w:r w:rsidRPr="006F0F37">
              <w:rPr>
                <w:rFonts w:ascii="Arial" w:hAnsi="Arial" w:cs="Arial"/>
                <w:bCs/>
                <w:szCs w:val="24"/>
              </w:rPr>
              <w:t>All Terrain</w:t>
            </w:r>
            <w:proofErr w:type="spellEnd"/>
            <w:r w:rsidRPr="006F0F37">
              <w:rPr>
                <w:rFonts w:ascii="Arial" w:hAnsi="Arial" w:cs="Arial"/>
                <w:bCs/>
                <w:szCs w:val="24"/>
              </w:rPr>
              <w:t xml:space="preserve"> Vehicle - Polaris</w:t>
            </w:r>
          </w:p>
        </w:tc>
        <w:tc>
          <w:tcPr>
            <w:tcW w:w="986" w:type="dxa"/>
            <w:vAlign w:val="center"/>
            <w:hideMark/>
          </w:tcPr>
          <w:p w14:paraId="0EC9558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E243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F3AE5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7359F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4FB5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9FA3A6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F9EE82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E3D96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2BCD61D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2FA5B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BF515D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r>
      <w:tr w:rsidR="00C17D82" w:rsidRPr="006F0F37" w14:paraId="2882B1A2" w14:textId="77777777" w:rsidTr="005F256D">
        <w:trPr>
          <w:trHeight w:val="255"/>
        </w:trPr>
        <w:tc>
          <w:tcPr>
            <w:tcW w:w="2448" w:type="dxa"/>
            <w:vAlign w:val="center"/>
            <w:hideMark/>
          </w:tcPr>
          <w:p w14:paraId="266FACA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Mini Incident Command Unit</w:t>
            </w:r>
          </w:p>
        </w:tc>
        <w:tc>
          <w:tcPr>
            <w:tcW w:w="986" w:type="dxa"/>
            <w:vAlign w:val="center"/>
            <w:hideMark/>
          </w:tcPr>
          <w:p w14:paraId="253E91B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C68E6E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6FA7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c>
          <w:tcPr>
            <w:tcW w:w="986" w:type="dxa"/>
            <w:vAlign w:val="center"/>
            <w:hideMark/>
          </w:tcPr>
          <w:p w14:paraId="4987AD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516827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B9755E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7C7A74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6954B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E2D48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0125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5C0E37E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r>
      <w:tr w:rsidR="00C17D82" w:rsidRPr="006F0F37" w14:paraId="3A16502D" w14:textId="77777777" w:rsidTr="005F256D">
        <w:trPr>
          <w:trHeight w:val="255"/>
        </w:trPr>
        <w:tc>
          <w:tcPr>
            <w:tcW w:w="2448" w:type="dxa"/>
            <w:vAlign w:val="center"/>
            <w:hideMark/>
          </w:tcPr>
          <w:p w14:paraId="38E54B7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Foam Pod</w:t>
            </w:r>
          </w:p>
        </w:tc>
        <w:tc>
          <w:tcPr>
            <w:tcW w:w="986" w:type="dxa"/>
            <w:vAlign w:val="center"/>
            <w:hideMark/>
          </w:tcPr>
          <w:p w14:paraId="4F8C4C1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0.045</w:t>
            </w:r>
          </w:p>
        </w:tc>
        <w:tc>
          <w:tcPr>
            <w:tcW w:w="986" w:type="dxa"/>
            <w:vAlign w:val="center"/>
            <w:hideMark/>
          </w:tcPr>
          <w:p w14:paraId="544F51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0.045</w:t>
            </w:r>
          </w:p>
        </w:tc>
        <w:tc>
          <w:tcPr>
            <w:tcW w:w="986" w:type="dxa"/>
            <w:vAlign w:val="center"/>
            <w:hideMark/>
          </w:tcPr>
          <w:p w14:paraId="02027B6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0.045</w:t>
            </w:r>
          </w:p>
        </w:tc>
        <w:tc>
          <w:tcPr>
            <w:tcW w:w="986" w:type="dxa"/>
            <w:vAlign w:val="center"/>
            <w:hideMark/>
          </w:tcPr>
          <w:p w14:paraId="34449B9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0.045</w:t>
            </w:r>
          </w:p>
        </w:tc>
        <w:tc>
          <w:tcPr>
            <w:tcW w:w="986" w:type="dxa"/>
            <w:vAlign w:val="center"/>
            <w:hideMark/>
          </w:tcPr>
          <w:p w14:paraId="47110D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0.090</w:t>
            </w:r>
          </w:p>
        </w:tc>
        <w:tc>
          <w:tcPr>
            <w:tcW w:w="986" w:type="dxa"/>
            <w:vAlign w:val="center"/>
            <w:hideMark/>
          </w:tcPr>
          <w:p w14:paraId="74449E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0.045</w:t>
            </w:r>
          </w:p>
        </w:tc>
        <w:tc>
          <w:tcPr>
            <w:tcW w:w="986" w:type="dxa"/>
            <w:vAlign w:val="center"/>
            <w:hideMark/>
          </w:tcPr>
          <w:p w14:paraId="0792925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05DBB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CAE4D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6B981B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5B133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0.315</w:t>
            </w:r>
          </w:p>
        </w:tc>
      </w:tr>
      <w:tr w:rsidR="00C17D82" w:rsidRPr="006F0F37" w14:paraId="629E7150" w14:textId="77777777" w:rsidTr="005F256D">
        <w:trPr>
          <w:trHeight w:val="255"/>
        </w:trPr>
        <w:tc>
          <w:tcPr>
            <w:tcW w:w="2448" w:type="dxa"/>
            <w:vAlign w:val="center"/>
            <w:hideMark/>
          </w:tcPr>
          <w:p w14:paraId="050E9A0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Car - Small</w:t>
            </w:r>
          </w:p>
        </w:tc>
        <w:tc>
          <w:tcPr>
            <w:tcW w:w="986" w:type="dxa"/>
            <w:vAlign w:val="center"/>
            <w:hideMark/>
          </w:tcPr>
          <w:p w14:paraId="1C37C3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2255DD3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5314CE3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37ED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c>
          <w:tcPr>
            <w:tcW w:w="986" w:type="dxa"/>
            <w:vAlign w:val="center"/>
            <w:hideMark/>
          </w:tcPr>
          <w:p w14:paraId="5C91842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8697B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0.075</w:t>
            </w:r>
          </w:p>
        </w:tc>
        <w:tc>
          <w:tcPr>
            <w:tcW w:w="986" w:type="dxa"/>
            <w:vAlign w:val="center"/>
            <w:hideMark/>
          </w:tcPr>
          <w:p w14:paraId="27781EE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464562D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6EECFE4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4E3205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c>
          <w:tcPr>
            <w:tcW w:w="1084" w:type="dxa"/>
            <w:vAlign w:val="center"/>
            <w:hideMark/>
          </w:tcPr>
          <w:p w14:paraId="685D695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0.575</w:t>
            </w:r>
          </w:p>
        </w:tc>
      </w:tr>
      <w:tr w:rsidR="00C17D82" w:rsidRPr="006F0F37" w14:paraId="3115A649" w14:textId="77777777" w:rsidTr="005F256D">
        <w:trPr>
          <w:trHeight w:val="255"/>
        </w:trPr>
        <w:tc>
          <w:tcPr>
            <w:tcW w:w="2448" w:type="dxa"/>
            <w:vAlign w:val="center"/>
            <w:hideMark/>
          </w:tcPr>
          <w:p w14:paraId="736DF3E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Car - Medium</w:t>
            </w:r>
          </w:p>
        </w:tc>
        <w:tc>
          <w:tcPr>
            <w:tcW w:w="986" w:type="dxa"/>
            <w:vAlign w:val="center"/>
            <w:hideMark/>
          </w:tcPr>
          <w:p w14:paraId="5C340A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53938CD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0.030</w:t>
            </w:r>
          </w:p>
        </w:tc>
        <w:tc>
          <w:tcPr>
            <w:tcW w:w="986" w:type="dxa"/>
            <w:vAlign w:val="center"/>
            <w:hideMark/>
          </w:tcPr>
          <w:p w14:paraId="5E8F328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3691584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00F383D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159AD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c>
          <w:tcPr>
            <w:tcW w:w="986" w:type="dxa"/>
            <w:vAlign w:val="center"/>
            <w:hideMark/>
          </w:tcPr>
          <w:p w14:paraId="6CE2B5E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0.090</w:t>
            </w:r>
          </w:p>
        </w:tc>
        <w:tc>
          <w:tcPr>
            <w:tcW w:w="986" w:type="dxa"/>
            <w:vAlign w:val="center"/>
            <w:hideMark/>
          </w:tcPr>
          <w:p w14:paraId="506924F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0.030</w:t>
            </w:r>
          </w:p>
        </w:tc>
        <w:tc>
          <w:tcPr>
            <w:tcW w:w="986" w:type="dxa"/>
            <w:vAlign w:val="center"/>
            <w:hideMark/>
          </w:tcPr>
          <w:p w14:paraId="6CBAEE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5A5B3EE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1084" w:type="dxa"/>
            <w:vAlign w:val="center"/>
            <w:hideMark/>
          </w:tcPr>
          <w:p w14:paraId="7989A89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0.600</w:t>
            </w:r>
          </w:p>
        </w:tc>
      </w:tr>
      <w:tr w:rsidR="00C17D82" w:rsidRPr="006F0F37" w14:paraId="037B6D98" w14:textId="77777777" w:rsidTr="005F256D">
        <w:trPr>
          <w:trHeight w:val="255"/>
        </w:trPr>
        <w:tc>
          <w:tcPr>
            <w:tcW w:w="2448" w:type="dxa"/>
            <w:vAlign w:val="center"/>
            <w:hideMark/>
          </w:tcPr>
          <w:p w14:paraId="26991B0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Car - Large</w:t>
            </w:r>
          </w:p>
        </w:tc>
        <w:tc>
          <w:tcPr>
            <w:tcW w:w="986" w:type="dxa"/>
            <w:vAlign w:val="center"/>
            <w:hideMark/>
          </w:tcPr>
          <w:p w14:paraId="5AAFCE7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8F7D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c>
          <w:tcPr>
            <w:tcW w:w="986" w:type="dxa"/>
            <w:vAlign w:val="center"/>
            <w:hideMark/>
          </w:tcPr>
          <w:p w14:paraId="0CC1DC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3C7F1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FE47A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B482EC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B37E22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9ED070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c>
          <w:tcPr>
            <w:tcW w:w="986" w:type="dxa"/>
            <w:vAlign w:val="center"/>
            <w:hideMark/>
          </w:tcPr>
          <w:p w14:paraId="45329A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6620C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604DC1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0.140</w:t>
            </w:r>
          </w:p>
        </w:tc>
      </w:tr>
      <w:tr w:rsidR="00C17D82" w:rsidRPr="006F0F37" w14:paraId="725768E7" w14:textId="77777777" w:rsidTr="005F256D">
        <w:trPr>
          <w:trHeight w:val="255"/>
        </w:trPr>
        <w:tc>
          <w:tcPr>
            <w:tcW w:w="2448" w:type="dxa"/>
            <w:vAlign w:val="center"/>
            <w:hideMark/>
          </w:tcPr>
          <w:p w14:paraId="31280589"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Car - Small EV</w:t>
            </w:r>
          </w:p>
        </w:tc>
        <w:tc>
          <w:tcPr>
            <w:tcW w:w="986" w:type="dxa"/>
            <w:vAlign w:val="center"/>
            <w:hideMark/>
          </w:tcPr>
          <w:p w14:paraId="67691DC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6A8404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FB777C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C7A004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0.160</w:t>
            </w:r>
          </w:p>
        </w:tc>
        <w:tc>
          <w:tcPr>
            <w:tcW w:w="986" w:type="dxa"/>
            <w:vAlign w:val="center"/>
            <w:hideMark/>
          </w:tcPr>
          <w:p w14:paraId="6F69837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E5B78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BDEE7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72F95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2D466D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79C64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0.160</w:t>
            </w:r>
          </w:p>
        </w:tc>
        <w:tc>
          <w:tcPr>
            <w:tcW w:w="1084" w:type="dxa"/>
            <w:vAlign w:val="center"/>
            <w:hideMark/>
          </w:tcPr>
          <w:p w14:paraId="6FB79EE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0.320</w:t>
            </w:r>
          </w:p>
        </w:tc>
      </w:tr>
      <w:tr w:rsidR="00C17D82" w:rsidRPr="006F0F37" w14:paraId="4544033C" w14:textId="77777777" w:rsidTr="005F256D">
        <w:trPr>
          <w:trHeight w:val="255"/>
        </w:trPr>
        <w:tc>
          <w:tcPr>
            <w:tcW w:w="2448" w:type="dxa"/>
            <w:vAlign w:val="center"/>
            <w:hideMark/>
          </w:tcPr>
          <w:p w14:paraId="1E6066D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Car - Flexible Duty Officer</w:t>
            </w:r>
          </w:p>
        </w:tc>
        <w:tc>
          <w:tcPr>
            <w:tcW w:w="986" w:type="dxa"/>
            <w:vAlign w:val="center"/>
            <w:hideMark/>
          </w:tcPr>
          <w:p w14:paraId="735743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c>
          <w:tcPr>
            <w:tcW w:w="986" w:type="dxa"/>
            <w:vAlign w:val="center"/>
            <w:hideMark/>
          </w:tcPr>
          <w:p w14:paraId="75CDA0F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6CA5FE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3712E0F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6A4D98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c>
          <w:tcPr>
            <w:tcW w:w="986" w:type="dxa"/>
            <w:vAlign w:val="center"/>
            <w:hideMark/>
          </w:tcPr>
          <w:p w14:paraId="3DD03F7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79205A6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6939F46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6F6196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c>
          <w:tcPr>
            <w:tcW w:w="986" w:type="dxa"/>
            <w:vAlign w:val="center"/>
            <w:hideMark/>
          </w:tcPr>
          <w:p w14:paraId="0DDCE42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1084" w:type="dxa"/>
            <w:vAlign w:val="center"/>
            <w:hideMark/>
          </w:tcPr>
          <w:p w14:paraId="6E29663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2.280</w:t>
            </w:r>
          </w:p>
        </w:tc>
      </w:tr>
      <w:tr w:rsidR="00C17D82" w:rsidRPr="006F0F37" w14:paraId="525239A0" w14:textId="77777777" w:rsidTr="005F256D">
        <w:trPr>
          <w:trHeight w:val="255"/>
        </w:trPr>
        <w:tc>
          <w:tcPr>
            <w:tcW w:w="2448" w:type="dxa"/>
            <w:vAlign w:val="center"/>
            <w:hideMark/>
          </w:tcPr>
          <w:p w14:paraId="5D3CDCF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 xml:space="preserve">Car - </w:t>
            </w:r>
            <w:proofErr w:type="gramStart"/>
            <w:r w:rsidRPr="006F0F37">
              <w:rPr>
                <w:rFonts w:ascii="Arial" w:hAnsi="Arial" w:cs="Arial"/>
                <w:bCs/>
                <w:szCs w:val="24"/>
              </w:rPr>
              <w:t>Principle</w:t>
            </w:r>
            <w:proofErr w:type="gramEnd"/>
            <w:r w:rsidRPr="006F0F37">
              <w:rPr>
                <w:rFonts w:ascii="Arial" w:hAnsi="Arial" w:cs="Arial"/>
                <w:bCs/>
                <w:szCs w:val="24"/>
              </w:rPr>
              <w:t xml:space="preserve"> Officer &amp; Area Man</w:t>
            </w:r>
          </w:p>
        </w:tc>
        <w:tc>
          <w:tcPr>
            <w:tcW w:w="986" w:type="dxa"/>
            <w:vAlign w:val="center"/>
            <w:hideMark/>
          </w:tcPr>
          <w:p w14:paraId="02F5536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88DA3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CC4CF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4B042B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48FB604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A99E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C24D2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2B9FCF0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2CD53E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BC3906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8885C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0.360</w:t>
            </w:r>
          </w:p>
        </w:tc>
      </w:tr>
      <w:tr w:rsidR="00C17D82" w:rsidRPr="006F0F37" w14:paraId="2DF35D80" w14:textId="77777777" w:rsidTr="005F256D">
        <w:trPr>
          <w:trHeight w:val="270"/>
        </w:trPr>
        <w:tc>
          <w:tcPr>
            <w:tcW w:w="2448" w:type="dxa"/>
            <w:vAlign w:val="center"/>
            <w:hideMark/>
          </w:tcPr>
          <w:p w14:paraId="37798AC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People Mover</w:t>
            </w:r>
          </w:p>
        </w:tc>
        <w:tc>
          <w:tcPr>
            <w:tcW w:w="986" w:type="dxa"/>
            <w:vAlign w:val="center"/>
            <w:hideMark/>
          </w:tcPr>
          <w:p w14:paraId="4CCD3A4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8425F2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4A65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321CB23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1ED6B6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3F1C1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C24D8D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C9EDA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54108C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FA252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9708D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r>
      <w:tr w:rsidR="00C17D82" w:rsidRPr="006F0F37" w14:paraId="488E189A" w14:textId="77777777" w:rsidTr="005F256D">
        <w:trPr>
          <w:trHeight w:val="255"/>
        </w:trPr>
        <w:tc>
          <w:tcPr>
            <w:tcW w:w="2448" w:type="dxa"/>
            <w:vAlign w:val="center"/>
            <w:hideMark/>
          </w:tcPr>
          <w:p w14:paraId="6C56B3F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Double Cab Van</w:t>
            </w:r>
          </w:p>
        </w:tc>
        <w:tc>
          <w:tcPr>
            <w:tcW w:w="986" w:type="dxa"/>
            <w:vAlign w:val="center"/>
            <w:hideMark/>
          </w:tcPr>
          <w:p w14:paraId="5542FAF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0.140</w:t>
            </w:r>
          </w:p>
        </w:tc>
        <w:tc>
          <w:tcPr>
            <w:tcW w:w="986" w:type="dxa"/>
            <w:vAlign w:val="center"/>
            <w:hideMark/>
          </w:tcPr>
          <w:p w14:paraId="05A3003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4B3A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61242D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0.035</w:t>
            </w:r>
          </w:p>
        </w:tc>
        <w:tc>
          <w:tcPr>
            <w:tcW w:w="986" w:type="dxa"/>
            <w:vAlign w:val="center"/>
            <w:hideMark/>
          </w:tcPr>
          <w:p w14:paraId="759BD3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c>
          <w:tcPr>
            <w:tcW w:w="986" w:type="dxa"/>
            <w:vAlign w:val="center"/>
            <w:hideMark/>
          </w:tcPr>
          <w:p w14:paraId="76129BE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F4EE9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0.140</w:t>
            </w:r>
          </w:p>
        </w:tc>
        <w:tc>
          <w:tcPr>
            <w:tcW w:w="986" w:type="dxa"/>
            <w:vAlign w:val="center"/>
            <w:hideMark/>
          </w:tcPr>
          <w:p w14:paraId="497153A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BA2BD6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D48F7C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0.035</w:t>
            </w:r>
          </w:p>
        </w:tc>
        <w:tc>
          <w:tcPr>
            <w:tcW w:w="1084" w:type="dxa"/>
            <w:vAlign w:val="center"/>
            <w:hideMark/>
          </w:tcPr>
          <w:p w14:paraId="035756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0.420</w:t>
            </w:r>
          </w:p>
        </w:tc>
      </w:tr>
      <w:tr w:rsidR="00C17D82" w:rsidRPr="006F0F37" w14:paraId="0A707C7F" w14:textId="77777777" w:rsidTr="005F256D">
        <w:trPr>
          <w:trHeight w:val="255"/>
        </w:trPr>
        <w:tc>
          <w:tcPr>
            <w:tcW w:w="2448" w:type="dxa"/>
            <w:vAlign w:val="center"/>
            <w:hideMark/>
          </w:tcPr>
          <w:p w14:paraId="0E52B5E6"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Beavertail Collection Vehicle</w:t>
            </w:r>
          </w:p>
        </w:tc>
        <w:tc>
          <w:tcPr>
            <w:tcW w:w="986" w:type="dxa"/>
            <w:vAlign w:val="center"/>
            <w:hideMark/>
          </w:tcPr>
          <w:p w14:paraId="1618E5E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380B2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511DC2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36672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1F3CF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0.145</w:t>
            </w:r>
          </w:p>
        </w:tc>
        <w:tc>
          <w:tcPr>
            <w:tcW w:w="986" w:type="dxa"/>
            <w:vAlign w:val="center"/>
            <w:hideMark/>
          </w:tcPr>
          <w:p w14:paraId="6472EA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78B085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BCC9E5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E45A0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0.145</w:t>
            </w:r>
          </w:p>
        </w:tc>
        <w:tc>
          <w:tcPr>
            <w:tcW w:w="986" w:type="dxa"/>
            <w:vAlign w:val="center"/>
            <w:hideMark/>
          </w:tcPr>
          <w:p w14:paraId="3A5ED59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3352F9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0.290</w:t>
            </w:r>
          </w:p>
        </w:tc>
      </w:tr>
      <w:tr w:rsidR="00C17D82" w:rsidRPr="006F0F37" w14:paraId="42E86ACE" w14:textId="77777777" w:rsidTr="005F256D">
        <w:trPr>
          <w:trHeight w:val="255"/>
        </w:trPr>
        <w:tc>
          <w:tcPr>
            <w:tcW w:w="2448" w:type="dxa"/>
            <w:vAlign w:val="center"/>
            <w:hideMark/>
          </w:tcPr>
          <w:p w14:paraId="1864BB2D"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Pick up</w:t>
            </w:r>
          </w:p>
        </w:tc>
        <w:tc>
          <w:tcPr>
            <w:tcW w:w="986" w:type="dxa"/>
            <w:vAlign w:val="center"/>
            <w:hideMark/>
          </w:tcPr>
          <w:p w14:paraId="6B6D79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1CE86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B02C8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4C2A97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0.040</w:t>
            </w:r>
          </w:p>
        </w:tc>
        <w:tc>
          <w:tcPr>
            <w:tcW w:w="986" w:type="dxa"/>
            <w:vAlign w:val="center"/>
            <w:hideMark/>
          </w:tcPr>
          <w:p w14:paraId="7AED14C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7442CD2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C4B66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29706B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0.040</w:t>
            </w:r>
          </w:p>
        </w:tc>
        <w:tc>
          <w:tcPr>
            <w:tcW w:w="986" w:type="dxa"/>
            <w:vAlign w:val="center"/>
            <w:hideMark/>
          </w:tcPr>
          <w:p w14:paraId="66E90D7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B5910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1897F6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0.320</w:t>
            </w:r>
          </w:p>
        </w:tc>
      </w:tr>
      <w:tr w:rsidR="00C17D82" w:rsidRPr="006F0F37" w14:paraId="10E74A7B" w14:textId="77777777" w:rsidTr="005F256D">
        <w:trPr>
          <w:trHeight w:val="255"/>
        </w:trPr>
        <w:tc>
          <w:tcPr>
            <w:tcW w:w="2448" w:type="dxa"/>
            <w:vAlign w:val="center"/>
            <w:hideMark/>
          </w:tcPr>
          <w:p w14:paraId="69562E16"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Telehandler</w:t>
            </w:r>
          </w:p>
        </w:tc>
        <w:tc>
          <w:tcPr>
            <w:tcW w:w="986" w:type="dxa"/>
            <w:vAlign w:val="center"/>
            <w:hideMark/>
          </w:tcPr>
          <w:p w14:paraId="2A32E63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DB7DA1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c>
          <w:tcPr>
            <w:tcW w:w="986" w:type="dxa"/>
            <w:vAlign w:val="center"/>
            <w:hideMark/>
          </w:tcPr>
          <w:p w14:paraId="1135E6E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BE87A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C16AE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72E393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354E58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AF5E0B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B9BF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F317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5E944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r>
      <w:tr w:rsidR="00C17D82" w:rsidRPr="006F0F37" w14:paraId="7C4DAF9C" w14:textId="77777777" w:rsidTr="005F256D">
        <w:trPr>
          <w:trHeight w:val="255"/>
        </w:trPr>
        <w:tc>
          <w:tcPr>
            <w:tcW w:w="2448" w:type="dxa"/>
            <w:vAlign w:val="center"/>
            <w:hideMark/>
          </w:tcPr>
          <w:p w14:paraId="142115D8"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Rescue Team Van</w:t>
            </w:r>
          </w:p>
        </w:tc>
        <w:tc>
          <w:tcPr>
            <w:tcW w:w="986" w:type="dxa"/>
            <w:vAlign w:val="center"/>
            <w:hideMark/>
          </w:tcPr>
          <w:p w14:paraId="544FCC0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0.303</w:t>
            </w:r>
          </w:p>
        </w:tc>
        <w:tc>
          <w:tcPr>
            <w:tcW w:w="986" w:type="dxa"/>
            <w:vAlign w:val="center"/>
            <w:hideMark/>
          </w:tcPr>
          <w:p w14:paraId="1453B44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A3748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5DBBE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A1E98E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DBE4B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E195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35D27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8D934E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CEF81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c>
          <w:tcPr>
            <w:tcW w:w="1084" w:type="dxa"/>
            <w:vAlign w:val="center"/>
            <w:hideMark/>
          </w:tcPr>
          <w:p w14:paraId="2210DF2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0.453</w:t>
            </w:r>
          </w:p>
        </w:tc>
      </w:tr>
      <w:tr w:rsidR="00C17D82" w:rsidRPr="006F0F37" w14:paraId="7048AA3B" w14:textId="77777777" w:rsidTr="005F256D">
        <w:trPr>
          <w:trHeight w:val="255"/>
        </w:trPr>
        <w:tc>
          <w:tcPr>
            <w:tcW w:w="2448" w:type="dxa"/>
            <w:vAlign w:val="center"/>
            <w:hideMark/>
          </w:tcPr>
          <w:p w14:paraId="4B56E8B6" w14:textId="77777777" w:rsidR="00C17D82" w:rsidRPr="006F0F37" w:rsidRDefault="00C17D82" w:rsidP="006F0F37">
            <w:pPr>
              <w:spacing w:before="120" w:after="120"/>
              <w:rPr>
                <w:rFonts w:ascii="Arial" w:hAnsi="Arial" w:cs="Arial"/>
                <w:bCs/>
                <w:szCs w:val="24"/>
              </w:rPr>
            </w:pPr>
            <w:proofErr w:type="gramStart"/>
            <w:r w:rsidRPr="006F0F37">
              <w:rPr>
                <w:rFonts w:ascii="Arial" w:hAnsi="Arial" w:cs="Arial"/>
                <w:bCs/>
                <w:szCs w:val="24"/>
              </w:rPr>
              <w:t>Mini bus</w:t>
            </w:r>
            <w:proofErr w:type="gramEnd"/>
          </w:p>
        </w:tc>
        <w:tc>
          <w:tcPr>
            <w:tcW w:w="986" w:type="dxa"/>
            <w:vAlign w:val="center"/>
            <w:hideMark/>
          </w:tcPr>
          <w:p w14:paraId="602A5D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5085C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29248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56BCF0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03F0F91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E8F87E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5E29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6CBE4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CCC31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9FBCD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B1BB0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r>
      <w:tr w:rsidR="00C17D82" w:rsidRPr="006F0F37" w14:paraId="0150197E" w14:textId="77777777" w:rsidTr="005F256D">
        <w:trPr>
          <w:trHeight w:val="255"/>
        </w:trPr>
        <w:tc>
          <w:tcPr>
            <w:tcW w:w="2448" w:type="dxa"/>
            <w:vAlign w:val="center"/>
            <w:hideMark/>
          </w:tcPr>
          <w:p w14:paraId="2EB7954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Welfare Unit</w:t>
            </w:r>
          </w:p>
        </w:tc>
        <w:tc>
          <w:tcPr>
            <w:tcW w:w="986" w:type="dxa"/>
            <w:vAlign w:val="center"/>
            <w:hideMark/>
          </w:tcPr>
          <w:p w14:paraId="53E71B7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6415671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41FD1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C4D69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16893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3F7333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73874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418F27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C1B03B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369812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18DA06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r>
      <w:tr w:rsidR="00C17D82" w:rsidRPr="006F0F37" w14:paraId="2BC2D633" w14:textId="77777777" w:rsidTr="005F256D">
        <w:trPr>
          <w:trHeight w:val="255"/>
        </w:trPr>
        <w:tc>
          <w:tcPr>
            <w:tcW w:w="2448" w:type="dxa"/>
            <w:vAlign w:val="center"/>
            <w:hideMark/>
          </w:tcPr>
          <w:p w14:paraId="78EEAA79"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Van - Catering Unit</w:t>
            </w:r>
          </w:p>
        </w:tc>
        <w:tc>
          <w:tcPr>
            <w:tcW w:w="986" w:type="dxa"/>
            <w:vAlign w:val="center"/>
            <w:hideMark/>
          </w:tcPr>
          <w:p w14:paraId="770ECA8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D7CC26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c>
          <w:tcPr>
            <w:tcW w:w="986" w:type="dxa"/>
            <w:vAlign w:val="center"/>
            <w:hideMark/>
          </w:tcPr>
          <w:p w14:paraId="063B0B7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2348FF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8454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0A29F5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C8454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31722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A34E9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0AB9B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c>
          <w:tcPr>
            <w:tcW w:w="1084" w:type="dxa"/>
            <w:vAlign w:val="center"/>
            <w:hideMark/>
          </w:tcPr>
          <w:p w14:paraId="0B82960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0.130</w:t>
            </w:r>
          </w:p>
        </w:tc>
      </w:tr>
      <w:tr w:rsidR="00C17D82" w:rsidRPr="006F0F37" w14:paraId="5D0CAB70" w14:textId="77777777" w:rsidTr="005F256D">
        <w:trPr>
          <w:trHeight w:val="255"/>
        </w:trPr>
        <w:tc>
          <w:tcPr>
            <w:tcW w:w="2448" w:type="dxa"/>
            <w:vAlign w:val="center"/>
            <w:hideMark/>
          </w:tcPr>
          <w:p w14:paraId="6CA030D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Van - Dog Unit</w:t>
            </w:r>
          </w:p>
        </w:tc>
        <w:tc>
          <w:tcPr>
            <w:tcW w:w="986" w:type="dxa"/>
            <w:vAlign w:val="center"/>
            <w:hideMark/>
          </w:tcPr>
          <w:p w14:paraId="587E07B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0.080</w:t>
            </w:r>
          </w:p>
        </w:tc>
        <w:tc>
          <w:tcPr>
            <w:tcW w:w="986" w:type="dxa"/>
            <w:vAlign w:val="center"/>
            <w:hideMark/>
          </w:tcPr>
          <w:p w14:paraId="75FBA58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099A3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6DDAC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26E60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6C896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E0BD7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0.080</w:t>
            </w:r>
          </w:p>
        </w:tc>
        <w:tc>
          <w:tcPr>
            <w:tcW w:w="986" w:type="dxa"/>
            <w:vAlign w:val="center"/>
            <w:hideMark/>
          </w:tcPr>
          <w:p w14:paraId="35D05D4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978D1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20B8CF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02B6D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0.160</w:t>
            </w:r>
          </w:p>
        </w:tc>
      </w:tr>
      <w:tr w:rsidR="00C17D82" w:rsidRPr="006F0F37" w14:paraId="41D29D5C" w14:textId="77777777" w:rsidTr="005F256D">
        <w:trPr>
          <w:trHeight w:val="255"/>
        </w:trPr>
        <w:tc>
          <w:tcPr>
            <w:tcW w:w="2448" w:type="dxa"/>
            <w:vAlign w:val="center"/>
            <w:hideMark/>
          </w:tcPr>
          <w:p w14:paraId="4A19D5A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Van - Large</w:t>
            </w:r>
          </w:p>
        </w:tc>
        <w:tc>
          <w:tcPr>
            <w:tcW w:w="986" w:type="dxa"/>
            <w:vAlign w:val="center"/>
            <w:hideMark/>
          </w:tcPr>
          <w:p w14:paraId="5C2766E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6EA46F7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3554C1C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9AED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458C70B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7CBF1D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260ABB0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0.120</w:t>
            </w:r>
          </w:p>
        </w:tc>
        <w:tc>
          <w:tcPr>
            <w:tcW w:w="986" w:type="dxa"/>
            <w:vAlign w:val="center"/>
            <w:hideMark/>
          </w:tcPr>
          <w:p w14:paraId="04B4B15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0.240</w:t>
            </w:r>
          </w:p>
        </w:tc>
        <w:tc>
          <w:tcPr>
            <w:tcW w:w="986" w:type="dxa"/>
            <w:vAlign w:val="center"/>
            <w:hideMark/>
          </w:tcPr>
          <w:p w14:paraId="23031A6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4918170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C37C02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0.900</w:t>
            </w:r>
          </w:p>
        </w:tc>
      </w:tr>
      <w:tr w:rsidR="00C17D82" w:rsidRPr="006F0F37" w14:paraId="7E486194" w14:textId="77777777" w:rsidTr="005F256D">
        <w:trPr>
          <w:trHeight w:val="255"/>
        </w:trPr>
        <w:tc>
          <w:tcPr>
            <w:tcW w:w="2448" w:type="dxa"/>
            <w:vAlign w:val="center"/>
            <w:hideMark/>
          </w:tcPr>
          <w:p w14:paraId="47EBB76D"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Van - Small</w:t>
            </w:r>
          </w:p>
        </w:tc>
        <w:tc>
          <w:tcPr>
            <w:tcW w:w="986" w:type="dxa"/>
            <w:vAlign w:val="center"/>
            <w:hideMark/>
          </w:tcPr>
          <w:p w14:paraId="38E8A4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0.033</w:t>
            </w:r>
          </w:p>
        </w:tc>
        <w:tc>
          <w:tcPr>
            <w:tcW w:w="986" w:type="dxa"/>
            <w:vAlign w:val="center"/>
            <w:hideMark/>
          </w:tcPr>
          <w:p w14:paraId="5004E63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6FF9F1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788406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1A941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3B021E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710815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0.055</w:t>
            </w:r>
          </w:p>
        </w:tc>
        <w:tc>
          <w:tcPr>
            <w:tcW w:w="986" w:type="dxa"/>
            <w:vAlign w:val="center"/>
            <w:hideMark/>
          </w:tcPr>
          <w:p w14:paraId="1F3DCC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0D48C6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1C309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581593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0.088</w:t>
            </w:r>
          </w:p>
        </w:tc>
      </w:tr>
      <w:tr w:rsidR="00C17D82" w:rsidRPr="006F0F37" w14:paraId="64939572" w14:textId="77777777" w:rsidTr="005F256D">
        <w:trPr>
          <w:trHeight w:val="255"/>
        </w:trPr>
        <w:tc>
          <w:tcPr>
            <w:tcW w:w="2448" w:type="dxa"/>
            <w:vAlign w:val="center"/>
            <w:hideMark/>
          </w:tcPr>
          <w:p w14:paraId="39D4596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Van - Large EV</w:t>
            </w:r>
          </w:p>
        </w:tc>
        <w:tc>
          <w:tcPr>
            <w:tcW w:w="986" w:type="dxa"/>
            <w:vAlign w:val="center"/>
            <w:hideMark/>
          </w:tcPr>
          <w:p w14:paraId="2277DC1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B43B70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FD22CE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D10DF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B4BABB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08031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c>
          <w:tcPr>
            <w:tcW w:w="986" w:type="dxa"/>
            <w:vAlign w:val="center"/>
            <w:hideMark/>
          </w:tcPr>
          <w:p w14:paraId="3B6C7C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BE4A1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227B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EDA13F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F3C3A4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0.065</w:t>
            </w:r>
          </w:p>
        </w:tc>
      </w:tr>
      <w:tr w:rsidR="00C17D82" w:rsidRPr="006F0F37" w14:paraId="36966F2B" w14:textId="77777777" w:rsidTr="005F256D">
        <w:trPr>
          <w:trHeight w:val="255"/>
        </w:trPr>
        <w:tc>
          <w:tcPr>
            <w:tcW w:w="2448" w:type="dxa"/>
            <w:vAlign w:val="center"/>
            <w:hideMark/>
          </w:tcPr>
          <w:p w14:paraId="0CD91B59"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Subtotal</w:t>
            </w:r>
          </w:p>
        </w:tc>
        <w:tc>
          <w:tcPr>
            <w:tcW w:w="986" w:type="dxa"/>
            <w:vAlign w:val="center"/>
            <w:hideMark/>
          </w:tcPr>
          <w:p w14:paraId="7FFACC24"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4.452</w:t>
            </w:r>
          </w:p>
        </w:tc>
        <w:tc>
          <w:tcPr>
            <w:tcW w:w="986" w:type="dxa"/>
            <w:vAlign w:val="center"/>
            <w:hideMark/>
          </w:tcPr>
          <w:p w14:paraId="537684B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2.825</w:t>
            </w:r>
          </w:p>
        </w:tc>
        <w:tc>
          <w:tcPr>
            <w:tcW w:w="986" w:type="dxa"/>
            <w:vAlign w:val="center"/>
            <w:hideMark/>
          </w:tcPr>
          <w:p w14:paraId="04CEB2F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2.035</w:t>
            </w:r>
          </w:p>
        </w:tc>
        <w:tc>
          <w:tcPr>
            <w:tcW w:w="986" w:type="dxa"/>
            <w:vAlign w:val="center"/>
            <w:hideMark/>
          </w:tcPr>
          <w:p w14:paraId="08B41D40"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2.470</w:t>
            </w:r>
          </w:p>
        </w:tc>
        <w:tc>
          <w:tcPr>
            <w:tcW w:w="986" w:type="dxa"/>
            <w:vAlign w:val="center"/>
            <w:hideMark/>
          </w:tcPr>
          <w:p w14:paraId="00D2D53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2.895</w:t>
            </w:r>
          </w:p>
        </w:tc>
        <w:tc>
          <w:tcPr>
            <w:tcW w:w="986" w:type="dxa"/>
            <w:vAlign w:val="center"/>
            <w:hideMark/>
          </w:tcPr>
          <w:p w14:paraId="334AD5A8"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2.195</w:t>
            </w:r>
          </w:p>
        </w:tc>
        <w:tc>
          <w:tcPr>
            <w:tcW w:w="986" w:type="dxa"/>
            <w:vAlign w:val="center"/>
            <w:hideMark/>
          </w:tcPr>
          <w:p w14:paraId="58F361B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3.120</w:t>
            </w:r>
          </w:p>
        </w:tc>
        <w:tc>
          <w:tcPr>
            <w:tcW w:w="986" w:type="dxa"/>
            <w:vAlign w:val="center"/>
            <w:hideMark/>
          </w:tcPr>
          <w:p w14:paraId="0BF8FDCB"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3.265</w:t>
            </w:r>
          </w:p>
        </w:tc>
        <w:tc>
          <w:tcPr>
            <w:tcW w:w="986" w:type="dxa"/>
            <w:vAlign w:val="center"/>
            <w:hideMark/>
          </w:tcPr>
          <w:p w14:paraId="6A2D0F0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2.690</w:t>
            </w:r>
          </w:p>
        </w:tc>
        <w:tc>
          <w:tcPr>
            <w:tcW w:w="986" w:type="dxa"/>
            <w:vAlign w:val="center"/>
            <w:hideMark/>
          </w:tcPr>
          <w:p w14:paraId="5DA6D89C"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3.010</w:t>
            </w:r>
          </w:p>
        </w:tc>
        <w:tc>
          <w:tcPr>
            <w:tcW w:w="1084" w:type="dxa"/>
            <w:vAlign w:val="center"/>
            <w:hideMark/>
          </w:tcPr>
          <w:p w14:paraId="64D0BAAD"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28.957</w:t>
            </w:r>
          </w:p>
        </w:tc>
      </w:tr>
      <w:tr w:rsidR="00C17D82" w:rsidRPr="006F0F37" w14:paraId="71EEF187" w14:textId="77777777" w:rsidTr="005F256D">
        <w:trPr>
          <w:trHeight w:val="255"/>
        </w:trPr>
        <w:tc>
          <w:tcPr>
            <w:tcW w:w="2448" w:type="dxa"/>
            <w:vAlign w:val="center"/>
            <w:hideMark/>
          </w:tcPr>
          <w:p w14:paraId="443382D0"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Operational Equipment</w:t>
            </w:r>
          </w:p>
        </w:tc>
        <w:tc>
          <w:tcPr>
            <w:tcW w:w="986" w:type="dxa"/>
            <w:vAlign w:val="center"/>
            <w:hideMark/>
          </w:tcPr>
          <w:p w14:paraId="072E3644" w14:textId="77777777" w:rsidR="00C17D82" w:rsidRPr="006F0F37" w:rsidRDefault="00C17D82" w:rsidP="006F0F37">
            <w:pPr>
              <w:spacing w:before="120" w:after="120"/>
              <w:jc w:val="right"/>
              <w:rPr>
                <w:rFonts w:ascii="Arial" w:hAnsi="Arial" w:cs="Arial"/>
                <w:bCs/>
                <w:szCs w:val="24"/>
              </w:rPr>
            </w:pPr>
          </w:p>
        </w:tc>
        <w:tc>
          <w:tcPr>
            <w:tcW w:w="986" w:type="dxa"/>
            <w:vAlign w:val="center"/>
          </w:tcPr>
          <w:p w14:paraId="12E473D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tcPr>
          <w:p w14:paraId="613DE915"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F23B7E0"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3851DFC5"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380268C6"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4F7A5676"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2353C13D"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5F2908DD"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4445FFF8" w14:textId="77777777" w:rsidR="00C17D82" w:rsidRPr="006F0F37" w:rsidRDefault="00C17D82" w:rsidP="006F0F37">
            <w:pPr>
              <w:spacing w:before="120" w:after="120"/>
              <w:jc w:val="right"/>
              <w:rPr>
                <w:rFonts w:ascii="Arial" w:hAnsi="Arial" w:cs="Arial"/>
                <w:bCs/>
                <w:szCs w:val="24"/>
              </w:rPr>
            </w:pPr>
          </w:p>
        </w:tc>
        <w:tc>
          <w:tcPr>
            <w:tcW w:w="1084" w:type="dxa"/>
            <w:vAlign w:val="center"/>
            <w:hideMark/>
          </w:tcPr>
          <w:p w14:paraId="4C79A655" w14:textId="77777777" w:rsidR="00C17D82" w:rsidRPr="006F0F37" w:rsidRDefault="00C17D82" w:rsidP="006F0F37">
            <w:pPr>
              <w:spacing w:before="120" w:after="120"/>
              <w:jc w:val="right"/>
              <w:rPr>
                <w:rFonts w:ascii="Arial" w:hAnsi="Arial" w:cs="Arial"/>
                <w:bCs/>
                <w:szCs w:val="24"/>
              </w:rPr>
            </w:pPr>
          </w:p>
        </w:tc>
      </w:tr>
      <w:tr w:rsidR="00C17D82" w:rsidRPr="006F0F37" w14:paraId="52765B8C" w14:textId="77777777" w:rsidTr="005F256D">
        <w:trPr>
          <w:trHeight w:val="255"/>
        </w:trPr>
        <w:tc>
          <w:tcPr>
            <w:tcW w:w="2448" w:type="dxa"/>
            <w:vAlign w:val="center"/>
            <w:hideMark/>
          </w:tcPr>
          <w:p w14:paraId="76B4C266"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Thermal Imaging Cameras</w:t>
            </w:r>
          </w:p>
        </w:tc>
        <w:tc>
          <w:tcPr>
            <w:tcW w:w="986" w:type="dxa"/>
            <w:vAlign w:val="center"/>
            <w:hideMark/>
          </w:tcPr>
          <w:p w14:paraId="0F92B4B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2BE5D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1C36C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6E3E7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0.011</w:t>
            </w:r>
          </w:p>
        </w:tc>
        <w:tc>
          <w:tcPr>
            <w:tcW w:w="986" w:type="dxa"/>
            <w:vAlign w:val="center"/>
            <w:hideMark/>
          </w:tcPr>
          <w:p w14:paraId="1A5E603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0.270</w:t>
            </w:r>
          </w:p>
        </w:tc>
        <w:tc>
          <w:tcPr>
            <w:tcW w:w="986" w:type="dxa"/>
            <w:vAlign w:val="center"/>
            <w:hideMark/>
          </w:tcPr>
          <w:p w14:paraId="319D54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BC45EA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76F44E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B2C92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0.011</w:t>
            </w:r>
          </w:p>
        </w:tc>
        <w:tc>
          <w:tcPr>
            <w:tcW w:w="986" w:type="dxa"/>
            <w:vAlign w:val="center"/>
            <w:hideMark/>
          </w:tcPr>
          <w:p w14:paraId="5FDBAD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0.270</w:t>
            </w:r>
          </w:p>
        </w:tc>
        <w:tc>
          <w:tcPr>
            <w:tcW w:w="1084" w:type="dxa"/>
            <w:vAlign w:val="center"/>
            <w:hideMark/>
          </w:tcPr>
          <w:p w14:paraId="0995CA1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0.560</w:t>
            </w:r>
          </w:p>
        </w:tc>
      </w:tr>
      <w:tr w:rsidR="00C17D82" w:rsidRPr="006F0F37" w14:paraId="1FAC84D1" w14:textId="77777777" w:rsidTr="005F256D">
        <w:trPr>
          <w:trHeight w:val="255"/>
        </w:trPr>
        <w:tc>
          <w:tcPr>
            <w:tcW w:w="2448" w:type="dxa"/>
            <w:vAlign w:val="center"/>
            <w:hideMark/>
          </w:tcPr>
          <w:p w14:paraId="21A2F47C"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Breathing Apparatus sets &amp; telemetry</w:t>
            </w:r>
          </w:p>
        </w:tc>
        <w:tc>
          <w:tcPr>
            <w:tcW w:w="986" w:type="dxa"/>
            <w:vAlign w:val="center"/>
            <w:hideMark/>
          </w:tcPr>
          <w:p w14:paraId="0389FEB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w:t>
            </w:r>
          </w:p>
        </w:tc>
        <w:tc>
          <w:tcPr>
            <w:tcW w:w="986" w:type="dxa"/>
            <w:vAlign w:val="center"/>
            <w:hideMark/>
          </w:tcPr>
          <w:p w14:paraId="5FFE22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1.220</w:t>
            </w:r>
          </w:p>
        </w:tc>
        <w:tc>
          <w:tcPr>
            <w:tcW w:w="986" w:type="dxa"/>
            <w:vAlign w:val="center"/>
            <w:hideMark/>
          </w:tcPr>
          <w:p w14:paraId="338EB38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89AB7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84C0C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FE3D75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2C866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D1F12B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C1DB59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ACB79A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B05FC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2.220</w:t>
            </w:r>
          </w:p>
        </w:tc>
      </w:tr>
      <w:tr w:rsidR="00C17D82" w:rsidRPr="006F0F37" w14:paraId="4AEEB3AE" w14:textId="77777777" w:rsidTr="005F256D">
        <w:trPr>
          <w:trHeight w:val="255"/>
        </w:trPr>
        <w:tc>
          <w:tcPr>
            <w:tcW w:w="2448" w:type="dxa"/>
            <w:vAlign w:val="center"/>
            <w:hideMark/>
          </w:tcPr>
          <w:p w14:paraId="387008E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Breathing Apparatus compressor</w:t>
            </w:r>
          </w:p>
        </w:tc>
        <w:tc>
          <w:tcPr>
            <w:tcW w:w="986" w:type="dxa"/>
            <w:vAlign w:val="center"/>
            <w:hideMark/>
          </w:tcPr>
          <w:p w14:paraId="3D12BB5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0.052</w:t>
            </w:r>
          </w:p>
        </w:tc>
        <w:tc>
          <w:tcPr>
            <w:tcW w:w="986" w:type="dxa"/>
            <w:vAlign w:val="center"/>
            <w:hideMark/>
          </w:tcPr>
          <w:p w14:paraId="12A9091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9CF6C9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0.018</w:t>
            </w:r>
          </w:p>
        </w:tc>
        <w:tc>
          <w:tcPr>
            <w:tcW w:w="986" w:type="dxa"/>
            <w:vAlign w:val="center"/>
            <w:hideMark/>
          </w:tcPr>
          <w:p w14:paraId="258582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0.053</w:t>
            </w:r>
          </w:p>
        </w:tc>
        <w:tc>
          <w:tcPr>
            <w:tcW w:w="986" w:type="dxa"/>
            <w:vAlign w:val="center"/>
            <w:hideMark/>
          </w:tcPr>
          <w:p w14:paraId="0DDF97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0.063</w:t>
            </w:r>
          </w:p>
        </w:tc>
        <w:tc>
          <w:tcPr>
            <w:tcW w:w="986" w:type="dxa"/>
            <w:vAlign w:val="center"/>
            <w:hideMark/>
          </w:tcPr>
          <w:p w14:paraId="55B6330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0.018</w:t>
            </w:r>
          </w:p>
        </w:tc>
        <w:tc>
          <w:tcPr>
            <w:tcW w:w="986" w:type="dxa"/>
            <w:vAlign w:val="center"/>
            <w:hideMark/>
          </w:tcPr>
          <w:p w14:paraId="49D012B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0.071</w:t>
            </w:r>
          </w:p>
        </w:tc>
        <w:tc>
          <w:tcPr>
            <w:tcW w:w="986" w:type="dxa"/>
            <w:vAlign w:val="center"/>
            <w:hideMark/>
          </w:tcPr>
          <w:p w14:paraId="4E6AF6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0.018</w:t>
            </w:r>
          </w:p>
        </w:tc>
        <w:tc>
          <w:tcPr>
            <w:tcW w:w="986" w:type="dxa"/>
            <w:vAlign w:val="center"/>
            <w:hideMark/>
          </w:tcPr>
          <w:p w14:paraId="7889491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5C6D92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886155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0.291</w:t>
            </w:r>
          </w:p>
        </w:tc>
      </w:tr>
      <w:tr w:rsidR="00C17D82" w:rsidRPr="006F0F37" w14:paraId="7F8EB97E" w14:textId="77777777" w:rsidTr="005F256D">
        <w:trPr>
          <w:trHeight w:val="255"/>
        </w:trPr>
        <w:tc>
          <w:tcPr>
            <w:tcW w:w="2448" w:type="dxa"/>
            <w:vAlign w:val="center"/>
            <w:hideMark/>
          </w:tcPr>
          <w:p w14:paraId="426FEFD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Ballistic Vest &amp; Helmet</w:t>
            </w:r>
          </w:p>
        </w:tc>
        <w:tc>
          <w:tcPr>
            <w:tcW w:w="986" w:type="dxa"/>
            <w:vAlign w:val="center"/>
            <w:hideMark/>
          </w:tcPr>
          <w:p w14:paraId="5B516F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0.230</w:t>
            </w:r>
          </w:p>
        </w:tc>
        <w:tc>
          <w:tcPr>
            <w:tcW w:w="986" w:type="dxa"/>
            <w:vAlign w:val="center"/>
            <w:hideMark/>
          </w:tcPr>
          <w:p w14:paraId="5E349A3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30C9C8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5DCABA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DB1CE4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4364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8161D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93D3C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30E6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3FF930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EB84DD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0.230</w:t>
            </w:r>
          </w:p>
        </w:tc>
      </w:tr>
      <w:tr w:rsidR="00C17D82" w:rsidRPr="006F0F37" w14:paraId="00155A99" w14:textId="77777777" w:rsidTr="005F256D">
        <w:trPr>
          <w:trHeight w:val="255"/>
        </w:trPr>
        <w:tc>
          <w:tcPr>
            <w:tcW w:w="2448" w:type="dxa"/>
            <w:vAlign w:val="center"/>
            <w:hideMark/>
          </w:tcPr>
          <w:p w14:paraId="216F242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Flow Meters &amp; 22mm Hose Reels</w:t>
            </w:r>
          </w:p>
        </w:tc>
        <w:tc>
          <w:tcPr>
            <w:tcW w:w="986" w:type="dxa"/>
            <w:vAlign w:val="center"/>
            <w:hideMark/>
          </w:tcPr>
          <w:p w14:paraId="3FCB2FC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0.144</w:t>
            </w:r>
          </w:p>
        </w:tc>
        <w:tc>
          <w:tcPr>
            <w:tcW w:w="986" w:type="dxa"/>
            <w:vAlign w:val="center"/>
            <w:hideMark/>
          </w:tcPr>
          <w:p w14:paraId="70F5D5C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2178C1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C65080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AF1893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F2A2EA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4C28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C3A85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11EB9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2B0D17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4605E7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0.144</w:t>
            </w:r>
          </w:p>
        </w:tc>
      </w:tr>
      <w:tr w:rsidR="00C17D82" w:rsidRPr="006F0F37" w14:paraId="6D3D89D1" w14:textId="77777777" w:rsidTr="005F256D">
        <w:trPr>
          <w:trHeight w:val="255"/>
        </w:trPr>
        <w:tc>
          <w:tcPr>
            <w:tcW w:w="2448" w:type="dxa"/>
            <w:vAlign w:val="center"/>
            <w:hideMark/>
          </w:tcPr>
          <w:p w14:paraId="4E413EC0"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High Volume Pump</w:t>
            </w:r>
          </w:p>
        </w:tc>
        <w:tc>
          <w:tcPr>
            <w:tcW w:w="986" w:type="dxa"/>
            <w:vAlign w:val="center"/>
            <w:hideMark/>
          </w:tcPr>
          <w:p w14:paraId="38113B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0.020</w:t>
            </w:r>
          </w:p>
        </w:tc>
        <w:tc>
          <w:tcPr>
            <w:tcW w:w="986" w:type="dxa"/>
            <w:vAlign w:val="center"/>
            <w:hideMark/>
          </w:tcPr>
          <w:p w14:paraId="0817CB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F6D46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F3F720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0070F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9DD08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8C015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91B6B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BFD965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A7E96E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56FCDF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0.020</w:t>
            </w:r>
          </w:p>
        </w:tc>
      </w:tr>
      <w:tr w:rsidR="00C17D82" w:rsidRPr="006F0F37" w14:paraId="2F5F09EB" w14:textId="77777777" w:rsidTr="005F256D">
        <w:trPr>
          <w:trHeight w:val="255"/>
        </w:trPr>
        <w:tc>
          <w:tcPr>
            <w:tcW w:w="2448" w:type="dxa"/>
            <w:vAlign w:val="center"/>
            <w:hideMark/>
          </w:tcPr>
          <w:p w14:paraId="6CDD1840"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Drone</w:t>
            </w:r>
          </w:p>
        </w:tc>
        <w:tc>
          <w:tcPr>
            <w:tcW w:w="986" w:type="dxa"/>
            <w:vAlign w:val="center"/>
            <w:hideMark/>
          </w:tcPr>
          <w:p w14:paraId="78F83C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64406F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ACBDE0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0.099</w:t>
            </w:r>
          </w:p>
        </w:tc>
        <w:tc>
          <w:tcPr>
            <w:tcW w:w="986" w:type="dxa"/>
            <w:vAlign w:val="center"/>
            <w:hideMark/>
          </w:tcPr>
          <w:p w14:paraId="5A1100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46EEF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14B0A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0.030</w:t>
            </w:r>
          </w:p>
        </w:tc>
        <w:tc>
          <w:tcPr>
            <w:tcW w:w="986" w:type="dxa"/>
            <w:vAlign w:val="center"/>
            <w:hideMark/>
          </w:tcPr>
          <w:p w14:paraId="06D1FE8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1EFC0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B86B9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047D2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941762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0.129</w:t>
            </w:r>
          </w:p>
        </w:tc>
      </w:tr>
      <w:tr w:rsidR="00C17D82" w:rsidRPr="006F0F37" w14:paraId="358CA63E" w14:textId="77777777" w:rsidTr="005F256D">
        <w:trPr>
          <w:trHeight w:val="255"/>
        </w:trPr>
        <w:tc>
          <w:tcPr>
            <w:tcW w:w="2448" w:type="dxa"/>
            <w:vAlign w:val="center"/>
            <w:hideMark/>
          </w:tcPr>
          <w:p w14:paraId="6C0C3BFC"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Gym equipment</w:t>
            </w:r>
          </w:p>
        </w:tc>
        <w:tc>
          <w:tcPr>
            <w:tcW w:w="986" w:type="dxa"/>
            <w:vAlign w:val="center"/>
            <w:hideMark/>
          </w:tcPr>
          <w:p w14:paraId="2C6614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c>
          <w:tcPr>
            <w:tcW w:w="986" w:type="dxa"/>
            <w:vAlign w:val="center"/>
            <w:hideMark/>
          </w:tcPr>
          <w:p w14:paraId="632F558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9F173B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EEFF7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6FBF3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AC29D7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71F7EC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4E5F2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FA4EE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6438D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0E53E1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r>
      <w:tr w:rsidR="00C17D82" w:rsidRPr="006F0F37" w14:paraId="4488D3B6" w14:textId="77777777" w:rsidTr="005F256D">
        <w:trPr>
          <w:trHeight w:val="255"/>
        </w:trPr>
        <w:tc>
          <w:tcPr>
            <w:tcW w:w="2448" w:type="dxa"/>
            <w:vAlign w:val="center"/>
            <w:hideMark/>
          </w:tcPr>
          <w:p w14:paraId="6FD26BD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General</w:t>
            </w:r>
          </w:p>
        </w:tc>
        <w:tc>
          <w:tcPr>
            <w:tcW w:w="986" w:type="dxa"/>
            <w:vAlign w:val="center"/>
            <w:hideMark/>
          </w:tcPr>
          <w:p w14:paraId="768016B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F4047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5CBDB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6E7304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E341E7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50825D4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34414B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48001DD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478652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07212A5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E6284A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1.250</w:t>
            </w:r>
          </w:p>
        </w:tc>
      </w:tr>
      <w:tr w:rsidR="00C17D82" w:rsidRPr="006F0F37" w14:paraId="19FACBB4" w14:textId="77777777" w:rsidTr="005F256D">
        <w:trPr>
          <w:trHeight w:val="255"/>
        </w:trPr>
        <w:tc>
          <w:tcPr>
            <w:tcW w:w="2448" w:type="dxa"/>
            <w:vAlign w:val="center"/>
            <w:hideMark/>
          </w:tcPr>
          <w:p w14:paraId="502ED86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Disposable Gastight Suits</w:t>
            </w:r>
          </w:p>
        </w:tc>
        <w:tc>
          <w:tcPr>
            <w:tcW w:w="986" w:type="dxa"/>
            <w:vAlign w:val="center"/>
            <w:hideMark/>
          </w:tcPr>
          <w:p w14:paraId="303138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0.042</w:t>
            </w:r>
          </w:p>
        </w:tc>
        <w:tc>
          <w:tcPr>
            <w:tcW w:w="986" w:type="dxa"/>
            <w:vAlign w:val="center"/>
            <w:hideMark/>
          </w:tcPr>
          <w:p w14:paraId="6B5304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AEA85A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1554C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4761D6F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80B3E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8337A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FBEAF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E72275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5C79D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2BA23C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0.542</w:t>
            </w:r>
          </w:p>
        </w:tc>
      </w:tr>
      <w:tr w:rsidR="00C17D82" w:rsidRPr="006F0F37" w14:paraId="5B2E9A4A" w14:textId="77777777" w:rsidTr="005F256D">
        <w:trPr>
          <w:trHeight w:val="255"/>
        </w:trPr>
        <w:tc>
          <w:tcPr>
            <w:tcW w:w="2448" w:type="dxa"/>
            <w:vAlign w:val="center"/>
            <w:hideMark/>
          </w:tcPr>
          <w:p w14:paraId="45658664"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Subtotal</w:t>
            </w:r>
          </w:p>
        </w:tc>
        <w:tc>
          <w:tcPr>
            <w:tcW w:w="986" w:type="dxa"/>
            <w:vAlign w:val="center"/>
            <w:hideMark/>
          </w:tcPr>
          <w:p w14:paraId="62E1878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1.588</w:t>
            </w:r>
          </w:p>
        </w:tc>
        <w:tc>
          <w:tcPr>
            <w:tcW w:w="986" w:type="dxa"/>
            <w:vAlign w:val="center"/>
            <w:hideMark/>
          </w:tcPr>
          <w:p w14:paraId="0119917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1.220</w:t>
            </w:r>
          </w:p>
        </w:tc>
        <w:tc>
          <w:tcPr>
            <w:tcW w:w="986" w:type="dxa"/>
            <w:vAlign w:val="center"/>
            <w:hideMark/>
          </w:tcPr>
          <w:p w14:paraId="4CEEAEB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0.117</w:t>
            </w:r>
          </w:p>
        </w:tc>
        <w:tc>
          <w:tcPr>
            <w:tcW w:w="986" w:type="dxa"/>
            <w:vAlign w:val="center"/>
            <w:hideMark/>
          </w:tcPr>
          <w:p w14:paraId="7BB18190"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0.563</w:t>
            </w:r>
          </w:p>
        </w:tc>
        <w:tc>
          <w:tcPr>
            <w:tcW w:w="986" w:type="dxa"/>
            <w:vAlign w:val="center"/>
            <w:hideMark/>
          </w:tcPr>
          <w:p w14:paraId="63C469DF"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0.583</w:t>
            </w:r>
          </w:p>
        </w:tc>
        <w:tc>
          <w:tcPr>
            <w:tcW w:w="986" w:type="dxa"/>
            <w:vAlign w:val="center"/>
            <w:hideMark/>
          </w:tcPr>
          <w:p w14:paraId="011E73E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0.298</w:t>
            </w:r>
          </w:p>
        </w:tc>
        <w:tc>
          <w:tcPr>
            <w:tcW w:w="986" w:type="dxa"/>
            <w:vAlign w:val="center"/>
            <w:hideMark/>
          </w:tcPr>
          <w:p w14:paraId="0850D08B"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0.321</w:t>
            </w:r>
          </w:p>
        </w:tc>
        <w:tc>
          <w:tcPr>
            <w:tcW w:w="986" w:type="dxa"/>
            <w:vAlign w:val="center"/>
            <w:hideMark/>
          </w:tcPr>
          <w:p w14:paraId="1F5D0864"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0.268</w:t>
            </w:r>
          </w:p>
        </w:tc>
        <w:tc>
          <w:tcPr>
            <w:tcW w:w="986" w:type="dxa"/>
            <w:vAlign w:val="center"/>
            <w:hideMark/>
          </w:tcPr>
          <w:p w14:paraId="4F17A388"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0.261</w:t>
            </w:r>
          </w:p>
        </w:tc>
        <w:tc>
          <w:tcPr>
            <w:tcW w:w="986" w:type="dxa"/>
            <w:vAlign w:val="center"/>
            <w:hideMark/>
          </w:tcPr>
          <w:p w14:paraId="58E96744"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0.270</w:t>
            </w:r>
          </w:p>
        </w:tc>
        <w:tc>
          <w:tcPr>
            <w:tcW w:w="1084" w:type="dxa"/>
            <w:vAlign w:val="center"/>
            <w:hideMark/>
          </w:tcPr>
          <w:p w14:paraId="0D2B8F8C"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5.486</w:t>
            </w:r>
          </w:p>
        </w:tc>
      </w:tr>
      <w:tr w:rsidR="00C17D82" w:rsidRPr="006F0F37" w14:paraId="4178187C" w14:textId="77777777" w:rsidTr="005F256D">
        <w:trPr>
          <w:trHeight w:val="255"/>
        </w:trPr>
        <w:tc>
          <w:tcPr>
            <w:tcW w:w="2448" w:type="dxa"/>
            <w:vAlign w:val="center"/>
            <w:hideMark/>
          </w:tcPr>
          <w:p w14:paraId="25E1FE13"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Buildings</w:t>
            </w:r>
          </w:p>
        </w:tc>
        <w:tc>
          <w:tcPr>
            <w:tcW w:w="986" w:type="dxa"/>
            <w:vAlign w:val="center"/>
            <w:hideMark/>
          </w:tcPr>
          <w:p w14:paraId="69DCD5AC"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57FE1F38"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4B008B39"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EE9E86A"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E861B21"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9CB74C4"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2D4B4A63"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3C7180DF"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969BABC"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82DA254" w14:textId="77777777" w:rsidR="00C17D82" w:rsidRPr="006F0F37" w:rsidRDefault="00C17D82" w:rsidP="006F0F37">
            <w:pPr>
              <w:spacing w:before="120" w:after="120"/>
              <w:jc w:val="right"/>
              <w:rPr>
                <w:rFonts w:ascii="Arial" w:hAnsi="Arial" w:cs="Arial"/>
                <w:bCs/>
                <w:szCs w:val="24"/>
              </w:rPr>
            </w:pPr>
          </w:p>
        </w:tc>
        <w:tc>
          <w:tcPr>
            <w:tcW w:w="1084" w:type="dxa"/>
            <w:vAlign w:val="center"/>
            <w:hideMark/>
          </w:tcPr>
          <w:p w14:paraId="29B936CD" w14:textId="77777777" w:rsidR="00C17D82" w:rsidRPr="006F0F37" w:rsidRDefault="00C17D82" w:rsidP="006F0F37">
            <w:pPr>
              <w:spacing w:before="120" w:after="120"/>
              <w:jc w:val="right"/>
              <w:rPr>
                <w:rFonts w:ascii="Arial" w:hAnsi="Arial" w:cs="Arial"/>
                <w:bCs/>
                <w:szCs w:val="24"/>
              </w:rPr>
            </w:pPr>
          </w:p>
        </w:tc>
      </w:tr>
      <w:tr w:rsidR="00C17D82" w:rsidRPr="006F0F37" w14:paraId="0A9A5D30" w14:textId="77777777" w:rsidTr="005F256D">
        <w:trPr>
          <w:trHeight w:val="255"/>
        </w:trPr>
        <w:tc>
          <w:tcPr>
            <w:tcW w:w="2448" w:type="dxa"/>
            <w:vAlign w:val="center"/>
            <w:hideMark/>
          </w:tcPr>
          <w:p w14:paraId="375027DC"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Wylfa Training Prop</w:t>
            </w:r>
          </w:p>
        </w:tc>
        <w:tc>
          <w:tcPr>
            <w:tcW w:w="986" w:type="dxa"/>
            <w:vAlign w:val="center"/>
            <w:hideMark/>
          </w:tcPr>
          <w:p w14:paraId="1916027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0.125</w:t>
            </w:r>
          </w:p>
        </w:tc>
        <w:tc>
          <w:tcPr>
            <w:tcW w:w="986" w:type="dxa"/>
            <w:vAlign w:val="center"/>
            <w:hideMark/>
          </w:tcPr>
          <w:p w14:paraId="7C690CA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51868A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47452E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D9CEE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882704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F1B833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86441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EE7E5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71CFF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343C99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0.125</w:t>
            </w:r>
          </w:p>
        </w:tc>
      </w:tr>
      <w:tr w:rsidR="00C17D82" w:rsidRPr="006F0F37" w14:paraId="06B4CC97" w14:textId="77777777" w:rsidTr="005F256D">
        <w:trPr>
          <w:trHeight w:val="255"/>
        </w:trPr>
        <w:tc>
          <w:tcPr>
            <w:tcW w:w="2448" w:type="dxa"/>
            <w:vAlign w:val="center"/>
            <w:hideMark/>
          </w:tcPr>
          <w:p w14:paraId="5EF5A31F"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Blackpool Dormitory</w:t>
            </w:r>
          </w:p>
        </w:tc>
        <w:tc>
          <w:tcPr>
            <w:tcW w:w="986" w:type="dxa"/>
            <w:vAlign w:val="center"/>
            <w:hideMark/>
          </w:tcPr>
          <w:p w14:paraId="107FCE4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0.400</w:t>
            </w:r>
          </w:p>
        </w:tc>
        <w:tc>
          <w:tcPr>
            <w:tcW w:w="986" w:type="dxa"/>
            <w:vAlign w:val="center"/>
            <w:hideMark/>
          </w:tcPr>
          <w:p w14:paraId="121A4B5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C953F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7A74B9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80C2C1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6050DD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F162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6351B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422B7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F8AACE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618F67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0.400</w:t>
            </w:r>
          </w:p>
        </w:tc>
      </w:tr>
      <w:tr w:rsidR="00C17D82" w:rsidRPr="006F0F37" w14:paraId="7F909808" w14:textId="77777777" w:rsidTr="005F256D">
        <w:trPr>
          <w:trHeight w:val="255"/>
        </w:trPr>
        <w:tc>
          <w:tcPr>
            <w:tcW w:w="2448" w:type="dxa"/>
            <w:vAlign w:val="center"/>
            <w:hideMark/>
          </w:tcPr>
          <w:p w14:paraId="611972A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Drill tower replacements</w:t>
            </w:r>
          </w:p>
        </w:tc>
        <w:tc>
          <w:tcPr>
            <w:tcW w:w="986" w:type="dxa"/>
            <w:vAlign w:val="center"/>
            <w:hideMark/>
          </w:tcPr>
          <w:p w14:paraId="28505A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1.683</w:t>
            </w:r>
          </w:p>
        </w:tc>
        <w:tc>
          <w:tcPr>
            <w:tcW w:w="986" w:type="dxa"/>
            <w:vAlign w:val="center"/>
            <w:hideMark/>
          </w:tcPr>
          <w:p w14:paraId="2DAE533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0.596</w:t>
            </w:r>
          </w:p>
        </w:tc>
        <w:tc>
          <w:tcPr>
            <w:tcW w:w="986" w:type="dxa"/>
            <w:vAlign w:val="center"/>
            <w:hideMark/>
          </w:tcPr>
          <w:p w14:paraId="13BB8B8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0.466</w:t>
            </w:r>
          </w:p>
        </w:tc>
        <w:tc>
          <w:tcPr>
            <w:tcW w:w="986" w:type="dxa"/>
            <w:vAlign w:val="center"/>
            <w:hideMark/>
          </w:tcPr>
          <w:p w14:paraId="1CE54B8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0.215</w:t>
            </w:r>
          </w:p>
        </w:tc>
        <w:tc>
          <w:tcPr>
            <w:tcW w:w="986" w:type="dxa"/>
            <w:vAlign w:val="center"/>
            <w:hideMark/>
          </w:tcPr>
          <w:p w14:paraId="238F79C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0.005</w:t>
            </w:r>
          </w:p>
        </w:tc>
        <w:tc>
          <w:tcPr>
            <w:tcW w:w="986" w:type="dxa"/>
            <w:vAlign w:val="center"/>
            <w:hideMark/>
          </w:tcPr>
          <w:p w14:paraId="524055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16900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9EF59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4168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62D3E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C67A77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2.965</w:t>
            </w:r>
          </w:p>
        </w:tc>
      </w:tr>
      <w:tr w:rsidR="00C17D82" w:rsidRPr="006F0F37" w14:paraId="080C374F" w14:textId="77777777" w:rsidTr="005F256D">
        <w:trPr>
          <w:trHeight w:val="255"/>
        </w:trPr>
        <w:tc>
          <w:tcPr>
            <w:tcW w:w="2448" w:type="dxa"/>
            <w:vAlign w:val="center"/>
            <w:hideMark/>
          </w:tcPr>
          <w:p w14:paraId="69256B4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Estate Improvement Provision</w:t>
            </w:r>
          </w:p>
        </w:tc>
        <w:tc>
          <w:tcPr>
            <w:tcW w:w="986" w:type="dxa"/>
            <w:vAlign w:val="center"/>
            <w:hideMark/>
          </w:tcPr>
          <w:p w14:paraId="5B90A2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0.600</w:t>
            </w:r>
          </w:p>
        </w:tc>
        <w:tc>
          <w:tcPr>
            <w:tcW w:w="986" w:type="dxa"/>
            <w:vAlign w:val="center"/>
            <w:hideMark/>
          </w:tcPr>
          <w:p w14:paraId="56BD058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2C893D7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2807038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301E0B1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0B9D013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2143B4B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3D7839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4844C0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108A4B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1084" w:type="dxa"/>
            <w:vAlign w:val="center"/>
            <w:hideMark/>
          </w:tcPr>
          <w:p w14:paraId="248B1E0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2.850</w:t>
            </w:r>
          </w:p>
        </w:tc>
      </w:tr>
      <w:tr w:rsidR="00C17D82" w:rsidRPr="006F0F37" w14:paraId="4D35C632" w14:textId="77777777" w:rsidTr="005F256D">
        <w:trPr>
          <w:trHeight w:val="255"/>
        </w:trPr>
        <w:tc>
          <w:tcPr>
            <w:tcW w:w="2448" w:type="dxa"/>
            <w:vAlign w:val="center"/>
            <w:hideMark/>
          </w:tcPr>
          <w:p w14:paraId="57B284B9"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Upgrade Preston facilities</w:t>
            </w:r>
          </w:p>
        </w:tc>
        <w:tc>
          <w:tcPr>
            <w:tcW w:w="986" w:type="dxa"/>
            <w:vAlign w:val="center"/>
            <w:hideMark/>
          </w:tcPr>
          <w:p w14:paraId="769AA1C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c>
          <w:tcPr>
            <w:tcW w:w="986" w:type="dxa"/>
            <w:vAlign w:val="center"/>
            <w:hideMark/>
          </w:tcPr>
          <w:p w14:paraId="253DDA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021C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05F71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E5241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5A768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270C6E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B8C5D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FBE8D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1FA21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99967F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0.250</w:t>
            </w:r>
          </w:p>
        </w:tc>
      </w:tr>
      <w:tr w:rsidR="00C17D82" w:rsidRPr="006F0F37" w14:paraId="40268456" w14:textId="77777777" w:rsidTr="005F256D">
        <w:trPr>
          <w:trHeight w:val="255"/>
        </w:trPr>
        <w:tc>
          <w:tcPr>
            <w:tcW w:w="2448" w:type="dxa"/>
            <w:vAlign w:val="center"/>
            <w:hideMark/>
          </w:tcPr>
          <w:p w14:paraId="23013BBD"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Replacement Preston Station</w:t>
            </w:r>
          </w:p>
        </w:tc>
        <w:tc>
          <w:tcPr>
            <w:tcW w:w="986" w:type="dxa"/>
            <w:vAlign w:val="center"/>
            <w:hideMark/>
          </w:tcPr>
          <w:p w14:paraId="015D97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9395A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E075D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10.000</w:t>
            </w:r>
          </w:p>
        </w:tc>
        <w:tc>
          <w:tcPr>
            <w:tcW w:w="986" w:type="dxa"/>
            <w:vAlign w:val="center"/>
            <w:hideMark/>
          </w:tcPr>
          <w:p w14:paraId="0415A69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DA43DC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E2D61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3CA95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7395F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F0407E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AFED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030833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10.000</w:t>
            </w:r>
          </w:p>
        </w:tc>
      </w:tr>
      <w:tr w:rsidR="00C17D82" w:rsidRPr="006F0F37" w14:paraId="55910F7D" w14:textId="77777777" w:rsidTr="005F256D">
        <w:trPr>
          <w:trHeight w:val="255"/>
        </w:trPr>
        <w:tc>
          <w:tcPr>
            <w:tcW w:w="2448" w:type="dxa"/>
            <w:vAlign w:val="center"/>
            <w:hideMark/>
          </w:tcPr>
          <w:p w14:paraId="20AFA94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Headquarters relocation</w:t>
            </w:r>
          </w:p>
        </w:tc>
        <w:tc>
          <w:tcPr>
            <w:tcW w:w="986" w:type="dxa"/>
            <w:vAlign w:val="center"/>
            <w:hideMark/>
          </w:tcPr>
          <w:p w14:paraId="0DFE51C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9312B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4283E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CBD5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9.100</w:t>
            </w:r>
          </w:p>
        </w:tc>
        <w:tc>
          <w:tcPr>
            <w:tcW w:w="986" w:type="dxa"/>
            <w:vAlign w:val="center"/>
            <w:hideMark/>
          </w:tcPr>
          <w:p w14:paraId="6DC923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9.100</w:t>
            </w:r>
          </w:p>
        </w:tc>
        <w:tc>
          <w:tcPr>
            <w:tcW w:w="986" w:type="dxa"/>
            <w:vAlign w:val="center"/>
            <w:hideMark/>
          </w:tcPr>
          <w:p w14:paraId="5857536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926AE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C12334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1473CC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F3B1C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3F6FE9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18.200</w:t>
            </w:r>
          </w:p>
        </w:tc>
      </w:tr>
      <w:tr w:rsidR="00C17D82" w:rsidRPr="006F0F37" w14:paraId="10A2E7B8" w14:textId="77777777" w:rsidTr="005F256D">
        <w:trPr>
          <w:trHeight w:val="510"/>
        </w:trPr>
        <w:tc>
          <w:tcPr>
            <w:tcW w:w="2448" w:type="dxa"/>
            <w:vAlign w:val="center"/>
            <w:hideMark/>
          </w:tcPr>
          <w:p w14:paraId="390C1031"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Fulwood replacement</w:t>
            </w:r>
          </w:p>
        </w:tc>
        <w:tc>
          <w:tcPr>
            <w:tcW w:w="986" w:type="dxa"/>
            <w:vAlign w:val="center"/>
            <w:hideMark/>
          </w:tcPr>
          <w:p w14:paraId="1ED6033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461F8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3.500</w:t>
            </w:r>
          </w:p>
        </w:tc>
        <w:tc>
          <w:tcPr>
            <w:tcW w:w="986" w:type="dxa"/>
            <w:vAlign w:val="center"/>
            <w:hideMark/>
          </w:tcPr>
          <w:p w14:paraId="04349A5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3.500</w:t>
            </w:r>
          </w:p>
        </w:tc>
        <w:tc>
          <w:tcPr>
            <w:tcW w:w="986" w:type="dxa"/>
            <w:vAlign w:val="center"/>
            <w:hideMark/>
          </w:tcPr>
          <w:p w14:paraId="7111F80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664C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48B66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2F6348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491B3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A7065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AA47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28EF03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7.000</w:t>
            </w:r>
          </w:p>
        </w:tc>
      </w:tr>
      <w:tr w:rsidR="00C17D82" w:rsidRPr="006F0F37" w14:paraId="25694525" w14:textId="77777777" w:rsidTr="005F256D">
        <w:trPr>
          <w:trHeight w:val="255"/>
        </w:trPr>
        <w:tc>
          <w:tcPr>
            <w:tcW w:w="2448" w:type="dxa"/>
            <w:vAlign w:val="center"/>
            <w:hideMark/>
          </w:tcPr>
          <w:p w14:paraId="54A040F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Training Centre Props</w:t>
            </w:r>
          </w:p>
        </w:tc>
        <w:tc>
          <w:tcPr>
            <w:tcW w:w="986" w:type="dxa"/>
            <w:vAlign w:val="center"/>
            <w:hideMark/>
          </w:tcPr>
          <w:p w14:paraId="22E9AD6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9AF436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4.600</w:t>
            </w:r>
          </w:p>
        </w:tc>
        <w:tc>
          <w:tcPr>
            <w:tcW w:w="986" w:type="dxa"/>
            <w:vAlign w:val="center"/>
            <w:hideMark/>
          </w:tcPr>
          <w:p w14:paraId="53B9BC9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13.600</w:t>
            </w:r>
          </w:p>
        </w:tc>
        <w:tc>
          <w:tcPr>
            <w:tcW w:w="986" w:type="dxa"/>
            <w:vAlign w:val="center"/>
            <w:hideMark/>
          </w:tcPr>
          <w:p w14:paraId="178464D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D1D553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95BC36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065044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E616C4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830BB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6599B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4C5DAD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18.200</w:t>
            </w:r>
          </w:p>
        </w:tc>
      </w:tr>
      <w:tr w:rsidR="00C17D82" w:rsidRPr="006F0F37" w14:paraId="5CB6567F" w14:textId="77777777" w:rsidTr="005F256D">
        <w:trPr>
          <w:trHeight w:val="510"/>
        </w:trPr>
        <w:tc>
          <w:tcPr>
            <w:tcW w:w="2448" w:type="dxa"/>
            <w:vAlign w:val="center"/>
            <w:hideMark/>
          </w:tcPr>
          <w:p w14:paraId="528E6A8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Wider Estate Planned Maintenance &amp; Improvement Works</w:t>
            </w:r>
          </w:p>
        </w:tc>
        <w:tc>
          <w:tcPr>
            <w:tcW w:w="986" w:type="dxa"/>
            <w:vAlign w:val="center"/>
            <w:hideMark/>
          </w:tcPr>
          <w:p w14:paraId="3C992E2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5B8BA29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6E89B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495C2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554D5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1.646</w:t>
            </w:r>
          </w:p>
        </w:tc>
        <w:tc>
          <w:tcPr>
            <w:tcW w:w="986" w:type="dxa"/>
            <w:vAlign w:val="center"/>
            <w:hideMark/>
          </w:tcPr>
          <w:p w14:paraId="53853D1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1.158</w:t>
            </w:r>
          </w:p>
        </w:tc>
        <w:tc>
          <w:tcPr>
            <w:tcW w:w="986" w:type="dxa"/>
            <w:vAlign w:val="center"/>
            <w:hideMark/>
          </w:tcPr>
          <w:p w14:paraId="3985EC4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2.049</w:t>
            </w:r>
          </w:p>
        </w:tc>
        <w:tc>
          <w:tcPr>
            <w:tcW w:w="986" w:type="dxa"/>
            <w:vAlign w:val="center"/>
            <w:hideMark/>
          </w:tcPr>
          <w:p w14:paraId="61C563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2.542</w:t>
            </w:r>
          </w:p>
        </w:tc>
        <w:tc>
          <w:tcPr>
            <w:tcW w:w="986" w:type="dxa"/>
            <w:vAlign w:val="center"/>
            <w:hideMark/>
          </w:tcPr>
          <w:p w14:paraId="6C80BF6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2.000</w:t>
            </w:r>
          </w:p>
        </w:tc>
        <w:tc>
          <w:tcPr>
            <w:tcW w:w="986" w:type="dxa"/>
            <w:vAlign w:val="center"/>
            <w:hideMark/>
          </w:tcPr>
          <w:p w14:paraId="223B67C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1.500</w:t>
            </w:r>
          </w:p>
        </w:tc>
        <w:tc>
          <w:tcPr>
            <w:tcW w:w="1084" w:type="dxa"/>
            <w:vAlign w:val="center"/>
            <w:hideMark/>
          </w:tcPr>
          <w:p w14:paraId="5C08E7E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10.945</w:t>
            </w:r>
          </w:p>
        </w:tc>
      </w:tr>
      <w:tr w:rsidR="00C17D82" w:rsidRPr="006F0F37" w14:paraId="33028871" w14:textId="77777777" w:rsidTr="005F256D">
        <w:trPr>
          <w:trHeight w:val="255"/>
        </w:trPr>
        <w:tc>
          <w:tcPr>
            <w:tcW w:w="2448" w:type="dxa"/>
            <w:vAlign w:val="center"/>
            <w:hideMark/>
          </w:tcPr>
          <w:p w14:paraId="5A21397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 xml:space="preserve">Development &amp; Land Acquisition </w:t>
            </w:r>
          </w:p>
        </w:tc>
        <w:tc>
          <w:tcPr>
            <w:tcW w:w="986" w:type="dxa"/>
            <w:vAlign w:val="center"/>
            <w:hideMark/>
          </w:tcPr>
          <w:p w14:paraId="47A5DF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0.840</w:t>
            </w:r>
          </w:p>
        </w:tc>
        <w:tc>
          <w:tcPr>
            <w:tcW w:w="986" w:type="dxa"/>
            <w:vAlign w:val="center"/>
            <w:hideMark/>
          </w:tcPr>
          <w:p w14:paraId="417CDCF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6E36B06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1B094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F3F03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F7E5C0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9E06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7813D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39E9E8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34CFC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013CF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1.340</w:t>
            </w:r>
          </w:p>
        </w:tc>
      </w:tr>
      <w:tr w:rsidR="00C17D82" w:rsidRPr="006F0F37" w14:paraId="69F73D3F" w14:textId="77777777" w:rsidTr="005F256D">
        <w:trPr>
          <w:trHeight w:val="255"/>
        </w:trPr>
        <w:tc>
          <w:tcPr>
            <w:tcW w:w="2448" w:type="dxa"/>
            <w:vAlign w:val="center"/>
            <w:hideMark/>
          </w:tcPr>
          <w:p w14:paraId="033927C1"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Subtotal</w:t>
            </w:r>
          </w:p>
        </w:tc>
        <w:tc>
          <w:tcPr>
            <w:tcW w:w="986" w:type="dxa"/>
            <w:vAlign w:val="center"/>
            <w:hideMark/>
          </w:tcPr>
          <w:p w14:paraId="42B6BC4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3.948</w:t>
            </w:r>
          </w:p>
        </w:tc>
        <w:tc>
          <w:tcPr>
            <w:tcW w:w="986" w:type="dxa"/>
            <w:vAlign w:val="center"/>
            <w:hideMark/>
          </w:tcPr>
          <w:p w14:paraId="7761CD3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9.446</w:t>
            </w:r>
          </w:p>
        </w:tc>
        <w:tc>
          <w:tcPr>
            <w:tcW w:w="986" w:type="dxa"/>
            <w:vAlign w:val="center"/>
            <w:hideMark/>
          </w:tcPr>
          <w:p w14:paraId="7E0B2E51"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27.816</w:t>
            </w:r>
          </w:p>
        </w:tc>
        <w:tc>
          <w:tcPr>
            <w:tcW w:w="986" w:type="dxa"/>
            <w:vAlign w:val="center"/>
            <w:hideMark/>
          </w:tcPr>
          <w:p w14:paraId="0DFCCA32"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9.565</w:t>
            </w:r>
          </w:p>
        </w:tc>
        <w:tc>
          <w:tcPr>
            <w:tcW w:w="986" w:type="dxa"/>
            <w:vAlign w:val="center"/>
            <w:hideMark/>
          </w:tcPr>
          <w:p w14:paraId="35E5A1E1"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11.001</w:t>
            </w:r>
          </w:p>
        </w:tc>
        <w:tc>
          <w:tcPr>
            <w:tcW w:w="986" w:type="dxa"/>
            <w:vAlign w:val="center"/>
            <w:hideMark/>
          </w:tcPr>
          <w:p w14:paraId="457FF3AE"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1.408</w:t>
            </w:r>
          </w:p>
        </w:tc>
        <w:tc>
          <w:tcPr>
            <w:tcW w:w="986" w:type="dxa"/>
            <w:vAlign w:val="center"/>
            <w:hideMark/>
          </w:tcPr>
          <w:p w14:paraId="58B423DD"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2.299</w:t>
            </w:r>
          </w:p>
        </w:tc>
        <w:tc>
          <w:tcPr>
            <w:tcW w:w="986" w:type="dxa"/>
            <w:vAlign w:val="center"/>
            <w:hideMark/>
          </w:tcPr>
          <w:p w14:paraId="11D0C45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2.792</w:t>
            </w:r>
          </w:p>
        </w:tc>
        <w:tc>
          <w:tcPr>
            <w:tcW w:w="986" w:type="dxa"/>
            <w:vAlign w:val="center"/>
            <w:hideMark/>
          </w:tcPr>
          <w:p w14:paraId="1108ABB3"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2.250</w:t>
            </w:r>
          </w:p>
        </w:tc>
        <w:tc>
          <w:tcPr>
            <w:tcW w:w="986" w:type="dxa"/>
            <w:vAlign w:val="center"/>
            <w:hideMark/>
          </w:tcPr>
          <w:p w14:paraId="14AFBC0F"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1.750</w:t>
            </w:r>
          </w:p>
        </w:tc>
        <w:tc>
          <w:tcPr>
            <w:tcW w:w="1084" w:type="dxa"/>
            <w:vAlign w:val="center"/>
            <w:hideMark/>
          </w:tcPr>
          <w:p w14:paraId="34CE509C"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72.275</w:t>
            </w:r>
          </w:p>
        </w:tc>
      </w:tr>
      <w:tr w:rsidR="00C17D82" w:rsidRPr="006F0F37" w14:paraId="04045F53" w14:textId="77777777" w:rsidTr="005F256D">
        <w:trPr>
          <w:trHeight w:val="255"/>
        </w:trPr>
        <w:tc>
          <w:tcPr>
            <w:tcW w:w="2448" w:type="dxa"/>
            <w:vAlign w:val="center"/>
            <w:hideMark/>
          </w:tcPr>
          <w:p w14:paraId="4CF58C27"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Information and Communication Technology (ICT)</w:t>
            </w:r>
          </w:p>
        </w:tc>
        <w:tc>
          <w:tcPr>
            <w:tcW w:w="986" w:type="dxa"/>
            <w:vAlign w:val="center"/>
            <w:hideMark/>
          </w:tcPr>
          <w:p w14:paraId="030E8E16"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06D9444"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6DDF056"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B59F8D8"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75AC5BFE"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70522445"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A4654CB"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72FAE9D"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B4A7FB9"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412A903" w14:textId="77777777" w:rsidR="00C17D82" w:rsidRPr="006F0F37" w:rsidRDefault="00C17D82" w:rsidP="006F0F37">
            <w:pPr>
              <w:spacing w:before="120" w:after="120"/>
              <w:jc w:val="right"/>
              <w:rPr>
                <w:rFonts w:ascii="Arial" w:hAnsi="Arial" w:cs="Arial"/>
                <w:bCs/>
                <w:szCs w:val="24"/>
              </w:rPr>
            </w:pPr>
          </w:p>
        </w:tc>
        <w:tc>
          <w:tcPr>
            <w:tcW w:w="1084" w:type="dxa"/>
            <w:vAlign w:val="center"/>
            <w:hideMark/>
          </w:tcPr>
          <w:p w14:paraId="2AEA9289" w14:textId="77777777" w:rsidR="00C17D82" w:rsidRPr="006F0F37" w:rsidRDefault="00C17D82" w:rsidP="006F0F37">
            <w:pPr>
              <w:spacing w:before="120" w:after="120"/>
              <w:jc w:val="right"/>
              <w:rPr>
                <w:rFonts w:ascii="Arial" w:hAnsi="Arial" w:cs="Arial"/>
                <w:bCs/>
                <w:szCs w:val="24"/>
              </w:rPr>
            </w:pPr>
          </w:p>
        </w:tc>
      </w:tr>
      <w:tr w:rsidR="00C17D82" w:rsidRPr="006F0F37" w14:paraId="0CD19968" w14:textId="77777777" w:rsidTr="005F256D">
        <w:trPr>
          <w:trHeight w:val="255"/>
        </w:trPr>
        <w:tc>
          <w:tcPr>
            <w:tcW w:w="2448" w:type="dxa"/>
            <w:vAlign w:val="center"/>
            <w:hideMark/>
          </w:tcPr>
          <w:p w14:paraId="36C9A68E"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Performance Management System</w:t>
            </w:r>
          </w:p>
        </w:tc>
        <w:tc>
          <w:tcPr>
            <w:tcW w:w="986" w:type="dxa"/>
            <w:vAlign w:val="center"/>
            <w:hideMark/>
          </w:tcPr>
          <w:p w14:paraId="7107604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05D46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B1F4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2FF47C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0671312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F775D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156DAB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1081E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537CD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E81C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CA83A4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r>
      <w:tr w:rsidR="00C17D82" w:rsidRPr="006F0F37" w14:paraId="7468E2EF" w14:textId="77777777" w:rsidTr="005F256D">
        <w:trPr>
          <w:trHeight w:val="255"/>
        </w:trPr>
        <w:tc>
          <w:tcPr>
            <w:tcW w:w="2448" w:type="dxa"/>
            <w:vAlign w:val="center"/>
            <w:hideMark/>
          </w:tcPr>
          <w:p w14:paraId="5FF6E0F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Pooled PPE (</w:t>
            </w:r>
            <w:proofErr w:type="spellStart"/>
            <w:r w:rsidRPr="006F0F37">
              <w:rPr>
                <w:rFonts w:ascii="Arial" w:hAnsi="Arial" w:cs="Arial"/>
                <w:bCs/>
                <w:szCs w:val="24"/>
              </w:rPr>
              <w:t>Miquest</w:t>
            </w:r>
            <w:proofErr w:type="spellEnd"/>
            <w:r w:rsidRPr="006F0F37">
              <w:rPr>
                <w:rFonts w:ascii="Arial" w:hAnsi="Arial" w:cs="Arial"/>
                <w:bCs/>
                <w:szCs w:val="24"/>
              </w:rPr>
              <w:t>)</w:t>
            </w:r>
          </w:p>
        </w:tc>
        <w:tc>
          <w:tcPr>
            <w:tcW w:w="986" w:type="dxa"/>
            <w:vAlign w:val="center"/>
            <w:hideMark/>
          </w:tcPr>
          <w:p w14:paraId="1D20D6F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c>
          <w:tcPr>
            <w:tcW w:w="986" w:type="dxa"/>
            <w:vAlign w:val="center"/>
            <w:hideMark/>
          </w:tcPr>
          <w:p w14:paraId="0FE4ACC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C46A3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2A99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5D98B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B9623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8FB180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D6983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A99781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A1514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3B8678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r>
      <w:tr w:rsidR="00C17D82" w:rsidRPr="006F0F37" w14:paraId="1DE9A512" w14:textId="77777777" w:rsidTr="005F256D">
        <w:trPr>
          <w:trHeight w:val="255"/>
        </w:trPr>
        <w:tc>
          <w:tcPr>
            <w:tcW w:w="2448" w:type="dxa"/>
            <w:vAlign w:val="center"/>
            <w:hideMark/>
          </w:tcPr>
          <w:p w14:paraId="76D6E7CD"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Stock System</w:t>
            </w:r>
          </w:p>
        </w:tc>
        <w:tc>
          <w:tcPr>
            <w:tcW w:w="986" w:type="dxa"/>
            <w:vAlign w:val="center"/>
            <w:hideMark/>
          </w:tcPr>
          <w:p w14:paraId="2D87A2C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c>
          <w:tcPr>
            <w:tcW w:w="986" w:type="dxa"/>
            <w:vAlign w:val="center"/>
            <w:hideMark/>
          </w:tcPr>
          <w:p w14:paraId="477C77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F3B1E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BFC3D6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6CDC1B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8D3C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B5CD53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6BA2D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352535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531C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76CA4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r>
      <w:tr w:rsidR="00C17D82" w:rsidRPr="006F0F37" w14:paraId="28F8A9B4" w14:textId="77777777" w:rsidTr="005F256D">
        <w:trPr>
          <w:trHeight w:val="255"/>
        </w:trPr>
        <w:tc>
          <w:tcPr>
            <w:tcW w:w="2448" w:type="dxa"/>
            <w:vAlign w:val="center"/>
            <w:hideMark/>
          </w:tcPr>
          <w:p w14:paraId="276E577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Asset Management upgrade</w:t>
            </w:r>
          </w:p>
        </w:tc>
        <w:tc>
          <w:tcPr>
            <w:tcW w:w="986" w:type="dxa"/>
            <w:vAlign w:val="center"/>
            <w:hideMark/>
          </w:tcPr>
          <w:p w14:paraId="4F1E455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0.074</w:t>
            </w:r>
          </w:p>
        </w:tc>
        <w:tc>
          <w:tcPr>
            <w:tcW w:w="986" w:type="dxa"/>
            <w:vAlign w:val="center"/>
            <w:hideMark/>
          </w:tcPr>
          <w:p w14:paraId="57574E5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B65EFE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0B1012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18705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DD488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B359A4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26C40E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E01BC3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9EB14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A047B3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0.074</w:t>
            </w:r>
          </w:p>
        </w:tc>
      </w:tr>
      <w:tr w:rsidR="00C17D82" w:rsidRPr="006F0F37" w14:paraId="6BA2776E" w14:textId="77777777" w:rsidTr="005F256D">
        <w:trPr>
          <w:trHeight w:val="255"/>
        </w:trPr>
        <w:tc>
          <w:tcPr>
            <w:tcW w:w="2448" w:type="dxa"/>
            <w:vAlign w:val="center"/>
            <w:hideMark/>
          </w:tcPr>
          <w:p w14:paraId="6693305C"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 xml:space="preserve">Storage Area Network (SAN) </w:t>
            </w:r>
          </w:p>
        </w:tc>
        <w:tc>
          <w:tcPr>
            <w:tcW w:w="986" w:type="dxa"/>
            <w:vAlign w:val="center"/>
            <w:hideMark/>
          </w:tcPr>
          <w:p w14:paraId="37B32EA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0.190</w:t>
            </w:r>
          </w:p>
        </w:tc>
        <w:tc>
          <w:tcPr>
            <w:tcW w:w="986" w:type="dxa"/>
            <w:vAlign w:val="center"/>
            <w:hideMark/>
          </w:tcPr>
          <w:p w14:paraId="7012D3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4F87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F0C9E3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21DC65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B4E0F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CBC629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21F601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8B5804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608348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53D348F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0.190</w:t>
            </w:r>
          </w:p>
        </w:tc>
      </w:tr>
      <w:tr w:rsidR="00C17D82" w:rsidRPr="006F0F37" w14:paraId="43DF5CD8" w14:textId="77777777" w:rsidTr="005F256D">
        <w:trPr>
          <w:trHeight w:val="255"/>
        </w:trPr>
        <w:tc>
          <w:tcPr>
            <w:tcW w:w="2448" w:type="dxa"/>
            <w:vAlign w:val="center"/>
            <w:hideMark/>
          </w:tcPr>
          <w:p w14:paraId="52CC990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Geographic Information System development</w:t>
            </w:r>
          </w:p>
        </w:tc>
        <w:tc>
          <w:tcPr>
            <w:tcW w:w="986" w:type="dxa"/>
            <w:vAlign w:val="center"/>
            <w:hideMark/>
          </w:tcPr>
          <w:p w14:paraId="0E180BF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c>
          <w:tcPr>
            <w:tcW w:w="986" w:type="dxa"/>
            <w:vAlign w:val="center"/>
            <w:hideMark/>
          </w:tcPr>
          <w:p w14:paraId="4B90F6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5417C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C21DBD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9FC25D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945902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CB85EE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1E380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A5882D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A1511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7AFF1E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r>
      <w:tr w:rsidR="00C17D82" w:rsidRPr="006F0F37" w14:paraId="593AD42E" w14:textId="77777777" w:rsidTr="005F256D">
        <w:trPr>
          <w:trHeight w:val="255"/>
        </w:trPr>
        <w:tc>
          <w:tcPr>
            <w:tcW w:w="2448" w:type="dxa"/>
            <w:vAlign w:val="center"/>
            <w:hideMark/>
          </w:tcPr>
          <w:p w14:paraId="6AF9A56E"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Wide Area Network telecommunications</w:t>
            </w:r>
          </w:p>
        </w:tc>
        <w:tc>
          <w:tcPr>
            <w:tcW w:w="986" w:type="dxa"/>
            <w:vAlign w:val="center"/>
            <w:hideMark/>
          </w:tcPr>
          <w:p w14:paraId="064C5A6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0.450</w:t>
            </w:r>
          </w:p>
        </w:tc>
        <w:tc>
          <w:tcPr>
            <w:tcW w:w="986" w:type="dxa"/>
            <w:vAlign w:val="center"/>
            <w:hideMark/>
          </w:tcPr>
          <w:p w14:paraId="3A3616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803BC0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52449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91F51F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975D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6F06DA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AAF93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A282AC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1FF055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F7BBE2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0.450</w:t>
            </w:r>
          </w:p>
        </w:tc>
      </w:tr>
      <w:tr w:rsidR="00C17D82" w:rsidRPr="006F0F37" w14:paraId="01CD074B" w14:textId="77777777" w:rsidTr="005F256D">
        <w:trPr>
          <w:trHeight w:val="255"/>
        </w:trPr>
        <w:tc>
          <w:tcPr>
            <w:tcW w:w="2448" w:type="dxa"/>
            <w:vAlign w:val="center"/>
            <w:hideMark/>
          </w:tcPr>
          <w:p w14:paraId="40EAC5C6"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Firewall</w:t>
            </w:r>
          </w:p>
        </w:tc>
        <w:tc>
          <w:tcPr>
            <w:tcW w:w="986" w:type="dxa"/>
            <w:vAlign w:val="center"/>
            <w:hideMark/>
          </w:tcPr>
          <w:p w14:paraId="09B207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DD02FE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6C9A91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01680BA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0F94DA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8FDEA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65DBD2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2EEC9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43752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9562D0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A094C9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r>
      <w:tr w:rsidR="00C17D82" w:rsidRPr="006F0F37" w14:paraId="41843464" w14:textId="77777777" w:rsidTr="005F256D">
        <w:trPr>
          <w:trHeight w:val="255"/>
        </w:trPr>
        <w:tc>
          <w:tcPr>
            <w:tcW w:w="2448" w:type="dxa"/>
            <w:vAlign w:val="center"/>
            <w:hideMark/>
          </w:tcPr>
          <w:p w14:paraId="319D7D1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Incident Recording System</w:t>
            </w:r>
          </w:p>
        </w:tc>
        <w:tc>
          <w:tcPr>
            <w:tcW w:w="986" w:type="dxa"/>
            <w:vAlign w:val="center"/>
            <w:hideMark/>
          </w:tcPr>
          <w:p w14:paraId="01D3F78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3BCCCF2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B344A2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0DF7C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2E8B62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A032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0C9FDB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01789D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20F923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A69EA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C49AD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r>
      <w:tr w:rsidR="00C17D82" w:rsidRPr="006F0F37" w14:paraId="1C780F09" w14:textId="77777777" w:rsidTr="005F256D">
        <w:trPr>
          <w:trHeight w:val="255"/>
        </w:trPr>
        <w:tc>
          <w:tcPr>
            <w:tcW w:w="2448" w:type="dxa"/>
            <w:vAlign w:val="center"/>
            <w:hideMark/>
          </w:tcPr>
          <w:p w14:paraId="07DAB2E7"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Airwave replacement</w:t>
            </w:r>
          </w:p>
        </w:tc>
        <w:tc>
          <w:tcPr>
            <w:tcW w:w="986" w:type="dxa"/>
            <w:vAlign w:val="center"/>
            <w:hideMark/>
          </w:tcPr>
          <w:p w14:paraId="6C0E01D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69583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w:t>
            </w:r>
          </w:p>
        </w:tc>
        <w:tc>
          <w:tcPr>
            <w:tcW w:w="986" w:type="dxa"/>
            <w:vAlign w:val="center"/>
            <w:hideMark/>
          </w:tcPr>
          <w:p w14:paraId="146B12C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ABBFE1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90F68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F32C15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30829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50EE67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7AB8C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B387E0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147D9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w:t>
            </w:r>
          </w:p>
        </w:tc>
      </w:tr>
      <w:tr w:rsidR="00C17D82" w:rsidRPr="006F0F37" w14:paraId="7374BFCC" w14:textId="77777777" w:rsidTr="005F256D">
        <w:trPr>
          <w:trHeight w:val="255"/>
        </w:trPr>
        <w:tc>
          <w:tcPr>
            <w:tcW w:w="2448" w:type="dxa"/>
            <w:vAlign w:val="center"/>
            <w:hideMark/>
          </w:tcPr>
          <w:p w14:paraId="44E57FAC"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Incident ground radios</w:t>
            </w:r>
          </w:p>
        </w:tc>
        <w:tc>
          <w:tcPr>
            <w:tcW w:w="986" w:type="dxa"/>
            <w:vAlign w:val="center"/>
            <w:hideMark/>
          </w:tcPr>
          <w:p w14:paraId="335FB43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0.230</w:t>
            </w:r>
          </w:p>
        </w:tc>
        <w:tc>
          <w:tcPr>
            <w:tcW w:w="986" w:type="dxa"/>
            <w:vAlign w:val="center"/>
            <w:hideMark/>
          </w:tcPr>
          <w:p w14:paraId="799072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596A22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D69B5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A1219C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3745BC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F1FC1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B6108E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49F33C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A922A1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464A0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0.230</w:t>
            </w:r>
          </w:p>
        </w:tc>
      </w:tr>
      <w:tr w:rsidR="00C17D82" w:rsidRPr="006F0F37" w14:paraId="78E55129" w14:textId="77777777" w:rsidTr="005F256D">
        <w:trPr>
          <w:trHeight w:val="255"/>
        </w:trPr>
        <w:tc>
          <w:tcPr>
            <w:tcW w:w="2448" w:type="dxa"/>
            <w:vAlign w:val="center"/>
            <w:hideMark/>
          </w:tcPr>
          <w:p w14:paraId="60EEE2B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 xml:space="preserve">Retained Duty System </w:t>
            </w:r>
            <w:proofErr w:type="spellStart"/>
            <w:r w:rsidRPr="006F0F37">
              <w:rPr>
                <w:rFonts w:ascii="Arial" w:hAnsi="Arial" w:cs="Arial"/>
                <w:bCs/>
                <w:szCs w:val="24"/>
              </w:rPr>
              <w:t>Alerters</w:t>
            </w:r>
            <w:proofErr w:type="spellEnd"/>
          </w:p>
        </w:tc>
        <w:tc>
          <w:tcPr>
            <w:tcW w:w="986" w:type="dxa"/>
            <w:vAlign w:val="center"/>
            <w:hideMark/>
          </w:tcPr>
          <w:p w14:paraId="477CEFE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0.235</w:t>
            </w:r>
          </w:p>
        </w:tc>
        <w:tc>
          <w:tcPr>
            <w:tcW w:w="986" w:type="dxa"/>
            <w:vAlign w:val="center"/>
            <w:hideMark/>
          </w:tcPr>
          <w:p w14:paraId="1F0B83A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7C73DC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19971B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6ABD6A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5619A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0.300</w:t>
            </w:r>
          </w:p>
        </w:tc>
        <w:tc>
          <w:tcPr>
            <w:tcW w:w="986" w:type="dxa"/>
            <w:vAlign w:val="center"/>
            <w:hideMark/>
          </w:tcPr>
          <w:p w14:paraId="4723383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D2F9AC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6526C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1E6B9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7112CA3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0.535</w:t>
            </w:r>
          </w:p>
        </w:tc>
      </w:tr>
      <w:tr w:rsidR="00C17D82" w:rsidRPr="006F0F37" w14:paraId="45F2EEC6" w14:textId="77777777" w:rsidTr="005F256D">
        <w:trPr>
          <w:trHeight w:val="255"/>
        </w:trPr>
        <w:tc>
          <w:tcPr>
            <w:tcW w:w="2448" w:type="dxa"/>
            <w:vAlign w:val="center"/>
            <w:hideMark/>
          </w:tcPr>
          <w:p w14:paraId="10678B5B"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Uninterruptible Power Supply (UPS) System</w:t>
            </w:r>
          </w:p>
        </w:tc>
        <w:tc>
          <w:tcPr>
            <w:tcW w:w="986" w:type="dxa"/>
            <w:vAlign w:val="center"/>
            <w:hideMark/>
          </w:tcPr>
          <w:p w14:paraId="6F59E6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6EB5D3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63D5B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c>
          <w:tcPr>
            <w:tcW w:w="986" w:type="dxa"/>
            <w:vAlign w:val="center"/>
            <w:hideMark/>
          </w:tcPr>
          <w:p w14:paraId="070B3D1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33E41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2C2116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23A95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52341A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49B34A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13EF9D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802FEB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0.060</w:t>
            </w:r>
          </w:p>
        </w:tc>
      </w:tr>
      <w:tr w:rsidR="00C17D82" w:rsidRPr="006F0F37" w14:paraId="371F5B42" w14:textId="77777777" w:rsidTr="005F256D">
        <w:trPr>
          <w:trHeight w:val="255"/>
        </w:trPr>
        <w:tc>
          <w:tcPr>
            <w:tcW w:w="2448" w:type="dxa"/>
            <w:vAlign w:val="center"/>
            <w:hideMark/>
          </w:tcPr>
          <w:p w14:paraId="13BF0D88"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Server replacement</w:t>
            </w:r>
          </w:p>
        </w:tc>
        <w:tc>
          <w:tcPr>
            <w:tcW w:w="986" w:type="dxa"/>
            <w:vAlign w:val="center"/>
            <w:hideMark/>
          </w:tcPr>
          <w:p w14:paraId="2376C79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ED3B3A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c>
          <w:tcPr>
            <w:tcW w:w="986" w:type="dxa"/>
            <w:vAlign w:val="center"/>
            <w:hideMark/>
          </w:tcPr>
          <w:p w14:paraId="3A9F4E8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937FF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1A1A73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98931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4FB6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E13116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C8F940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B2DC04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537575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0.150</w:t>
            </w:r>
          </w:p>
        </w:tc>
      </w:tr>
      <w:tr w:rsidR="00C17D82" w:rsidRPr="006F0F37" w14:paraId="78993496" w14:textId="77777777" w:rsidTr="005F256D">
        <w:trPr>
          <w:trHeight w:val="255"/>
        </w:trPr>
        <w:tc>
          <w:tcPr>
            <w:tcW w:w="2448" w:type="dxa"/>
            <w:vAlign w:val="center"/>
            <w:hideMark/>
          </w:tcPr>
          <w:p w14:paraId="48FCCFF6"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 xml:space="preserve">Facilities Management System </w:t>
            </w:r>
          </w:p>
        </w:tc>
        <w:tc>
          <w:tcPr>
            <w:tcW w:w="986" w:type="dxa"/>
            <w:vAlign w:val="center"/>
            <w:hideMark/>
          </w:tcPr>
          <w:p w14:paraId="25C2FA2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c>
          <w:tcPr>
            <w:tcW w:w="986" w:type="dxa"/>
            <w:vAlign w:val="center"/>
            <w:hideMark/>
          </w:tcPr>
          <w:p w14:paraId="4404096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9E8AC3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E22F1D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A4089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8E95F2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BF3D85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4BE9F6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FF4FAB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44249D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E16B7E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r>
      <w:tr w:rsidR="00C17D82" w:rsidRPr="006F0F37" w14:paraId="59A6C49C" w14:textId="77777777" w:rsidTr="005F256D">
        <w:trPr>
          <w:trHeight w:val="255"/>
        </w:trPr>
        <w:tc>
          <w:tcPr>
            <w:tcW w:w="2448" w:type="dxa"/>
            <w:vAlign w:val="center"/>
            <w:hideMark/>
          </w:tcPr>
          <w:p w14:paraId="2883567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Replacement Public Switched Telephone Network</w:t>
            </w:r>
          </w:p>
        </w:tc>
        <w:tc>
          <w:tcPr>
            <w:tcW w:w="986" w:type="dxa"/>
            <w:vAlign w:val="center"/>
            <w:hideMark/>
          </w:tcPr>
          <w:p w14:paraId="519872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72B08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c>
          <w:tcPr>
            <w:tcW w:w="986" w:type="dxa"/>
            <w:vAlign w:val="center"/>
            <w:hideMark/>
          </w:tcPr>
          <w:p w14:paraId="2AEB18A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81E01A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316F7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D8D998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C48529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D96718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8E4B1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E3A5A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856812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0.070</w:t>
            </w:r>
          </w:p>
        </w:tc>
      </w:tr>
      <w:tr w:rsidR="00C17D82" w:rsidRPr="006F0F37" w14:paraId="7337AB8F" w14:textId="77777777" w:rsidTr="005F256D">
        <w:trPr>
          <w:trHeight w:val="255"/>
        </w:trPr>
        <w:tc>
          <w:tcPr>
            <w:tcW w:w="2448" w:type="dxa"/>
            <w:vAlign w:val="center"/>
            <w:hideMark/>
          </w:tcPr>
          <w:p w14:paraId="6DD17B05"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Further digitisation of the appliances</w:t>
            </w:r>
          </w:p>
        </w:tc>
        <w:tc>
          <w:tcPr>
            <w:tcW w:w="986" w:type="dxa"/>
            <w:vAlign w:val="center"/>
            <w:hideMark/>
          </w:tcPr>
          <w:p w14:paraId="186973A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0.085</w:t>
            </w:r>
          </w:p>
        </w:tc>
        <w:tc>
          <w:tcPr>
            <w:tcW w:w="986" w:type="dxa"/>
            <w:vAlign w:val="center"/>
            <w:hideMark/>
          </w:tcPr>
          <w:p w14:paraId="20871C8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0.085</w:t>
            </w:r>
          </w:p>
        </w:tc>
        <w:tc>
          <w:tcPr>
            <w:tcW w:w="986" w:type="dxa"/>
            <w:vAlign w:val="center"/>
            <w:hideMark/>
          </w:tcPr>
          <w:p w14:paraId="7A5EEDE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6D9252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736DE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E4D541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79F264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8B85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67FCE1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12D0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CDD5C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0.170</w:t>
            </w:r>
          </w:p>
        </w:tc>
      </w:tr>
      <w:tr w:rsidR="00C17D82" w:rsidRPr="006F0F37" w14:paraId="53B03EA8" w14:textId="77777777" w:rsidTr="005F256D">
        <w:trPr>
          <w:trHeight w:val="255"/>
        </w:trPr>
        <w:tc>
          <w:tcPr>
            <w:tcW w:w="2448" w:type="dxa"/>
            <w:vAlign w:val="center"/>
            <w:hideMark/>
          </w:tcPr>
          <w:p w14:paraId="39BD7EB1"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NWFC Computer Aided Design Capital Contribution</w:t>
            </w:r>
          </w:p>
        </w:tc>
        <w:tc>
          <w:tcPr>
            <w:tcW w:w="986" w:type="dxa"/>
            <w:vAlign w:val="center"/>
            <w:hideMark/>
          </w:tcPr>
          <w:p w14:paraId="35B21BF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0.460</w:t>
            </w:r>
          </w:p>
        </w:tc>
        <w:tc>
          <w:tcPr>
            <w:tcW w:w="986" w:type="dxa"/>
            <w:vAlign w:val="center"/>
            <w:hideMark/>
          </w:tcPr>
          <w:p w14:paraId="0CE716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850D20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F957EB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2B83E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70292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6E6CCA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F44F6B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3B9683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AE0572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3B7D5E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0.460</w:t>
            </w:r>
          </w:p>
        </w:tc>
      </w:tr>
      <w:tr w:rsidR="00C17D82" w:rsidRPr="006F0F37" w14:paraId="73DB07B6" w14:textId="77777777" w:rsidTr="005F256D">
        <w:trPr>
          <w:trHeight w:val="510"/>
        </w:trPr>
        <w:tc>
          <w:tcPr>
            <w:tcW w:w="2448" w:type="dxa"/>
            <w:vAlign w:val="center"/>
            <w:hideMark/>
          </w:tcPr>
          <w:p w14:paraId="2B609D95"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ICT Indicative Future Development &amp; Replacement Budget</w:t>
            </w:r>
          </w:p>
        </w:tc>
        <w:tc>
          <w:tcPr>
            <w:tcW w:w="986" w:type="dxa"/>
            <w:vAlign w:val="center"/>
            <w:hideMark/>
          </w:tcPr>
          <w:p w14:paraId="348A1BD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15B089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C6511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C50A50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CD86B9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75A45C7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3D7C2E8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6012B1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4836837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986" w:type="dxa"/>
            <w:vAlign w:val="center"/>
            <w:hideMark/>
          </w:tcPr>
          <w:p w14:paraId="6E5DB18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0.500</w:t>
            </w:r>
          </w:p>
        </w:tc>
        <w:tc>
          <w:tcPr>
            <w:tcW w:w="1084" w:type="dxa"/>
            <w:vAlign w:val="center"/>
            <w:hideMark/>
          </w:tcPr>
          <w:p w14:paraId="1B71B28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3.000</w:t>
            </w:r>
          </w:p>
        </w:tc>
      </w:tr>
      <w:tr w:rsidR="00C17D82" w:rsidRPr="006F0F37" w14:paraId="38517060" w14:textId="77777777" w:rsidTr="005F256D">
        <w:trPr>
          <w:trHeight w:val="255"/>
        </w:trPr>
        <w:tc>
          <w:tcPr>
            <w:tcW w:w="2448" w:type="dxa"/>
            <w:vAlign w:val="center"/>
            <w:hideMark/>
          </w:tcPr>
          <w:p w14:paraId="34C3B81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Service desk improvement</w:t>
            </w:r>
          </w:p>
        </w:tc>
        <w:tc>
          <w:tcPr>
            <w:tcW w:w="986" w:type="dxa"/>
            <w:vAlign w:val="center"/>
            <w:hideMark/>
          </w:tcPr>
          <w:p w14:paraId="5379543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0.030</w:t>
            </w:r>
          </w:p>
        </w:tc>
        <w:tc>
          <w:tcPr>
            <w:tcW w:w="986" w:type="dxa"/>
            <w:vAlign w:val="center"/>
            <w:hideMark/>
          </w:tcPr>
          <w:p w14:paraId="709FCAD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35A1A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D874DC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ABF710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D6114E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06BD49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C6487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8D7DBB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C15FD4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2A2BDA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0.030</w:t>
            </w:r>
          </w:p>
        </w:tc>
      </w:tr>
      <w:tr w:rsidR="00C17D82" w:rsidRPr="006F0F37" w14:paraId="1A2D4842" w14:textId="77777777" w:rsidTr="005F256D">
        <w:trPr>
          <w:trHeight w:val="255"/>
        </w:trPr>
        <w:tc>
          <w:tcPr>
            <w:tcW w:w="2448" w:type="dxa"/>
            <w:vAlign w:val="center"/>
            <w:hideMark/>
          </w:tcPr>
          <w:p w14:paraId="2750F72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 xml:space="preserve">M365 &amp; Azure </w:t>
            </w:r>
          </w:p>
        </w:tc>
        <w:tc>
          <w:tcPr>
            <w:tcW w:w="986" w:type="dxa"/>
            <w:vAlign w:val="center"/>
            <w:hideMark/>
          </w:tcPr>
          <w:p w14:paraId="68259F2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0.040</w:t>
            </w:r>
          </w:p>
        </w:tc>
        <w:tc>
          <w:tcPr>
            <w:tcW w:w="986" w:type="dxa"/>
            <w:vAlign w:val="center"/>
            <w:hideMark/>
          </w:tcPr>
          <w:p w14:paraId="06587A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B665BC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DC4F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EE818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90867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28565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28630C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10B2C0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4A5A0B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112D2C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0.040</w:t>
            </w:r>
          </w:p>
        </w:tc>
      </w:tr>
      <w:tr w:rsidR="00C17D82" w:rsidRPr="006F0F37" w14:paraId="36D9B703" w14:textId="77777777" w:rsidTr="005F256D">
        <w:trPr>
          <w:trHeight w:val="255"/>
        </w:trPr>
        <w:tc>
          <w:tcPr>
            <w:tcW w:w="2448" w:type="dxa"/>
            <w:vAlign w:val="center"/>
            <w:hideMark/>
          </w:tcPr>
          <w:p w14:paraId="5639BA48"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NFCC digital &amp; technology programmes</w:t>
            </w:r>
          </w:p>
        </w:tc>
        <w:tc>
          <w:tcPr>
            <w:tcW w:w="986" w:type="dxa"/>
            <w:vAlign w:val="center"/>
            <w:hideMark/>
          </w:tcPr>
          <w:p w14:paraId="7FAC3FB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c>
          <w:tcPr>
            <w:tcW w:w="986" w:type="dxa"/>
            <w:vAlign w:val="center"/>
            <w:hideMark/>
          </w:tcPr>
          <w:p w14:paraId="0E15F88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BEAFAD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A73BF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B35B0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B6EF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E14F18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481F8E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937306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548C1F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3455BA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0.050</w:t>
            </w:r>
          </w:p>
        </w:tc>
      </w:tr>
      <w:tr w:rsidR="00C17D82" w:rsidRPr="006F0F37" w14:paraId="7132BC3C" w14:textId="77777777" w:rsidTr="005F256D">
        <w:trPr>
          <w:trHeight w:val="255"/>
        </w:trPr>
        <w:tc>
          <w:tcPr>
            <w:tcW w:w="2448" w:type="dxa"/>
            <w:vAlign w:val="center"/>
            <w:hideMark/>
          </w:tcPr>
          <w:p w14:paraId="594EC169"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Cyber Security</w:t>
            </w:r>
          </w:p>
        </w:tc>
        <w:tc>
          <w:tcPr>
            <w:tcW w:w="986" w:type="dxa"/>
            <w:vAlign w:val="center"/>
            <w:hideMark/>
          </w:tcPr>
          <w:p w14:paraId="3D5EB26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c>
          <w:tcPr>
            <w:tcW w:w="986" w:type="dxa"/>
            <w:vAlign w:val="center"/>
            <w:hideMark/>
          </w:tcPr>
          <w:p w14:paraId="74EE40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323D19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02D18F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D23F76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0.100</w:t>
            </w:r>
          </w:p>
        </w:tc>
        <w:tc>
          <w:tcPr>
            <w:tcW w:w="986" w:type="dxa"/>
            <w:vAlign w:val="center"/>
            <w:hideMark/>
          </w:tcPr>
          <w:p w14:paraId="07D7EAD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57FBB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760604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759E0C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E12047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6442C9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0.200</w:t>
            </w:r>
          </w:p>
        </w:tc>
      </w:tr>
      <w:tr w:rsidR="00C17D82" w:rsidRPr="006F0F37" w14:paraId="669968D8" w14:textId="77777777" w:rsidTr="005F256D">
        <w:trPr>
          <w:trHeight w:val="255"/>
        </w:trPr>
        <w:tc>
          <w:tcPr>
            <w:tcW w:w="2448" w:type="dxa"/>
            <w:vAlign w:val="center"/>
            <w:hideMark/>
          </w:tcPr>
          <w:p w14:paraId="426C3B6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lastRenderedPageBreak/>
              <w:t>Desktop Provision</w:t>
            </w:r>
          </w:p>
        </w:tc>
        <w:tc>
          <w:tcPr>
            <w:tcW w:w="986" w:type="dxa"/>
            <w:vAlign w:val="center"/>
            <w:hideMark/>
          </w:tcPr>
          <w:p w14:paraId="4D2F2CE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0.160</w:t>
            </w:r>
          </w:p>
        </w:tc>
        <w:tc>
          <w:tcPr>
            <w:tcW w:w="986" w:type="dxa"/>
            <w:vAlign w:val="center"/>
            <w:hideMark/>
          </w:tcPr>
          <w:p w14:paraId="25D9FE3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6F9961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FFEABB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0F804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B7E42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0.160</w:t>
            </w:r>
          </w:p>
        </w:tc>
        <w:tc>
          <w:tcPr>
            <w:tcW w:w="986" w:type="dxa"/>
            <w:vAlign w:val="center"/>
            <w:hideMark/>
          </w:tcPr>
          <w:p w14:paraId="0AB7876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DD243D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681B5F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92ED8A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1539D47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0.320</w:t>
            </w:r>
          </w:p>
        </w:tc>
      </w:tr>
      <w:tr w:rsidR="00C17D82" w:rsidRPr="006F0F37" w14:paraId="30C01A23" w14:textId="77777777" w:rsidTr="005F256D">
        <w:trPr>
          <w:trHeight w:val="255"/>
        </w:trPr>
        <w:tc>
          <w:tcPr>
            <w:tcW w:w="2448" w:type="dxa"/>
            <w:vAlign w:val="center"/>
            <w:hideMark/>
          </w:tcPr>
          <w:p w14:paraId="26581178"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Firefighting Robot</w:t>
            </w:r>
          </w:p>
        </w:tc>
        <w:tc>
          <w:tcPr>
            <w:tcW w:w="986" w:type="dxa"/>
            <w:vAlign w:val="center"/>
            <w:hideMark/>
          </w:tcPr>
          <w:p w14:paraId="1BA2EAC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0.020</w:t>
            </w:r>
          </w:p>
        </w:tc>
        <w:tc>
          <w:tcPr>
            <w:tcW w:w="986" w:type="dxa"/>
            <w:vAlign w:val="center"/>
            <w:hideMark/>
          </w:tcPr>
          <w:p w14:paraId="5414D6D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E83B39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D8CFFB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53A1BB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146235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AC6444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3362DD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0884C1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DD06A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5554C96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0.020</w:t>
            </w:r>
          </w:p>
        </w:tc>
      </w:tr>
      <w:tr w:rsidR="00C17D82" w:rsidRPr="006F0F37" w14:paraId="18BAF4E3" w14:textId="77777777" w:rsidTr="005F256D">
        <w:trPr>
          <w:trHeight w:val="255"/>
        </w:trPr>
        <w:tc>
          <w:tcPr>
            <w:tcW w:w="2448" w:type="dxa"/>
            <w:vAlign w:val="center"/>
            <w:hideMark/>
          </w:tcPr>
          <w:p w14:paraId="54B78BC0"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Subtotal</w:t>
            </w:r>
          </w:p>
        </w:tc>
        <w:tc>
          <w:tcPr>
            <w:tcW w:w="986" w:type="dxa"/>
            <w:vAlign w:val="center"/>
            <w:hideMark/>
          </w:tcPr>
          <w:p w14:paraId="20793931"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2.774</w:t>
            </w:r>
          </w:p>
        </w:tc>
        <w:tc>
          <w:tcPr>
            <w:tcW w:w="986" w:type="dxa"/>
            <w:vAlign w:val="center"/>
            <w:hideMark/>
          </w:tcPr>
          <w:p w14:paraId="6593CA9D"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1.305</w:t>
            </w:r>
          </w:p>
        </w:tc>
        <w:tc>
          <w:tcPr>
            <w:tcW w:w="986" w:type="dxa"/>
            <w:vAlign w:val="center"/>
            <w:hideMark/>
          </w:tcPr>
          <w:p w14:paraId="71D0E39D"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0.110</w:t>
            </w:r>
          </w:p>
        </w:tc>
        <w:tc>
          <w:tcPr>
            <w:tcW w:w="986" w:type="dxa"/>
            <w:vAlign w:val="center"/>
            <w:hideMark/>
          </w:tcPr>
          <w:p w14:paraId="75B9048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0.550</w:t>
            </w:r>
          </w:p>
        </w:tc>
        <w:tc>
          <w:tcPr>
            <w:tcW w:w="986" w:type="dxa"/>
            <w:vAlign w:val="center"/>
            <w:hideMark/>
          </w:tcPr>
          <w:p w14:paraId="55EFB10B"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0.600</w:t>
            </w:r>
          </w:p>
        </w:tc>
        <w:tc>
          <w:tcPr>
            <w:tcW w:w="986" w:type="dxa"/>
            <w:vAlign w:val="center"/>
            <w:hideMark/>
          </w:tcPr>
          <w:p w14:paraId="6767D28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0.960</w:t>
            </w:r>
          </w:p>
        </w:tc>
        <w:tc>
          <w:tcPr>
            <w:tcW w:w="986" w:type="dxa"/>
            <w:vAlign w:val="center"/>
            <w:hideMark/>
          </w:tcPr>
          <w:p w14:paraId="1504759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0.500</w:t>
            </w:r>
          </w:p>
        </w:tc>
        <w:tc>
          <w:tcPr>
            <w:tcW w:w="986" w:type="dxa"/>
            <w:vAlign w:val="center"/>
            <w:hideMark/>
          </w:tcPr>
          <w:p w14:paraId="671FCE96"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0.500</w:t>
            </w:r>
          </w:p>
        </w:tc>
        <w:tc>
          <w:tcPr>
            <w:tcW w:w="986" w:type="dxa"/>
            <w:vAlign w:val="center"/>
            <w:hideMark/>
          </w:tcPr>
          <w:p w14:paraId="4A453B31"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0.500</w:t>
            </w:r>
          </w:p>
        </w:tc>
        <w:tc>
          <w:tcPr>
            <w:tcW w:w="986" w:type="dxa"/>
            <w:vAlign w:val="center"/>
            <w:hideMark/>
          </w:tcPr>
          <w:p w14:paraId="5CFC9373"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0.500</w:t>
            </w:r>
          </w:p>
        </w:tc>
        <w:tc>
          <w:tcPr>
            <w:tcW w:w="1084" w:type="dxa"/>
            <w:vAlign w:val="center"/>
            <w:hideMark/>
          </w:tcPr>
          <w:p w14:paraId="60B19C02"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8.299</w:t>
            </w:r>
          </w:p>
        </w:tc>
      </w:tr>
      <w:tr w:rsidR="00C17D82" w:rsidRPr="006F0F37" w14:paraId="0BD7CAC3" w14:textId="77777777" w:rsidTr="005F256D">
        <w:trPr>
          <w:trHeight w:val="375"/>
        </w:trPr>
        <w:tc>
          <w:tcPr>
            <w:tcW w:w="2448" w:type="dxa"/>
            <w:vAlign w:val="center"/>
            <w:hideMark/>
          </w:tcPr>
          <w:p w14:paraId="57515B1E"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TOTAL CAPITAL REQUIREMENT</w:t>
            </w:r>
          </w:p>
        </w:tc>
        <w:tc>
          <w:tcPr>
            <w:tcW w:w="986" w:type="dxa"/>
            <w:vAlign w:val="center"/>
            <w:hideMark/>
          </w:tcPr>
          <w:p w14:paraId="67215FA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12.761</w:t>
            </w:r>
          </w:p>
        </w:tc>
        <w:tc>
          <w:tcPr>
            <w:tcW w:w="986" w:type="dxa"/>
            <w:vAlign w:val="center"/>
            <w:hideMark/>
          </w:tcPr>
          <w:p w14:paraId="065F1D4E"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14.796</w:t>
            </w:r>
          </w:p>
        </w:tc>
        <w:tc>
          <w:tcPr>
            <w:tcW w:w="986" w:type="dxa"/>
            <w:vAlign w:val="center"/>
            <w:hideMark/>
          </w:tcPr>
          <w:p w14:paraId="09F3DD1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30.078</w:t>
            </w:r>
          </w:p>
        </w:tc>
        <w:tc>
          <w:tcPr>
            <w:tcW w:w="986" w:type="dxa"/>
            <w:vAlign w:val="center"/>
            <w:hideMark/>
          </w:tcPr>
          <w:p w14:paraId="6B751464"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13.148</w:t>
            </w:r>
          </w:p>
        </w:tc>
        <w:tc>
          <w:tcPr>
            <w:tcW w:w="986" w:type="dxa"/>
            <w:vAlign w:val="center"/>
            <w:hideMark/>
          </w:tcPr>
          <w:p w14:paraId="059C2F2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15.079</w:t>
            </w:r>
          </w:p>
        </w:tc>
        <w:tc>
          <w:tcPr>
            <w:tcW w:w="986" w:type="dxa"/>
            <w:vAlign w:val="center"/>
            <w:hideMark/>
          </w:tcPr>
          <w:p w14:paraId="53C99128"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4.860</w:t>
            </w:r>
          </w:p>
        </w:tc>
        <w:tc>
          <w:tcPr>
            <w:tcW w:w="986" w:type="dxa"/>
            <w:vAlign w:val="center"/>
            <w:hideMark/>
          </w:tcPr>
          <w:p w14:paraId="76D288E4"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6.240</w:t>
            </w:r>
          </w:p>
        </w:tc>
        <w:tc>
          <w:tcPr>
            <w:tcW w:w="986" w:type="dxa"/>
            <w:vAlign w:val="center"/>
            <w:hideMark/>
          </w:tcPr>
          <w:p w14:paraId="05DA791C"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6.825</w:t>
            </w:r>
          </w:p>
        </w:tc>
        <w:tc>
          <w:tcPr>
            <w:tcW w:w="986" w:type="dxa"/>
            <w:vAlign w:val="center"/>
            <w:hideMark/>
          </w:tcPr>
          <w:p w14:paraId="2964D86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5.701</w:t>
            </w:r>
          </w:p>
        </w:tc>
        <w:tc>
          <w:tcPr>
            <w:tcW w:w="986" w:type="dxa"/>
            <w:vAlign w:val="center"/>
            <w:hideMark/>
          </w:tcPr>
          <w:p w14:paraId="1CCEA7DC"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5.530</w:t>
            </w:r>
          </w:p>
        </w:tc>
        <w:tc>
          <w:tcPr>
            <w:tcW w:w="1084" w:type="dxa"/>
            <w:vAlign w:val="center"/>
            <w:hideMark/>
          </w:tcPr>
          <w:p w14:paraId="3F0A5E7E"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115.017</w:t>
            </w:r>
          </w:p>
        </w:tc>
      </w:tr>
      <w:tr w:rsidR="00C17D82" w:rsidRPr="006F0F37" w14:paraId="085B0DA4" w14:textId="77777777" w:rsidTr="005F256D">
        <w:trPr>
          <w:trHeight w:val="255"/>
        </w:trPr>
        <w:tc>
          <w:tcPr>
            <w:tcW w:w="2448" w:type="dxa"/>
            <w:vAlign w:val="center"/>
            <w:hideMark/>
          </w:tcPr>
          <w:p w14:paraId="708A5D26"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Funding</w:t>
            </w:r>
          </w:p>
        </w:tc>
        <w:tc>
          <w:tcPr>
            <w:tcW w:w="986" w:type="dxa"/>
            <w:vAlign w:val="center"/>
            <w:hideMark/>
          </w:tcPr>
          <w:p w14:paraId="0724717F"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1C22BDD3"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7BD91354"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51C768E3"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A0FB18A"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771AFC9B"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6159C1B7"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4B69699D"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26058799" w14:textId="77777777" w:rsidR="00C17D82" w:rsidRPr="006F0F37" w:rsidRDefault="00C17D82" w:rsidP="006F0F37">
            <w:pPr>
              <w:spacing w:before="120" w:after="120"/>
              <w:jc w:val="right"/>
              <w:rPr>
                <w:rFonts w:ascii="Arial" w:hAnsi="Arial" w:cs="Arial"/>
                <w:bCs/>
                <w:szCs w:val="24"/>
              </w:rPr>
            </w:pPr>
          </w:p>
        </w:tc>
        <w:tc>
          <w:tcPr>
            <w:tcW w:w="986" w:type="dxa"/>
            <w:vAlign w:val="center"/>
            <w:hideMark/>
          </w:tcPr>
          <w:p w14:paraId="3D2FD113" w14:textId="77777777" w:rsidR="00C17D82" w:rsidRPr="006F0F37" w:rsidRDefault="00C17D82" w:rsidP="006F0F37">
            <w:pPr>
              <w:spacing w:before="120" w:after="120"/>
              <w:jc w:val="right"/>
              <w:rPr>
                <w:rFonts w:ascii="Arial" w:hAnsi="Arial" w:cs="Arial"/>
                <w:bCs/>
                <w:szCs w:val="24"/>
              </w:rPr>
            </w:pPr>
          </w:p>
        </w:tc>
        <w:tc>
          <w:tcPr>
            <w:tcW w:w="1084" w:type="dxa"/>
            <w:vAlign w:val="center"/>
            <w:hideMark/>
          </w:tcPr>
          <w:p w14:paraId="6E748D3B" w14:textId="77777777" w:rsidR="00C17D82" w:rsidRPr="006F0F37" w:rsidRDefault="00C17D82" w:rsidP="006F0F37">
            <w:pPr>
              <w:spacing w:before="120" w:after="120"/>
              <w:jc w:val="right"/>
              <w:rPr>
                <w:rFonts w:ascii="Arial" w:hAnsi="Arial" w:cs="Arial"/>
                <w:bCs/>
                <w:szCs w:val="24"/>
              </w:rPr>
            </w:pPr>
          </w:p>
        </w:tc>
      </w:tr>
      <w:tr w:rsidR="00C17D82" w:rsidRPr="006F0F37" w14:paraId="0E66388D" w14:textId="77777777" w:rsidTr="005F256D">
        <w:trPr>
          <w:trHeight w:val="255"/>
        </w:trPr>
        <w:tc>
          <w:tcPr>
            <w:tcW w:w="2448" w:type="dxa"/>
            <w:vAlign w:val="center"/>
            <w:hideMark/>
          </w:tcPr>
          <w:p w14:paraId="28271423"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Revenue Contributions</w:t>
            </w:r>
          </w:p>
        </w:tc>
        <w:tc>
          <w:tcPr>
            <w:tcW w:w="986" w:type="dxa"/>
            <w:vAlign w:val="center"/>
            <w:hideMark/>
          </w:tcPr>
          <w:p w14:paraId="7E3C481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2.500</w:t>
            </w:r>
          </w:p>
        </w:tc>
        <w:tc>
          <w:tcPr>
            <w:tcW w:w="986" w:type="dxa"/>
            <w:vAlign w:val="center"/>
            <w:hideMark/>
          </w:tcPr>
          <w:p w14:paraId="69A6C89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3.000</w:t>
            </w:r>
          </w:p>
        </w:tc>
        <w:tc>
          <w:tcPr>
            <w:tcW w:w="986" w:type="dxa"/>
            <w:vAlign w:val="center"/>
            <w:hideMark/>
          </w:tcPr>
          <w:p w14:paraId="3E69224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3.500</w:t>
            </w:r>
          </w:p>
        </w:tc>
        <w:tc>
          <w:tcPr>
            <w:tcW w:w="986" w:type="dxa"/>
            <w:vAlign w:val="center"/>
            <w:hideMark/>
          </w:tcPr>
          <w:p w14:paraId="625552E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7E59BEC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53F8E33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0E315F7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172831B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7C074ED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986" w:type="dxa"/>
            <w:vAlign w:val="center"/>
            <w:hideMark/>
          </w:tcPr>
          <w:p w14:paraId="3F69158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4.000</w:t>
            </w:r>
          </w:p>
        </w:tc>
        <w:tc>
          <w:tcPr>
            <w:tcW w:w="1084" w:type="dxa"/>
            <w:vAlign w:val="center"/>
            <w:hideMark/>
          </w:tcPr>
          <w:p w14:paraId="3D6CB4F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37.000</w:t>
            </w:r>
          </w:p>
        </w:tc>
      </w:tr>
      <w:tr w:rsidR="00C17D82" w:rsidRPr="006F0F37" w14:paraId="7A649313" w14:textId="77777777" w:rsidTr="005F256D">
        <w:trPr>
          <w:trHeight w:val="255"/>
        </w:trPr>
        <w:tc>
          <w:tcPr>
            <w:tcW w:w="2448" w:type="dxa"/>
            <w:vAlign w:val="center"/>
            <w:hideMark/>
          </w:tcPr>
          <w:p w14:paraId="0294392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Capital Reserve</w:t>
            </w:r>
          </w:p>
        </w:tc>
        <w:tc>
          <w:tcPr>
            <w:tcW w:w="986" w:type="dxa"/>
            <w:vAlign w:val="center"/>
            <w:hideMark/>
          </w:tcPr>
          <w:p w14:paraId="0B60CB3C"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10.261</w:t>
            </w:r>
          </w:p>
        </w:tc>
        <w:tc>
          <w:tcPr>
            <w:tcW w:w="986" w:type="dxa"/>
            <w:vAlign w:val="center"/>
            <w:hideMark/>
          </w:tcPr>
          <w:p w14:paraId="1B61764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6.618</w:t>
            </w:r>
          </w:p>
        </w:tc>
        <w:tc>
          <w:tcPr>
            <w:tcW w:w="986" w:type="dxa"/>
            <w:vAlign w:val="center"/>
            <w:hideMark/>
          </w:tcPr>
          <w:p w14:paraId="05030BC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0E6956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8FEB86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EF3E0C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D037BC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9B0455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A607EA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2E7D66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318684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16.879</w:t>
            </w:r>
          </w:p>
        </w:tc>
      </w:tr>
      <w:tr w:rsidR="00C17D82" w:rsidRPr="006F0F37" w14:paraId="7E60B357" w14:textId="77777777" w:rsidTr="005F256D">
        <w:trPr>
          <w:trHeight w:val="552"/>
        </w:trPr>
        <w:tc>
          <w:tcPr>
            <w:tcW w:w="2448" w:type="dxa"/>
            <w:vAlign w:val="center"/>
            <w:hideMark/>
          </w:tcPr>
          <w:p w14:paraId="7F6B3DB4"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Capital Receipts</w:t>
            </w:r>
          </w:p>
        </w:tc>
        <w:tc>
          <w:tcPr>
            <w:tcW w:w="986" w:type="dxa"/>
            <w:vAlign w:val="center"/>
            <w:hideMark/>
          </w:tcPr>
          <w:p w14:paraId="502B21B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1B874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C5AD76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406500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38EC9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1.600</w:t>
            </w:r>
          </w:p>
        </w:tc>
        <w:tc>
          <w:tcPr>
            <w:tcW w:w="986" w:type="dxa"/>
            <w:vAlign w:val="center"/>
            <w:hideMark/>
          </w:tcPr>
          <w:p w14:paraId="7FD8503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288A2A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7F9C7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5A3597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6AB7C2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2BC6A2C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1.600</w:t>
            </w:r>
          </w:p>
        </w:tc>
      </w:tr>
      <w:tr w:rsidR="00C17D82" w:rsidRPr="006F0F37" w14:paraId="1B355123" w14:textId="77777777" w:rsidTr="005F256D">
        <w:trPr>
          <w:trHeight w:val="255"/>
        </w:trPr>
        <w:tc>
          <w:tcPr>
            <w:tcW w:w="2448" w:type="dxa"/>
            <w:vAlign w:val="center"/>
            <w:hideMark/>
          </w:tcPr>
          <w:p w14:paraId="5ECD1022"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Grants</w:t>
            </w:r>
          </w:p>
        </w:tc>
        <w:tc>
          <w:tcPr>
            <w:tcW w:w="986" w:type="dxa"/>
            <w:vAlign w:val="center"/>
            <w:hideMark/>
          </w:tcPr>
          <w:p w14:paraId="7BF0C82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F3C992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w:t>
            </w:r>
          </w:p>
        </w:tc>
        <w:tc>
          <w:tcPr>
            <w:tcW w:w="986" w:type="dxa"/>
            <w:vAlign w:val="center"/>
            <w:hideMark/>
          </w:tcPr>
          <w:p w14:paraId="32CB49C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BD91E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1374B101"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EB7414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7508A2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7CFCA29"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8B6D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4EAE85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02E1603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1.000</w:t>
            </w:r>
          </w:p>
        </w:tc>
      </w:tr>
      <w:tr w:rsidR="00C17D82" w:rsidRPr="006F0F37" w14:paraId="667849B1" w14:textId="77777777" w:rsidTr="005F256D">
        <w:trPr>
          <w:trHeight w:val="255"/>
        </w:trPr>
        <w:tc>
          <w:tcPr>
            <w:tcW w:w="2448" w:type="dxa"/>
            <w:vAlign w:val="center"/>
            <w:hideMark/>
          </w:tcPr>
          <w:p w14:paraId="67766ACE"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Unfunded</w:t>
            </w:r>
          </w:p>
        </w:tc>
        <w:tc>
          <w:tcPr>
            <w:tcW w:w="986" w:type="dxa"/>
            <w:vAlign w:val="center"/>
            <w:hideMark/>
          </w:tcPr>
          <w:p w14:paraId="44EC4F6E"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38B00CB2"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54E3EB6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6CB512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0F4DA2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4C61B84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0.860</w:t>
            </w:r>
          </w:p>
        </w:tc>
        <w:tc>
          <w:tcPr>
            <w:tcW w:w="986" w:type="dxa"/>
            <w:vAlign w:val="center"/>
            <w:hideMark/>
          </w:tcPr>
          <w:p w14:paraId="5BE63DED"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2.240</w:t>
            </w:r>
          </w:p>
        </w:tc>
        <w:tc>
          <w:tcPr>
            <w:tcW w:w="986" w:type="dxa"/>
            <w:vAlign w:val="center"/>
            <w:hideMark/>
          </w:tcPr>
          <w:p w14:paraId="2AE287C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2.825</w:t>
            </w:r>
          </w:p>
        </w:tc>
        <w:tc>
          <w:tcPr>
            <w:tcW w:w="986" w:type="dxa"/>
            <w:vAlign w:val="center"/>
            <w:hideMark/>
          </w:tcPr>
          <w:p w14:paraId="4F7F157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1.701</w:t>
            </w:r>
          </w:p>
        </w:tc>
        <w:tc>
          <w:tcPr>
            <w:tcW w:w="986" w:type="dxa"/>
            <w:vAlign w:val="center"/>
            <w:hideMark/>
          </w:tcPr>
          <w:p w14:paraId="59663C1B"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1.530</w:t>
            </w:r>
          </w:p>
        </w:tc>
        <w:tc>
          <w:tcPr>
            <w:tcW w:w="1084" w:type="dxa"/>
            <w:vAlign w:val="center"/>
            <w:hideMark/>
          </w:tcPr>
          <w:p w14:paraId="421CD085"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9.155</w:t>
            </w:r>
          </w:p>
        </w:tc>
      </w:tr>
      <w:tr w:rsidR="00C17D82" w:rsidRPr="006F0F37" w14:paraId="139ED6AD" w14:textId="77777777" w:rsidTr="005F256D">
        <w:trPr>
          <w:trHeight w:val="255"/>
        </w:trPr>
        <w:tc>
          <w:tcPr>
            <w:tcW w:w="2448" w:type="dxa"/>
            <w:vAlign w:val="center"/>
            <w:hideMark/>
          </w:tcPr>
          <w:p w14:paraId="2FB0012A" w14:textId="77777777" w:rsidR="00C17D82" w:rsidRPr="006F0F37" w:rsidRDefault="00C17D82" w:rsidP="006F0F37">
            <w:pPr>
              <w:spacing w:before="120" w:after="120"/>
              <w:rPr>
                <w:rFonts w:ascii="Arial" w:hAnsi="Arial" w:cs="Arial"/>
                <w:bCs/>
                <w:szCs w:val="24"/>
              </w:rPr>
            </w:pPr>
            <w:r w:rsidRPr="006F0F37">
              <w:rPr>
                <w:rFonts w:ascii="Arial" w:hAnsi="Arial" w:cs="Arial"/>
                <w:bCs/>
                <w:szCs w:val="24"/>
              </w:rPr>
              <w:t>Borrowing</w:t>
            </w:r>
          </w:p>
        </w:tc>
        <w:tc>
          <w:tcPr>
            <w:tcW w:w="986" w:type="dxa"/>
            <w:vAlign w:val="center"/>
            <w:hideMark/>
          </w:tcPr>
          <w:p w14:paraId="0E29776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67D5BD3F"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4.178</w:t>
            </w:r>
          </w:p>
        </w:tc>
        <w:tc>
          <w:tcPr>
            <w:tcW w:w="986" w:type="dxa"/>
            <w:vAlign w:val="center"/>
            <w:hideMark/>
          </w:tcPr>
          <w:p w14:paraId="0DCA0124"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26.578</w:t>
            </w:r>
          </w:p>
        </w:tc>
        <w:tc>
          <w:tcPr>
            <w:tcW w:w="986" w:type="dxa"/>
            <w:vAlign w:val="center"/>
            <w:hideMark/>
          </w:tcPr>
          <w:p w14:paraId="199A8118"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9.148</w:t>
            </w:r>
          </w:p>
        </w:tc>
        <w:tc>
          <w:tcPr>
            <w:tcW w:w="986" w:type="dxa"/>
            <w:vAlign w:val="center"/>
            <w:hideMark/>
          </w:tcPr>
          <w:p w14:paraId="5757465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9.479</w:t>
            </w:r>
          </w:p>
        </w:tc>
        <w:tc>
          <w:tcPr>
            <w:tcW w:w="986" w:type="dxa"/>
            <w:vAlign w:val="center"/>
            <w:hideMark/>
          </w:tcPr>
          <w:p w14:paraId="4A32628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9FAB69A"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23BF873"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01B75110"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986" w:type="dxa"/>
            <w:vAlign w:val="center"/>
            <w:hideMark/>
          </w:tcPr>
          <w:p w14:paraId="70AD7AE6"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0.000</w:t>
            </w:r>
          </w:p>
        </w:tc>
        <w:tc>
          <w:tcPr>
            <w:tcW w:w="1084" w:type="dxa"/>
            <w:vAlign w:val="center"/>
            <w:hideMark/>
          </w:tcPr>
          <w:p w14:paraId="4A50AA37" w14:textId="77777777" w:rsidR="00C17D82" w:rsidRPr="006F0F37" w:rsidRDefault="00C17D82" w:rsidP="006F0F37">
            <w:pPr>
              <w:spacing w:before="120" w:after="120"/>
              <w:jc w:val="right"/>
              <w:rPr>
                <w:rFonts w:ascii="Arial" w:hAnsi="Arial" w:cs="Arial"/>
                <w:bCs/>
                <w:szCs w:val="24"/>
              </w:rPr>
            </w:pPr>
            <w:r w:rsidRPr="006F0F37">
              <w:rPr>
                <w:rFonts w:ascii="Arial" w:hAnsi="Arial" w:cs="Arial"/>
                <w:szCs w:val="24"/>
              </w:rPr>
              <w:t>49.383</w:t>
            </w:r>
          </w:p>
        </w:tc>
      </w:tr>
      <w:tr w:rsidR="00C17D82" w:rsidRPr="006F0F37" w14:paraId="6711E401" w14:textId="77777777" w:rsidTr="005F256D">
        <w:trPr>
          <w:trHeight w:val="255"/>
        </w:trPr>
        <w:tc>
          <w:tcPr>
            <w:tcW w:w="2448" w:type="dxa"/>
            <w:vAlign w:val="center"/>
            <w:hideMark/>
          </w:tcPr>
          <w:p w14:paraId="4F9E6464" w14:textId="77777777" w:rsidR="00C17D82" w:rsidRPr="006F0F37" w:rsidRDefault="00C17D82" w:rsidP="006F0F37">
            <w:pPr>
              <w:spacing w:before="120" w:after="120"/>
              <w:rPr>
                <w:rFonts w:ascii="Arial" w:hAnsi="Arial" w:cs="Arial"/>
                <w:b/>
                <w:bCs/>
                <w:szCs w:val="24"/>
              </w:rPr>
            </w:pPr>
            <w:r w:rsidRPr="006F0F37">
              <w:rPr>
                <w:rFonts w:ascii="Arial" w:hAnsi="Arial" w:cs="Arial"/>
                <w:b/>
                <w:bCs/>
                <w:szCs w:val="24"/>
              </w:rPr>
              <w:t>Total</w:t>
            </w:r>
          </w:p>
        </w:tc>
        <w:tc>
          <w:tcPr>
            <w:tcW w:w="986" w:type="dxa"/>
            <w:vAlign w:val="center"/>
            <w:hideMark/>
          </w:tcPr>
          <w:p w14:paraId="0A7E3D5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12.761</w:t>
            </w:r>
          </w:p>
        </w:tc>
        <w:tc>
          <w:tcPr>
            <w:tcW w:w="986" w:type="dxa"/>
            <w:vAlign w:val="center"/>
            <w:hideMark/>
          </w:tcPr>
          <w:p w14:paraId="28046430"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14.796</w:t>
            </w:r>
          </w:p>
        </w:tc>
        <w:tc>
          <w:tcPr>
            <w:tcW w:w="986" w:type="dxa"/>
            <w:vAlign w:val="center"/>
            <w:hideMark/>
          </w:tcPr>
          <w:p w14:paraId="4B844BA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30.078</w:t>
            </w:r>
          </w:p>
        </w:tc>
        <w:tc>
          <w:tcPr>
            <w:tcW w:w="986" w:type="dxa"/>
            <w:vAlign w:val="center"/>
            <w:hideMark/>
          </w:tcPr>
          <w:p w14:paraId="2D56DA5A"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13.148</w:t>
            </w:r>
          </w:p>
        </w:tc>
        <w:tc>
          <w:tcPr>
            <w:tcW w:w="986" w:type="dxa"/>
            <w:vAlign w:val="center"/>
            <w:hideMark/>
          </w:tcPr>
          <w:p w14:paraId="78036743"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15.079</w:t>
            </w:r>
          </w:p>
        </w:tc>
        <w:tc>
          <w:tcPr>
            <w:tcW w:w="986" w:type="dxa"/>
            <w:vAlign w:val="center"/>
            <w:hideMark/>
          </w:tcPr>
          <w:p w14:paraId="359D7ADD"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4.860</w:t>
            </w:r>
          </w:p>
        </w:tc>
        <w:tc>
          <w:tcPr>
            <w:tcW w:w="986" w:type="dxa"/>
            <w:vAlign w:val="center"/>
            <w:hideMark/>
          </w:tcPr>
          <w:p w14:paraId="757F3E22"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6.240</w:t>
            </w:r>
          </w:p>
        </w:tc>
        <w:tc>
          <w:tcPr>
            <w:tcW w:w="986" w:type="dxa"/>
            <w:vAlign w:val="center"/>
            <w:hideMark/>
          </w:tcPr>
          <w:p w14:paraId="2D7F93FE"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6.825</w:t>
            </w:r>
          </w:p>
        </w:tc>
        <w:tc>
          <w:tcPr>
            <w:tcW w:w="986" w:type="dxa"/>
            <w:vAlign w:val="center"/>
            <w:hideMark/>
          </w:tcPr>
          <w:p w14:paraId="125D31A5"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5.701</w:t>
            </w:r>
          </w:p>
        </w:tc>
        <w:tc>
          <w:tcPr>
            <w:tcW w:w="986" w:type="dxa"/>
            <w:vAlign w:val="center"/>
            <w:hideMark/>
          </w:tcPr>
          <w:p w14:paraId="1C464D87"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5.530</w:t>
            </w:r>
          </w:p>
        </w:tc>
        <w:tc>
          <w:tcPr>
            <w:tcW w:w="1084" w:type="dxa"/>
            <w:vAlign w:val="center"/>
            <w:hideMark/>
          </w:tcPr>
          <w:p w14:paraId="5018EB90" w14:textId="77777777" w:rsidR="00C17D82" w:rsidRPr="006F0F37" w:rsidRDefault="00C17D82" w:rsidP="006F0F37">
            <w:pPr>
              <w:spacing w:before="120" w:after="120"/>
              <w:jc w:val="right"/>
              <w:rPr>
                <w:rFonts w:ascii="Arial" w:hAnsi="Arial" w:cs="Arial"/>
                <w:b/>
                <w:bCs/>
                <w:szCs w:val="24"/>
              </w:rPr>
            </w:pPr>
            <w:r w:rsidRPr="006F0F37">
              <w:rPr>
                <w:rFonts w:ascii="Arial" w:hAnsi="Arial" w:cs="Arial"/>
                <w:b/>
                <w:bCs/>
                <w:szCs w:val="24"/>
              </w:rPr>
              <w:t>115.017</w:t>
            </w:r>
          </w:p>
        </w:tc>
      </w:tr>
    </w:tbl>
    <w:p w14:paraId="134DCA3C" w14:textId="77777777" w:rsidR="005266B8" w:rsidRDefault="00C17D82" w:rsidP="00F71230">
      <w:pPr>
        <w:spacing w:before="240" w:after="120"/>
        <w:rPr>
          <w:rFonts w:ascii="Arial" w:hAnsi="Arial"/>
          <w:bCs/>
          <w:i/>
          <w:iCs/>
          <w:sz w:val="28"/>
          <w:szCs w:val="28"/>
        </w:rPr>
        <w:sectPr w:rsidR="005266B8" w:rsidSect="005266B8">
          <w:pgSz w:w="16838" w:h="11906" w:orient="landscape"/>
          <w:pgMar w:top="1440" w:right="1440" w:bottom="1440" w:left="1440" w:header="708" w:footer="708" w:gutter="0"/>
          <w:cols w:space="708"/>
          <w:docGrid w:linePitch="360"/>
        </w:sectPr>
      </w:pPr>
      <w:r>
        <w:rPr>
          <w:rFonts w:ascii="Arial" w:hAnsi="Arial"/>
          <w:bCs/>
          <w:i/>
          <w:iCs/>
          <w:sz w:val="28"/>
          <w:szCs w:val="28"/>
        </w:rPr>
        <w:t>Note: The 2025/26 capital programme includes slippage from the 2024/25 capital programme approved by the Resources Committee during the year and the following additional slippage items due to timing delays: Foam Pod (£0.27m) and NWFC Contribution (£0.541m). These will be delivered in the first quarter of the 2025/26. The resulting revised capital programme for 2024/25 is £5.213m.</w:t>
      </w:r>
    </w:p>
    <w:p w14:paraId="3464DB65" w14:textId="77777777" w:rsidR="00C17D82" w:rsidRPr="00F71230" w:rsidRDefault="00C17D82" w:rsidP="00F71230">
      <w:pPr>
        <w:spacing w:before="240" w:after="120"/>
        <w:rPr>
          <w:rFonts w:ascii="Arial" w:hAnsi="Arial"/>
          <w:bCs/>
          <w:i/>
          <w:iCs/>
          <w:sz w:val="28"/>
          <w:szCs w:val="28"/>
        </w:rPr>
      </w:pPr>
    </w:p>
    <w:p w14:paraId="3C0BC82A" w14:textId="77777777" w:rsidR="00C17D82" w:rsidRPr="000D1445" w:rsidRDefault="00C17D82" w:rsidP="00FC3424">
      <w:pPr>
        <w:spacing w:before="240" w:after="120"/>
        <w:jc w:val="right"/>
        <w:rPr>
          <w:rFonts w:ascii="Arial" w:hAnsi="Arial"/>
          <w:b/>
          <w:sz w:val="28"/>
          <w:szCs w:val="28"/>
        </w:rPr>
      </w:pPr>
      <w:r w:rsidRPr="000D1445">
        <w:rPr>
          <w:rFonts w:ascii="Arial" w:hAnsi="Arial"/>
          <w:b/>
          <w:sz w:val="28"/>
          <w:szCs w:val="28"/>
        </w:rPr>
        <w:t xml:space="preserve">Appendix </w:t>
      </w:r>
      <w:r>
        <w:rPr>
          <w:rFonts w:ascii="Arial" w:hAnsi="Arial"/>
          <w:b/>
          <w:sz w:val="28"/>
          <w:szCs w:val="28"/>
        </w:rPr>
        <w:t>C</w:t>
      </w:r>
    </w:p>
    <w:p w14:paraId="2B0AC442" w14:textId="77777777" w:rsidR="00C17D82" w:rsidRPr="000D1445" w:rsidRDefault="00C17D82" w:rsidP="00FC3424">
      <w:pPr>
        <w:spacing w:before="240" w:after="120"/>
        <w:jc w:val="both"/>
        <w:rPr>
          <w:rFonts w:ascii="Arial" w:hAnsi="Arial"/>
          <w:b/>
          <w:sz w:val="28"/>
          <w:szCs w:val="28"/>
        </w:rPr>
      </w:pPr>
      <w:r>
        <w:rPr>
          <w:rFonts w:ascii="Arial" w:hAnsi="Arial"/>
          <w:b/>
          <w:sz w:val="28"/>
          <w:szCs w:val="28"/>
        </w:rPr>
        <w:t>Reserves</w:t>
      </w:r>
      <w:r w:rsidRPr="000D1445">
        <w:rPr>
          <w:rFonts w:ascii="Arial" w:hAnsi="Arial"/>
          <w:b/>
          <w:sz w:val="28"/>
          <w:szCs w:val="28"/>
        </w:rPr>
        <w:t xml:space="preserve"> Strategy</w:t>
      </w:r>
      <w:r>
        <w:rPr>
          <w:rFonts w:ascii="Arial" w:hAnsi="Arial"/>
          <w:b/>
          <w:sz w:val="28"/>
          <w:szCs w:val="28"/>
        </w:rPr>
        <w:t xml:space="preserve"> </w:t>
      </w:r>
    </w:p>
    <w:p w14:paraId="5717D903" w14:textId="77777777" w:rsidR="00C17D82" w:rsidRPr="00C318FF" w:rsidRDefault="00C17D82" w:rsidP="00FC3424">
      <w:pPr>
        <w:spacing w:before="240" w:after="120"/>
        <w:jc w:val="both"/>
        <w:rPr>
          <w:rFonts w:ascii="Arial" w:hAnsi="Arial"/>
          <w:b/>
        </w:rPr>
      </w:pPr>
      <w:r>
        <w:rPr>
          <w:rFonts w:ascii="Arial" w:hAnsi="Arial"/>
          <w:b/>
        </w:rPr>
        <w:t>Background</w:t>
      </w:r>
    </w:p>
    <w:p w14:paraId="48ED3B67" w14:textId="77777777" w:rsidR="00C17D82" w:rsidRDefault="00C17D82" w:rsidP="00E667AF">
      <w:pPr>
        <w:pStyle w:val="Default"/>
        <w:numPr>
          <w:ilvl w:val="0"/>
          <w:numId w:val="2"/>
        </w:numPr>
        <w:spacing w:before="120" w:after="240"/>
        <w:ind w:left="635" w:hanging="635"/>
      </w:pPr>
      <w:r>
        <w:t xml:space="preserve">The Local Government Act 1992 requires billing and precepting authorities to have regard to the level of reserves needed for meeting estimated future expenditure when calculating the budget requirement. </w:t>
      </w:r>
    </w:p>
    <w:p w14:paraId="500CCD29" w14:textId="77777777" w:rsidR="00C17D82" w:rsidRDefault="00C17D82" w:rsidP="00E667AF">
      <w:pPr>
        <w:pStyle w:val="Default"/>
        <w:numPr>
          <w:ilvl w:val="0"/>
          <w:numId w:val="2"/>
        </w:numPr>
        <w:spacing w:before="120" w:after="240"/>
        <w:ind w:left="635" w:hanging="635"/>
      </w:pPr>
      <w:r>
        <w:t xml:space="preserve">In addition to the above requirement, Section 25 of the Local Government Act 2003 also requires the Treasurer (the Director of Corporate Services for the Authority) to present a report assessing the adequacy of the unallocated reserves (referred to as the General Reserve) in the context of threats and demands together with corporate and financial risks facing the organisation. The Authority needs to balance the necessity for reserves against the cost to council taxpayers and arrive at a level that is both prudent and adequate for the current climate, but not excessive. </w:t>
      </w:r>
    </w:p>
    <w:p w14:paraId="16278992" w14:textId="77777777" w:rsidR="00C17D82" w:rsidRDefault="00C17D82" w:rsidP="00E667AF">
      <w:pPr>
        <w:pStyle w:val="Default"/>
        <w:numPr>
          <w:ilvl w:val="0"/>
          <w:numId w:val="2"/>
        </w:numPr>
        <w:spacing w:before="120" w:after="240"/>
        <w:ind w:left="635" w:hanging="635"/>
      </w:pPr>
      <w:r>
        <w:t xml:space="preserve">The Reserves Strategy sets out the reserves held, their intended usage and the strategy for ensuring the funds are maintained at an appropriate level. Reserves are held for three main purposes: </w:t>
      </w:r>
    </w:p>
    <w:p w14:paraId="05D55A31"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To cover unforeseen risks and expenditure that may be incurred outside of planned budgets – known as a general reserve</w:t>
      </w:r>
      <w:r>
        <w:rPr>
          <w:rFonts w:ascii="Arial" w:hAnsi="Arial"/>
        </w:rPr>
        <w:t>.</w:t>
      </w:r>
    </w:p>
    <w:p w14:paraId="64F1CD76"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To set-aside funds for specific purposes, known or predicted pressures, or future liabilities – known as earmarked reserves</w:t>
      </w:r>
      <w:r>
        <w:rPr>
          <w:rFonts w:ascii="Arial" w:hAnsi="Arial"/>
        </w:rPr>
        <w:t>.</w:t>
      </w:r>
    </w:p>
    <w:p w14:paraId="2B640288"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 xml:space="preserve">To hold capital receipts from sale of assets, the use of which is restricted under legislation to the purchase of new assets, or the repayment of debt. </w:t>
      </w:r>
    </w:p>
    <w:p w14:paraId="36C1ED01" w14:textId="77777777" w:rsidR="00C17D82" w:rsidRDefault="00C17D82" w:rsidP="00E667AF">
      <w:pPr>
        <w:pStyle w:val="Default"/>
        <w:numPr>
          <w:ilvl w:val="0"/>
          <w:numId w:val="2"/>
        </w:numPr>
        <w:spacing w:before="120" w:after="240"/>
        <w:ind w:left="635" w:hanging="635"/>
      </w:pPr>
      <w:r>
        <w:t xml:space="preserve">In addition to holding financial reserves, there are several safeguards in place that mitigate against the risk of local authorities over-committing themselves financially: </w:t>
      </w:r>
    </w:p>
    <w:p w14:paraId="48AE11C9"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There is a legal requirement to set a balanced budget</w:t>
      </w:r>
      <w:r>
        <w:rPr>
          <w:rFonts w:ascii="Arial" w:hAnsi="Arial"/>
        </w:rPr>
        <w:t>.</w:t>
      </w:r>
      <w:r w:rsidRPr="00BD2DFD">
        <w:rPr>
          <w:rFonts w:ascii="Arial" w:hAnsi="Arial"/>
        </w:rPr>
        <w:t xml:space="preserve"> </w:t>
      </w:r>
    </w:p>
    <w:p w14:paraId="58ED1E5D"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In accordance with the 1988 Local Government Finance Act, the Chief Finance Officer (</w:t>
      </w:r>
      <w:r>
        <w:rPr>
          <w:rFonts w:ascii="Arial" w:hAnsi="Arial"/>
        </w:rPr>
        <w:t>DOCS for the Authority</w:t>
      </w:r>
      <w:r w:rsidRPr="00BD2DFD">
        <w:rPr>
          <w:rFonts w:ascii="Arial" w:hAnsi="Arial"/>
        </w:rPr>
        <w:t>) must report if there is or is likely to be unlawful expenditure or an unbalanced budget. This would include situations where reserves have become seriously depleted, and it is forecast that expenditure will exceed resources</w:t>
      </w:r>
      <w:r>
        <w:rPr>
          <w:rFonts w:ascii="Arial" w:hAnsi="Arial"/>
        </w:rPr>
        <w:t>.</w:t>
      </w:r>
    </w:p>
    <w:p w14:paraId="1BB2C787"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 xml:space="preserve">The external auditor’s responsibility to review and report on financial standing. </w:t>
      </w:r>
    </w:p>
    <w:p w14:paraId="349D558B" w14:textId="77777777" w:rsidR="00C17D82" w:rsidRDefault="00C17D82" w:rsidP="00E667AF">
      <w:pPr>
        <w:pStyle w:val="Default"/>
        <w:numPr>
          <w:ilvl w:val="0"/>
          <w:numId w:val="2"/>
        </w:numPr>
        <w:spacing w:before="120" w:after="240"/>
        <w:ind w:left="635" w:hanging="635"/>
      </w:pPr>
      <w:r>
        <w:t xml:space="preserve">While it is primarily the responsibility of Members and the DOCS to maintain a sound financial position, the external auditors have a responsibility to review the arrangements in place to ensure that financial standing is soundly based. The work undertaken by external auditors will include a review of the level of reserves and the advice given to Members by the DOCS.  </w:t>
      </w:r>
    </w:p>
    <w:p w14:paraId="12E784A0" w14:textId="77777777" w:rsidR="00C17D82" w:rsidRDefault="00C17D82" w:rsidP="00E667AF">
      <w:pPr>
        <w:pStyle w:val="Default"/>
        <w:numPr>
          <w:ilvl w:val="0"/>
          <w:numId w:val="2"/>
        </w:numPr>
        <w:spacing w:before="120" w:after="240"/>
        <w:ind w:left="635" w:hanging="635"/>
      </w:pPr>
      <w:r>
        <w:lastRenderedPageBreak/>
        <w:t xml:space="preserve">The Fire and Rescue National Framework (May 2018) includes the requirement that fire authorities “should establish a policy on reserves and provisions in consultation with their Chief Finance Officer”. It also requires that “fire authorities should publish their Reserves Strategy, including details of the current and future planned levels, the purpose for which each reserve is held and how each reserve supports the </w:t>
      </w:r>
      <w:proofErr w:type="gramStart"/>
      <w:r>
        <w:t>Medium Term</w:t>
      </w:r>
      <w:proofErr w:type="gramEnd"/>
      <w:r>
        <w:t xml:space="preserve"> Financial Strategy (MTFS). </w:t>
      </w:r>
    </w:p>
    <w:p w14:paraId="56D79A68" w14:textId="77777777" w:rsidR="00C17D82" w:rsidRPr="00BD2DFD" w:rsidRDefault="00C17D82" w:rsidP="00BD2DFD">
      <w:pPr>
        <w:spacing w:before="240" w:after="120"/>
        <w:jc w:val="both"/>
        <w:rPr>
          <w:rFonts w:ascii="Arial" w:hAnsi="Arial"/>
          <w:b/>
        </w:rPr>
      </w:pPr>
      <w:r w:rsidRPr="00BD2DFD">
        <w:rPr>
          <w:rFonts w:ascii="Arial" w:hAnsi="Arial"/>
          <w:b/>
        </w:rPr>
        <w:t>Determining the level of Reserves</w:t>
      </w:r>
    </w:p>
    <w:p w14:paraId="284B6F09" w14:textId="77777777" w:rsidR="00C17D82" w:rsidRDefault="00C17D82" w:rsidP="00E667AF">
      <w:pPr>
        <w:pStyle w:val="Default"/>
        <w:numPr>
          <w:ilvl w:val="0"/>
          <w:numId w:val="2"/>
        </w:numPr>
        <w:spacing w:before="120" w:after="240"/>
        <w:ind w:left="635" w:hanging="635"/>
      </w:pPr>
      <w:r>
        <w:t xml:space="preserve">There is no statutory guidance on the “right” level of reserves. Guidance from The Chartered Institute of Public Finance and Accountancy (CIPFA) confirms that each authority should make, on the advice of the Treasurer, their own judgement based on relevant local circumstances and the potential issues/risks that may occur across the medium term. </w:t>
      </w:r>
    </w:p>
    <w:p w14:paraId="70EF6B48" w14:textId="77777777" w:rsidR="00C17D82" w:rsidRDefault="00C17D82" w:rsidP="00E667AF">
      <w:pPr>
        <w:pStyle w:val="Default"/>
        <w:numPr>
          <w:ilvl w:val="0"/>
          <w:numId w:val="2"/>
        </w:numPr>
        <w:spacing w:before="120" w:after="240"/>
        <w:ind w:left="635" w:hanging="635"/>
      </w:pPr>
      <w:r>
        <w:t xml:space="preserve">In determining an appropriate level of reserves for the Authority the range of risks and issues that should be considered will include the following: </w:t>
      </w:r>
    </w:p>
    <w:p w14:paraId="2BF3A025"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The possibility of additional savings being required in the future and the potential difficulty in delivering such savings. Future funding levels are unclear with only the 202</w:t>
      </w:r>
      <w:r>
        <w:rPr>
          <w:rFonts w:ascii="Arial" w:hAnsi="Arial"/>
        </w:rPr>
        <w:t>5/26</w:t>
      </w:r>
      <w:r w:rsidRPr="00BD2DFD">
        <w:rPr>
          <w:rFonts w:ascii="Arial" w:hAnsi="Arial"/>
        </w:rPr>
        <w:t xml:space="preserve"> funding known. If increased demands or commitments outstrip funding, savings will be required. </w:t>
      </w:r>
    </w:p>
    <w:p w14:paraId="3C537000"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 xml:space="preserve">The provision of cover for extraordinary or unforeseen events occurring. Given that the purpose of the fire and rescue service is to respond to emergency situations, there is always the potential for additional, unexpected and unbudgeted expenditure to occur. </w:t>
      </w:r>
    </w:p>
    <w:p w14:paraId="67FC918E"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 xml:space="preserve">The level of self-insurance that is carried to minimise insurance premiums: potential insurance liabilities can vary significantly across financial years. The levels of liabilities are difficult to forecast accurately, and it would not be appropriate to budget for peak levels of expenditure on self-insured liabilities. </w:t>
      </w:r>
    </w:p>
    <w:p w14:paraId="5F68E175" w14:textId="77777777" w:rsidR="00C17D82" w:rsidRPr="00BD2DFD" w:rsidRDefault="00C17D82" w:rsidP="00BD2DFD">
      <w:pPr>
        <w:pStyle w:val="ListParagraph"/>
        <w:numPr>
          <w:ilvl w:val="0"/>
          <w:numId w:val="1"/>
        </w:numPr>
        <w:spacing w:after="120"/>
        <w:ind w:left="1134" w:hanging="357"/>
        <w:contextualSpacing w:val="0"/>
        <w:rPr>
          <w:rFonts w:ascii="Arial" w:hAnsi="Arial"/>
        </w:rPr>
      </w:pPr>
      <w:r w:rsidRPr="00BD2DFD">
        <w:rPr>
          <w:rFonts w:ascii="Arial" w:hAnsi="Arial"/>
        </w:rPr>
        <w:t xml:space="preserve">The commitments falling on future years because of capital plans and proposals to improve/develop the assets held by the Authority. Having reserves would mitigate the impact on the revenue budget of borrowing and/or the need to make further revenue contributions to capital and would support projects and programmes that will improve the assets held by the Authority. </w:t>
      </w:r>
    </w:p>
    <w:p w14:paraId="559E1C6B" w14:textId="77777777" w:rsidR="00C17D82" w:rsidRPr="00BD2DFD" w:rsidRDefault="00C17D82" w:rsidP="00BD2DFD">
      <w:pPr>
        <w:spacing w:before="240" w:after="120"/>
        <w:jc w:val="both"/>
        <w:rPr>
          <w:rFonts w:ascii="Arial" w:hAnsi="Arial"/>
          <w:b/>
        </w:rPr>
      </w:pPr>
      <w:r w:rsidRPr="00BD2DFD">
        <w:rPr>
          <w:rFonts w:ascii="Arial" w:hAnsi="Arial"/>
          <w:b/>
        </w:rPr>
        <w:t xml:space="preserve">Purpose </w:t>
      </w:r>
      <w:r>
        <w:rPr>
          <w:rFonts w:ascii="Arial" w:hAnsi="Arial"/>
          <w:b/>
        </w:rPr>
        <w:t xml:space="preserve">and Use </w:t>
      </w:r>
      <w:r w:rsidRPr="00BD2DFD">
        <w:rPr>
          <w:rFonts w:ascii="Arial" w:hAnsi="Arial"/>
          <w:b/>
        </w:rPr>
        <w:t>of each Reserve</w:t>
      </w:r>
    </w:p>
    <w:p w14:paraId="2DB529B0" w14:textId="77777777" w:rsidR="00C17D82" w:rsidRDefault="00C17D82" w:rsidP="00E667AF">
      <w:pPr>
        <w:pStyle w:val="Default"/>
        <w:numPr>
          <w:ilvl w:val="0"/>
          <w:numId w:val="2"/>
        </w:numPr>
        <w:spacing w:before="120" w:after="240"/>
        <w:ind w:left="635" w:hanging="635"/>
      </w:pPr>
      <w:r>
        <w:t xml:space="preserve">The General Reserve and each Earmarked Reserve and its purpose is set out in Appendix 1; together these are known as the Usable Reserves. Each earmarked reserve has a set manager who is responsible for that reserve. Movement to and from reserves is in the first instance is approved by the Authority as part of the annual budget. </w:t>
      </w:r>
    </w:p>
    <w:p w14:paraId="1A0CFF3C" w14:textId="77777777" w:rsidR="00C17D82" w:rsidRDefault="00C17D82" w:rsidP="00E667AF">
      <w:pPr>
        <w:pStyle w:val="Default"/>
        <w:numPr>
          <w:ilvl w:val="0"/>
          <w:numId w:val="2"/>
        </w:numPr>
        <w:spacing w:before="120" w:after="240"/>
        <w:ind w:left="635" w:hanging="635"/>
      </w:pPr>
      <w:r>
        <w:t>Reporting of the level of reserves and forecast outturn will be provided as part of the quarterly budget updates submitted to the Resources Committee.</w:t>
      </w:r>
    </w:p>
    <w:p w14:paraId="7FA86068" w14:textId="77777777" w:rsidR="00C17D82" w:rsidRDefault="00C17D82" w:rsidP="00E667AF">
      <w:pPr>
        <w:pStyle w:val="Default"/>
        <w:numPr>
          <w:ilvl w:val="0"/>
          <w:numId w:val="2"/>
        </w:numPr>
        <w:spacing w:before="120" w:after="240"/>
        <w:ind w:left="635" w:hanging="635"/>
      </w:pPr>
      <w:r>
        <w:lastRenderedPageBreak/>
        <w:t xml:space="preserve">The Authority holds a Public Finance Initiative (PFI) reserve for each of its PFI accommodation schemes. Annual PFI Grants exceed the annual unitary charge in the earlier years of the contract and are set aside to part fund the unitary charge in the later years of the contract when the unitary charge exceeds the PFI grants. </w:t>
      </w:r>
    </w:p>
    <w:p w14:paraId="79877E26" w14:textId="77777777" w:rsidR="00C17D82" w:rsidRPr="00971CE8" w:rsidRDefault="00C17D82" w:rsidP="00971CE8">
      <w:pPr>
        <w:pStyle w:val="Default"/>
        <w:numPr>
          <w:ilvl w:val="0"/>
          <w:numId w:val="2"/>
        </w:numPr>
        <w:spacing w:before="120" w:after="240"/>
        <w:ind w:left="635" w:hanging="635"/>
      </w:pPr>
      <w:r>
        <w:t>It is good practice for an Authority to review its reserves on a regular basis to consider each reserve. This is to ensure that the level that is both prudent and adequate for the current climate, but not excessive. A review has been undertaken based on historical analysis and the current environment and future forecasts; this review resulted has not resulted in any material change.</w:t>
      </w:r>
    </w:p>
    <w:p w14:paraId="5DFF681F" w14:textId="77777777" w:rsidR="00C17D82" w:rsidRPr="005B2036" w:rsidRDefault="00C17D82" w:rsidP="005B2036">
      <w:pPr>
        <w:spacing w:before="240" w:after="120"/>
        <w:jc w:val="both"/>
        <w:rPr>
          <w:rFonts w:ascii="Arial" w:hAnsi="Arial"/>
          <w:b/>
        </w:rPr>
      </w:pPr>
      <w:r>
        <w:rPr>
          <w:rFonts w:ascii="Arial" w:hAnsi="Arial"/>
          <w:b/>
        </w:rPr>
        <w:t>Overall Position</w:t>
      </w:r>
    </w:p>
    <w:p w14:paraId="00346F80" w14:textId="6414441F" w:rsidR="00C17D82" w:rsidRPr="005266B8" w:rsidRDefault="00C17D82" w:rsidP="0095670E">
      <w:pPr>
        <w:pStyle w:val="Default"/>
        <w:numPr>
          <w:ilvl w:val="0"/>
          <w:numId w:val="2"/>
        </w:numPr>
        <w:spacing w:before="120" w:after="240"/>
        <w:ind w:left="635" w:hanging="635"/>
        <w:sectPr w:rsidR="00C17D82" w:rsidRPr="005266B8" w:rsidSect="00C17D82">
          <w:pgSz w:w="11906" w:h="16838"/>
          <w:pgMar w:top="1440" w:right="1440" w:bottom="1440" w:left="1440" w:header="708" w:footer="708" w:gutter="0"/>
          <w:cols w:space="708"/>
          <w:docGrid w:linePitch="360"/>
        </w:sectPr>
      </w:pPr>
      <w:r>
        <w:t>The forecast balances on usable reserves are set out in Appendix 1. One of the key elements of the Reserves Strategy will be to use the earmarked Capital Reserves to support the Capital Strategy. The Capital Strategy anticipates utilising the capital reserve over the next two yea</w:t>
      </w:r>
      <w:r w:rsidR="005266B8">
        <w:t>rs.</w:t>
      </w:r>
    </w:p>
    <w:p w14:paraId="76A6228A" w14:textId="77777777" w:rsidR="00C17D82" w:rsidRPr="0095670E" w:rsidRDefault="00C17D82" w:rsidP="0095670E">
      <w:pPr>
        <w:pStyle w:val="Default"/>
        <w:spacing w:before="120" w:after="240"/>
        <w:jc w:val="right"/>
      </w:pPr>
      <w:r w:rsidRPr="0095670E">
        <w:rPr>
          <w:b/>
          <w:sz w:val="28"/>
          <w:szCs w:val="28"/>
        </w:rPr>
        <w:lastRenderedPageBreak/>
        <w:t>Appendix 1</w:t>
      </w:r>
    </w:p>
    <w:p w14:paraId="5E880C4E" w14:textId="77777777" w:rsidR="00C17D82" w:rsidRPr="00F71230" w:rsidRDefault="00C17D82" w:rsidP="00F71230">
      <w:pPr>
        <w:spacing w:before="240" w:after="120"/>
        <w:rPr>
          <w:rFonts w:ascii="Arial" w:hAnsi="Arial"/>
          <w:b/>
          <w:sz w:val="28"/>
          <w:szCs w:val="28"/>
        </w:rPr>
      </w:pPr>
      <w:r>
        <w:rPr>
          <w:rFonts w:ascii="Arial" w:hAnsi="Arial"/>
          <w:b/>
          <w:sz w:val="28"/>
          <w:szCs w:val="28"/>
        </w:rPr>
        <w:t>Usable Reserves</w:t>
      </w:r>
    </w:p>
    <w:tbl>
      <w:tblPr>
        <w:tblW w:w="13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6"/>
        <w:gridCol w:w="1332"/>
        <w:gridCol w:w="1476"/>
        <w:gridCol w:w="1516"/>
        <w:gridCol w:w="1364"/>
        <w:gridCol w:w="1364"/>
        <w:gridCol w:w="1364"/>
      </w:tblGrid>
      <w:tr w:rsidR="00C17D82" w:rsidRPr="0095670E" w14:paraId="4F83D708" w14:textId="77777777" w:rsidTr="00971CE8">
        <w:trPr>
          <w:trHeight w:val="315"/>
        </w:trPr>
        <w:tc>
          <w:tcPr>
            <w:tcW w:w="5516" w:type="dxa"/>
            <w:tcBorders>
              <w:top w:val="nil"/>
              <w:left w:val="nil"/>
            </w:tcBorders>
            <w:shd w:val="clear" w:color="auto" w:fill="auto"/>
            <w:noWrap/>
            <w:vAlign w:val="center"/>
          </w:tcPr>
          <w:p w14:paraId="244D0473" w14:textId="77777777" w:rsidR="00C17D82" w:rsidRPr="0095670E" w:rsidRDefault="00C17D82" w:rsidP="000E5277">
            <w:pPr>
              <w:rPr>
                <w:rFonts w:ascii="Arial" w:hAnsi="Arial" w:cs="Arial"/>
                <w:b/>
                <w:bCs/>
                <w:szCs w:val="24"/>
                <w:lang w:eastAsia="en-GB"/>
              </w:rPr>
            </w:pPr>
          </w:p>
        </w:tc>
        <w:tc>
          <w:tcPr>
            <w:tcW w:w="1332" w:type="dxa"/>
            <w:vAlign w:val="center"/>
          </w:tcPr>
          <w:p w14:paraId="39B069C6" w14:textId="77777777" w:rsidR="00C17D82" w:rsidRPr="0095670E" w:rsidRDefault="00C17D82" w:rsidP="000E5277">
            <w:pPr>
              <w:jc w:val="center"/>
              <w:rPr>
                <w:rFonts w:ascii="Arial" w:hAnsi="Arial" w:cs="Arial"/>
                <w:b/>
                <w:bCs/>
                <w:szCs w:val="24"/>
                <w:lang w:eastAsia="en-GB"/>
              </w:rPr>
            </w:pPr>
            <w:r>
              <w:rPr>
                <w:rFonts w:ascii="Arial" w:hAnsi="Arial" w:cs="Arial"/>
                <w:b/>
                <w:bCs/>
                <w:szCs w:val="24"/>
                <w:lang w:eastAsia="en-GB"/>
              </w:rPr>
              <w:t>Forecast</w:t>
            </w:r>
          </w:p>
        </w:tc>
        <w:tc>
          <w:tcPr>
            <w:tcW w:w="1476" w:type="dxa"/>
            <w:shd w:val="clear" w:color="auto" w:fill="auto"/>
            <w:noWrap/>
            <w:vAlign w:val="center"/>
          </w:tcPr>
          <w:p w14:paraId="3FD69B09" w14:textId="77777777" w:rsidR="00C17D82" w:rsidRPr="0095670E" w:rsidRDefault="00C17D82" w:rsidP="000E5277">
            <w:pPr>
              <w:jc w:val="center"/>
              <w:rPr>
                <w:rFonts w:ascii="Arial" w:hAnsi="Arial" w:cs="Arial"/>
                <w:b/>
                <w:bCs/>
                <w:szCs w:val="24"/>
                <w:lang w:eastAsia="en-GB"/>
              </w:rPr>
            </w:pPr>
            <w:r>
              <w:rPr>
                <w:rFonts w:ascii="Arial" w:hAnsi="Arial" w:cs="Arial"/>
                <w:b/>
                <w:bCs/>
                <w:szCs w:val="24"/>
                <w:lang w:eastAsia="en-GB"/>
              </w:rPr>
              <w:t>Estimated</w:t>
            </w:r>
          </w:p>
        </w:tc>
        <w:tc>
          <w:tcPr>
            <w:tcW w:w="1516" w:type="dxa"/>
            <w:shd w:val="clear" w:color="auto" w:fill="auto"/>
            <w:noWrap/>
          </w:tcPr>
          <w:p w14:paraId="27067466" w14:textId="77777777" w:rsidR="00C17D82" w:rsidRPr="0095670E" w:rsidRDefault="00C17D82" w:rsidP="000E5277">
            <w:pPr>
              <w:jc w:val="center"/>
              <w:rPr>
                <w:rFonts w:ascii="Arial" w:hAnsi="Arial" w:cs="Arial"/>
                <w:b/>
                <w:bCs/>
                <w:szCs w:val="24"/>
                <w:lang w:eastAsia="en-GB"/>
              </w:rPr>
            </w:pPr>
            <w:r w:rsidRPr="0097062A">
              <w:rPr>
                <w:rFonts w:ascii="Arial" w:hAnsi="Arial" w:cs="Arial"/>
                <w:b/>
                <w:bCs/>
                <w:szCs w:val="24"/>
                <w:lang w:eastAsia="en-GB"/>
              </w:rPr>
              <w:t>Estimated</w:t>
            </w:r>
          </w:p>
        </w:tc>
        <w:tc>
          <w:tcPr>
            <w:tcW w:w="1364" w:type="dxa"/>
            <w:shd w:val="clear" w:color="auto" w:fill="auto"/>
            <w:noWrap/>
          </w:tcPr>
          <w:p w14:paraId="3DAC3583" w14:textId="77777777" w:rsidR="00C17D82" w:rsidRPr="0095670E" w:rsidRDefault="00C17D82" w:rsidP="000E5277">
            <w:pPr>
              <w:jc w:val="center"/>
              <w:rPr>
                <w:rFonts w:ascii="Arial" w:hAnsi="Arial" w:cs="Arial"/>
                <w:b/>
                <w:bCs/>
                <w:szCs w:val="24"/>
                <w:lang w:eastAsia="en-GB"/>
              </w:rPr>
            </w:pPr>
            <w:r w:rsidRPr="0097062A">
              <w:rPr>
                <w:rFonts w:ascii="Arial" w:hAnsi="Arial" w:cs="Arial"/>
                <w:b/>
                <w:bCs/>
                <w:szCs w:val="24"/>
                <w:lang w:eastAsia="en-GB"/>
              </w:rPr>
              <w:t>Estimated</w:t>
            </w:r>
          </w:p>
        </w:tc>
        <w:tc>
          <w:tcPr>
            <w:tcW w:w="1364" w:type="dxa"/>
            <w:shd w:val="clear" w:color="auto" w:fill="auto"/>
            <w:noWrap/>
          </w:tcPr>
          <w:p w14:paraId="128DAEDF" w14:textId="77777777" w:rsidR="00C17D82" w:rsidRPr="0095670E" w:rsidRDefault="00C17D82" w:rsidP="000E5277">
            <w:pPr>
              <w:jc w:val="center"/>
              <w:rPr>
                <w:rFonts w:ascii="Arial" w:hAnsi="Arial" w:cs="Arial"/>
                <w:b/>
                <w:bCs/>
                <w:szCs w:val="24"/>
                <w:lang w:eastAsia="en-GB"/>
              </w:rPr>
            </w:pPr>
            <w:r w:rsidRPr="0097062A">
              <w:rPr>
                <w:rFonts w:ascii="Arial" w:hAnsi="Arial" w:cs="Arial"/>
                <w:b/>
                <w:bCs/>
                <w:szCs w:val="24"/>
                <w:lang w:eastAsia="en-GB"/>
              </w:rPr>
              <w:t>Estimated</w:t>
            </w:r>
          </w:p>
        </w:tc>
        <w:tc>
          <w:tcPr>
            <w:tcW w:w="1364" w:type="dxa"/>
            <w:shd w:val="clear" w:color="auto" w:fill="auto"/>
            <w:noWrap/>
          </w:tcPr>
          <w:p w14:paraId="607A510A" w14:textId="77777777" w:rsidR="00C17D82" w:rsidRPr="0095670E" w:rsidRDefault="00C17D82" w:rsidP="000E5277">
            <w:pPr>
              <w:jc w:val="center"/>
              <w:rPr>
                <w:rFonts w:ascii="Arial" w:hAnsi="Arial" w:cs="Arial"/>
                <w:b/>
                <w:bCs/>
                <w:szCs w:val="24"/>
                <w:lang w:eastAsia="en-GB"/>
              </w:rPr>
            </w:pPr>
            <w:r w:rsidRPr="0097062A">
              <w:rPr>
                <w:rFonts w:ascii="Arial" w:hAnsi="Arial" w:cs="Arial"/>
                <w:b/>
                <w:bCs/>
                <w:szCs w:val="24"/>
                <w:lang w:eastAsia="en-GB"/>
              </w:rPr>
              <w:t>Estimated</w:t>
            </w:r>
          </w:p>
        </w:tc>
      </w:tr>
      <w:tr w:rsidR="00C17D82" w:rsidRPr="0095670E" w14:paraId="4EA40FD7" w14:textId="77777777" w:rsidTr="005A0701">
        <w:trPr>
          <w:trHeight w:val="315"/>
        </w:trPr>
        <w:tc>
          <w:tcPr>
            <w:tcW w:w="5516" w:type="dxa"/>
            <w:shd w:val="clear" w:color="auto" w:fill="auto"/>
            <w:noWrap/>
            <w:vAlign w:val="center"/>
            <w:hideMark/>
          </w:tcPr>
          <w:p w14:paraId="0FDD250D" w14:textId="77777777" w:rsidR="00C17D82" w:rsidRPr="0095670E" w:rsidRDefault="00C17D82" w:rsidP="005A0701">
            <w:pPr>
              <w:rPr>
                <w:rFonts w:ascii="Arial" w:hAnsi="Arial" w:cs="Arial"/>
                <w:b/>
                <w:bCs/>
                <w:szCs w:val="24"/>
                <w:lang w:eastAsia="en-GB"/>
              </w:rPr>
            </w:pPr>
            <w:r w:rsidRPr="0095670E">
              <w:rPr>
                <w:rFonts w:ascii="Arial" w:hAnsi="Arial" w:cs="Arial"/>
                <w:b/>
                <w:bCs/>
                <w:szCs w:val="24"/>
                <w:lang w:eastAsia="en-GB"/>
              </w:rPr>
              <w:t>Reserve - Purpose</w:t>
            </w:r>
          </w:p>
        </w:tc>
        <w:tc>
          <w:tcPr>
            <w:tcW w:w="1332" w:type="dxa"/>
            <w:tcBorders>
              <w:bottom w:val="single" w:sz="4" w:space="0" w:color="auto"/>
            </w:tcBorders>
            <w:vAlign w:val="center"/>
          </w:tcPr>
          <w:p w14:paraId="31E320B7"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2024/25</w:t>
            </w:r>
            <w:r>
              <w:rPr>
                <w:rFonts w:ascii="Arial" w:hAnsi="Arial" w:cs="Arial"/>
                <w:b/>
                <w:bCs/>
                <w:szCs w:val="24"/>
                <w:lang w:eastAsia="en-GB"/>
              </w:rPr>
              <w:br/>
              <w:t>£m</w:t>
            </w:r>
          </w:p>
        </w:tc>
        <w:tc>
          <w:tcPr>
            <w:tcW w:w="1476" w:type="dxa"/>
            <w:tcBorders>
              <w:bottom w:val="single" w:sz="4" w:space="0" w:color="auto"/>
            </w:tcBorders>
            <w:shd w:val="clear" w:color="auto" w:fill="auto"/>
            <w:noWrap/>
            <w:vAlign w:val="center"/>
            <w:hideMark/>
          </w:tcPr>
          <w:p w14:paraId="716AE0C6"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2025/26</w:t>
            </w:r>
            <w:r>
              <w:rPr>
                <w:rFonts w:ascii="Arial" w:hAnsi="Arial" w:cs="Arial"/>
                <w:b/>
                <w:bCs/>
                <w:szCs w:val="24"/>
                <w:lang w:eastAsia="en-GB"/>
              </w:rPr>
              <w:br/>
              <w:t>£m</w:t>
            </w:r>
          </w:p>
        </w:tc>
        <w:tc>
          <w:tcPr>
            <w:tcW w:w="1516" w:type="dxa"/>
            <w:tcBorders>
              <w:bottom w:val="single" w:sz="4" w:space="0" w:color="auto"/>
            </w:tcBorders>
            <w:shd w:val="clear" w:color="auto" w:fill="auto"/>
            <w:noWrap/>
            <w:vAlign w:val="center"/>
            <w:hideMark/>
          </w:tcPr>
          <w:p w14:paraId="2C3DF308"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2026/27</w:t>
            </w:r>
            <w:r>
              <w:rPr>
                <w:rFonts w:ascii="Arial" w:hAnsi="Arial" w:cs="Arial"/>
                <w:b/>
                <w:bCs/>
                <w:szCs w:val="24"/>
                <w:lang w:eastAsia="en-GB"/>
              </w:rPr>
              <w:br/>
              <w:t>£m</w:t>
            </w:r>
          </w:p>
        </w:tc>
        <w:tc>
          <w:tcPr>
            <w:tcW w:w="1364" w:type="dxa"/>
            <w:tcBorders>
              <w:bottom w:val="single" w:sz="4" w:space="0" w:color="auto"/>
            </w:tcBorders>
            <w:shd w:val="clear" w:color="auto" w:fill="auto"/>
            <w:noWrap/>
            <w:vAlign w:val="center"/>
            <w:hideMark/>
          </w:tcPr>
          <w:p w14:paraId="5FA15159"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2027/28</w:t>
            </w:r>
            <w:r>
              <w:rPr>
                <w:rFonts w:ascii="Arial" w:hAnsi="Arial" w:cs="Arial"/>
                <w:b/>
                <w:bCs/>
                <w:szCs w:val="24"/>
                <w:lang w:eastAsia="en-GB"/>
              </w:rPr>
              <w:br/>
              <w:t>£m</w:t>
            </w:r>
          </w:p>
        </w:tc>
        <w:tc>
          <w:tcPr>
            <w:tcW w:w="1364" w:type="dxa"/>
            <w:tcBorders>
              <w:bottom w:val="single" w:sz="4" w:space="0" w:color="auto"/>
            </w:tcBorders>
            <w:shd w:val="clear" w:color="auto" w:fill="auto"/>
            <w:noWrap/>
            <w:vAlign w:val="center"/>
            <w:hideMark/>
          </w:tcPr>
          <w:p w14:paraId="4ABA9C32"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2028/29</w:t>
            </w:r>
            <w:r>
              <w:rPr>
                <w:rFonts w:ascii="Arial" w:hAnsi="Arial" w:cs="Arial"/>
                <w:b/>
                <w:bCs/>
                <w:szCs w:val="24"/>
                <w:lang w:eastAsia="en-GB"/>
              </w:rPr>
              <w:br/>
              <w:t>£m</w:t>
            </w:r>
          </w:p>
        </w:tc>
        <w:tc>
          <w:tcPr>
            <w:tcW w:w="1364" w:type="dxa"/>
            <w:tcBorders>
              <w:bottom w:val="single" w:sz="4" w:space="0" w:color="auto"/>
            </w:tcBorders>
            <w:shd w:val="clear" w:color="auto" w:fill="auto"/>
            <w:noWrap/>
            <w:vAlign w:val="center"/>
            <w:hideMark/>
          </w:tcPr>
          <w:p w14:paraId="74071456" w14:textId="77777777" w:rsidR="00C17D82" w:rsidRPr="0095670E" w:rsidRDefault="00C17D82" w:rsidP="005A0701">
            <w:pPr>
              <w:jc w:val="center"/>
              <w:rPr>
                <w:rFonts w:ascii="Arial" w:hAnsi="Arial" w:cs="Arial"/>
                <w:b/>
                <w:bCs/>
                <w:szCs w:val="24"/>
                <w:lang w:eastAsia="en-GB"/>
              </w:rPr>
            </w:pPr>
            <w:r w:rsidRPr="0095670E">
              <w:rPr>
                <w:rFonts w:ascii="Arial" w:hAnsi="Arial" w:cs="Arial"/>
                <w:b/>
                <w:bCs/>
                <w:szCs w:val="24"/>
                <w:lang w:eastAsia="en-GB"/>
              </w:rPr>
              <w:t>20</w:t>
            </w:r>
            <w:r>
              <w:rPr>
                <w:rFonts w:ascii="Arial" w:hAnsi="Arial" w:cs="Arial"/>
                <w:b/>
                <w:bCs/>
                <w:szCs w:val="24"/>
                <w:lang w:eastAsia="en-GB"/>
              </w:rPr>
              <w:t>29</w:t>
            </w:r>
            <w:r w:rsidRPr="0095670E">
              <w:rPr>
                <w:rFonts w:ascii="Arial" w:hAnsi="Arial" w:cs="Arial"/>
                <w:b/>
                <w:bCs/>
                <w:szCs w:val="24"/>
                <w:lang w:eastAsia="en-GB"/>
              </w:rPr>
              <w:t>/</w:t>
            </w:r>
            <w:r>
              <w:rPr>
                <w:rFonts w:ascii="Arial" w:hAnsi="Arial" w:cs="Arial"/>
                <w:b/>
                <w:bCs/>
                <w:szCs w:val="24"/>
                <w:lang w:eastAsia="en-GB"/>
              </w:rPr>
              <w:t>30</w:t>
            </w:r>
            <w:r>
              <w:rPr>
                <w:rFonts w:ascii="Arial" w:hAnsi="Arial" w:cs="Arial"/>
                <w:b/>
                <w:bCs/>
                <w:szCs w:val="24"/>
                <w:lang w:eastAsia="en-GB"/>
              </w:rPr>
              <w:br/>
              <w:t>£m</w:t>
            </w:r>
          </w:p>
        </w:tc>
      </w:tr>
      <w:tr w:rsidR="00C17D82" w:rsidRPr="0095670E" w14:paraId="6EE300CD" w14:textId="77777777" w:rsidTr="005A0701">
        <w:trPr>
          <w:trHeight w:val="300"/>
        </w:trPr>
        <w:tc>
          <w:tcPr>
            <w:tcW w:w="5516" w:type="dxa"/>
            <w:shd w:val="clear" w:color="auto" w:fill="auto"/>
            <w:vAlign w:val="center"/>
            <w:hideMark/>
          </w:tcPr>
          <w:p w14:paraId="07009AD4"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 xml:space="preserve">General Reserve - </w:t>
            </w:r>
            <w:r w:rsidRPr="00CA1F5B">
              <w:rPr>
                <w:rFonts w:ascii="Arial" w:hAnsi="Arial" w:cs="Arial"/>
                <w:szCs w:val="24"/>
                <w:lang w:eastAsia="en-GB"/>
              </w:rPr>
              <w:t>min level £3.85m</w:t>
            </w:r>
          </w:p>
        </w:tc>
        <w:tc>
          <w:tcPr>
            <w:tcW w:w="1332" w:type="dxa"/>
            <w:tcBorders>
              <w:top w:val="single" w:sz="4" w:space="0" w:color="auto"/>
              <w:left w:val="nil"/>
              <w:bottom w:val="single" w:sz="4" w:space="0" w:color="auto"/>
              <w:right w:val="single" w:sz="4" w:space="0" w:color="auto"/>
            </w:tcBorders>
            <w:shd w:val="clear" w:color="auto" w:fill="auto"/>
            <w:vAlign w:val="center"/>
          </w:tcPr>
          <w:p w14:paraId="3D4063D3" w14:textId="77777777" w:rsidR="00C17D82" w:rsidRPr="0095670E" w:rsidRDefault="00C17D82" w:rsidP="00CA1F5B">
            <w:pPr>
              <w:jc w:val="right"/>
              <w:rPr>
                <w:rFonts w:ascii="Arial" w:hAnsi="Arial" w:cs="Arial"/>
                <w:szCs w:val="24"/>
                <w:lang w:eastAsia="en-GB"/>
              </w:rPr>
            </w:pPr>
            <w:r w:rsidRPr="005A0701">
              <w:rPr>
                <w:rFonts w:ascii="Arial" w:hAnsi="Arial" w:cs="Arial"/>
                <w:szCs w:val="24"/>
                <w:lang w:eastAsia="en-GB"/>
              </w:rPr>
              <w:t>5.0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260F4" w14:textId="77777777" w:rsidR="00C17D82" w:rsidRPr="0095670E" w:rsidRDefault="00C17D82" w:rsidP="00CA1F5B">
            <w:pPr>
              <w:jc w:val="right"/>
              <w:rPr>
                <w:rFonts w:ascii="Arial" w:hAnsi="Arial" w:cs="Arial"/>
                <w:szCs w:val="24"/>
                <w:lang w:eastAsia="en-GB"/>
              </w:rPr>
            </w:pPr>
            <w:r>
              <w:rPr>
                <w:rFonts w:ascii="Arial" w:hAnsi="Arial" w:cs="Arial"/>
              </w:rPr>
              <w:t>5.1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E5F8A" w14:textId="77777777" w:rsidR="00C17D82" w:rsidRPr="0095670E" w:rsidRDefault="00C17D82" w:rsidP="00CA1F5B">
            <w:pPr>
              <w:jc w:val="right"/>
              <w:rPr>
                <w:rFonts w:ascii="Arial" w:hAnsi="Arial" w:cs="Arial"/>
                <w:szCs w:val="24"/>
                <w:lang w:eastAsia="en-GB"/>
              </w:rPr>
            </w:pPr>
            <w:r>
              <w:rPr>
                <w:rFonts w:ascii="Arial" w:hAnsi="Arial" w:cs="Arial"/>
              </w:rPr>
              <w:t>4.7</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DE03" w14:textId="77777777" w:rsidR="00C17D82" w:rsidRPr="0095670E" w:rsidRDefault="00C17D82" w:rsidP="00CA1F5B">
            <w:pPr>
              <w:jc w:val="right"/>
              <w:rPr>
                <w:rFonts w:ascii="Arial" w:hAnsi="Arial" w:cs="Arial"/>
                <w:szCs w:val="24"/>
                <w:lang w:eastAsia="en-GB"/>
              </w:rPr>
            </w:pPr>
            <w:r>
              <w:rPr>
                <w:rFonts w:ascii="Arial" w:hAnsi="Arial" w:cs="Arial"/>
              </w:rPr>
              <w:t>4.4</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1BA" w14:textId="77777777" w:rsidR="00C17D82" w:rsidRPr="0095670E" w:rsidRDefault="00C17D82" w:rsidP="00CA1F5B">
            <w:pPr>
              <w:jc w:val="right"/>
              <w:rPr>
                <w:rFonts w:ascii="Arial" w:hAnsi="Arial" w:cs="Arial"/>
                <w:szCs w:val="24"/>
                <w:lang w:eastAsia="en-GB"/>
              </w:rPr>
            </w:pPr>
            <w:r>
              <w:rPr>
                <w:rFonts w:ascii="Arial" w:hAnsi="Arial" w:cs="Arial"/>
              </w:rPr>
              <w:t>4.1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9D0FC" w14:textId="77777777" w:rsidR="00C17D82" w:rsidRPr="0095670E" w:rsidRDefault="00C17D82" w:rsidP="00CA1F5B">
            <w:pPr>
              <w:jc w:val="right"/>
              <w:rPr>
                <w:rFonts w:ascii="Arial" w:hAnsi="Arial" w:cs="Arial"/>
                <w:szCs w:val="24"/>
                <w:lang w:eastAsia="en-GB"/>
              </w:rPr>
            </w:pPr>
            <w:r>
              <w:rPr>
                <w:rFonts w:ascii="Arial" w:hAnsi="Arial" w:cs="Arial"/>
              </w:rPr>
              <w:t>4.5</w:t>
            </w:r>
          </w:p>
        </w:tc>
      </w:tr>
      <w:tr w:rsidR="00C17D82" w:rsidRPr="0095670E" w14:paraId="78CB7E22" w14:textId="77777777" w:rsidTr="005A0701">
        <w:trPr>
          <w:trHeight w:val="315"/>
        </w:trPr>
        <w:tc>
          <w:tcPr>
            <w:tcW w:w="5516" w:type="dxa"/>
            <w:shd w:val="clear" w:color="auto" w:fill="auto"/>
            <w:vAlign w:val="center"/>
            <w:hideMark/>
          </w:tcPr>
          <w:p w14:paraId="15A2AD97" w14:textId="77777777" w:rsidR="00C17D82" w:rsidRPr="0095670E" w:rsidRDefault="00C17D82" w:rsidP="005A0701">
            <w:pPr>
              <w:rPr>
                <w:rFonts w:ascii="Arial" w:hAnsi="Arial" w:cs="Arial"/>
                <w:b/>
                <w:bCs/>
                <w:szCs w:val="24"/>
                <w:lang w:eastAsia="en-GB"/>
              </w:rPr>
            </w:pPr>
            <w:r w:rsidRPr="0095670E">
              <w:rPr>
                <w:rFonts w:ascii="Arial" w:hAnsi="Arial" w:cs="Arial"/>
                <w:b/>
                <w:bCs/>
                <w:szCs w:val="24"/>
                <w:lang w:eastAsia="en-GB"/>
              </w:rPr>
              <w:t>Earmarked Reserves</w:t>
            </w:r>
          </w:p>
        </w:tc>
        <w:tc>
          <w:tcPr>
            <w:tcW w:w="1332" w:type="dxa"/>
            <w:tcBorders>
              <w:top w:val="single" w:sz="4" w:space="0" w:color="auto"/>
              <w:left w:val="nil"/>
              <w:bottom w:val="single" w:sz="4" w:space="0" w:color="auto"/>
              <w:right w:val="single" w:sz="4" w:space="0" w:color="auto"/>
            </w:tcBorders>
            <w:shd w:val="clear" w:color="auto" w:fill="auto"/>
            <w:vAlign w:val="center"/>
          </w:tcPr>
          <w:p w14:paraId="1CEA29BD" w14:textId="77777777" w:rsidR="00C17D82" w:rsidRPr="005A0701" w:rsidRDefault="00C17D82" w:rsidP="005A0701">
            <w:pPr>
              <w:jc w:val="right"/>
              <w:rPr>
                <w:rFonts w:ascii="Arial" w:hAnsi="Arial" w:cs="Arial"/>
                <w:szCs w:val="24"/>
                <w:lang w:eastAsia="en-GB"/>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FEDC2" w14:textId="77777777" w:rsidR="00C17D82" w:rsidRPr="005A0701" w:rsidRDefault="00C17D82" w:rsidP="005A0701">
            <w:pPr>
              <w:jc w:val="right"/>
              <w:rPr>
                <w:rFonts w:ascii="Arial" w:hAnsi="Arial" w:cs="Arial"/>
                <w:szCs w:val="24"/>
                <w:lang w:eastAsia="en-GB"/>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0ADC" w14:textId="77777777" w:rsidR="00C17D82" w:rsidRPr="005A0701" w:rsidRDefault="00C17D82" w:rsidP="005A0701">
            <w:pPr>
              <w:jc w:val="right"/>
              <w:rPr>
                <w:rFonts w:ascii="Arial" w:hAnsi="Arial" w:cs="Arial"/>
                <w:szCs w:val="24"/>
                <w:lang w:eastAsia="en-GB"/>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A7C88" w14:textId="77777777" w:rsidR="00C17D82" w:rsidRPr="005A0701" w:rsidRDefault="00C17D82" w:rsidP="005A0701">
            <w:pPr>
              <w:jc w:val="right"/>
              <w:rPr>
                <w:rFonts w:ascii="Arial" w:hAnsi="Arial" w:cs="Arial"/>
                <w:szCs w:val="24"/>
                <w:lang w:eastAsia="en-GB"/>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82262" w14:textId="77777777" w:rsidR="00C17D82" w:rsidRPr="005A0701" w:rsidRDefault="00C17D82" w:rsidP="005A0701">
            <w:pPr>
              <w:jc w:val="right"/>
              <w:rPr>
                <w:rFonts w:ascii="Arial" w:hAnsi="Arial" w:cs="Arial"/>
                <w:szCs w:val="24"/>
                <w:lang w:eastAsia="en-GB"/>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BCD2F" w14:textId="77777777" w:rsidR="00C17D82" w:rsidRPr="005A0701" w:rsidRDefault="00C17D82" w:rsidP="005A0701">
            <w:pPr>
              <w:jc w:val="right"/>
              <w:rPr>
                <w:rFonts w:ascii="Arial" w:hAnsi="Arial" w:cs="Arial"/>
                <w:szCs w:val="24"/>
                <w:lang w:eastAsia="en-GB"/>
              </w:rPr>
            </w:pPr>
          </w:p>
        </w:tc>
      </w:tr>
      <w:tr w:rsidR="00C17D82" w:rsidRPr="0095670E" w14:paraId="64736133" w14:textId="77777777" w:rsidTr="005A0701">
        <w:trPr>
          <w:trHeight w:val="300"/>
        </w:trPr>
        <w:tc>
          <w:tcPr>
            <w:tcW w:w="5516" w:type="dxa"/>
            <w:shd w:val="clear" w:color="auto" w:fill="auto"/>
            <w:vAlign w:val="center"/>
            <w:hideMark/>
          </w:tcPr>
          <w:p w14:paraId="31B2CB13"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Capital Reserve - to fund capital expenditure</w:t>
            </w:r>
          </w:p>
        </w:tc>
        <w:tc>
          <w:tcPr>
            <w:tcW w:w="1332" w:type="dxa"/>
            <w:tcBorders>
              <w:top w:val="single" w:sz="4" w:space="0" w:color="auto"/>
              <w:left w:val="nil"/>
              <w:bottom w:val="single" w:sz="4" w:space="0" w:color="auto"/>
              <w:right w:val="single" w:sz="4" w:space="0" w:color="auto"/>
            </w:tcBorders>
            <w:shd w:val="clear" w:color="auto" w:fill="auto"/>
            <w:vAlign w:val="center"/>
          </w:tcPr>
          <w:p w14:paraId="332560F5" w14:textId="77777777" w:rsidR="00C17D82" w:rsidRPr="0095670E" w:rsidRDefault="00C17D82" w:rsidP="00CA1F5B">
            <w:pPr>
              <w:jc w:val="right"/>
              <w:rPr>
                <w:rFonts w:ascii="Arial" w:hAnsi="Arial" w:cs="Arial"/>
                <w:szCs w:val="24"/>
                <w:lang w:eastAsia="en-GB"/>
              </w:rPr>
            </w:pPr>
            <w:r>
              <w:rPr>
                <w:rFonts w:ascii="Arial" w:hAnsi="Arial" w:cs="Arial"/>
              </w:rPr>
              <w:t>19.7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574AA" w14:textId="77777777" w:rsidR="00C17D82" w:rsidRPr="0095670E" w:rsidRDefault="00C17D82" w:rsidP="00CA1F5B">
            <w:pPr>
              <w:jc w:val="right"/>
              <w:rPr>
                <w:rFonts w:ascii="Arial" w:hAnsi="Arial" w:cs="Arial"/>
                <w:szCs w:val="24"/>
                <w:lang w:eastAsia="en-GB"/>
              </w:rPr>
            </w:pPr>
            <w:r>
              <w:rPr>
                <w:rFonts w:ascii="Arial" w:hAnsi="Arial" w:cs="Arial"/>
              </w:rPr>
              <w:t>6.7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9798C" w14:textId="77777777" w:rsidR="00C17D82" w:rsidRPr="0095670E" w:rsidRDefault="00C17D82" w:rsidP="00CA1F5B">
            <w:pPr>
              <w:jc w:val="right"/>
              <w:rPr>
                <w:rFonts w:ascii="Arial" w:hAnsi="Arial" w:cs="Arial"/>
                <w:szCs w:val="24"/>
                <w:lang w:eastAsia="en-GB"/>
              </w:rPr>
            </w:pPr>
            <w:r>
              <w:rPr>
                <w:rFonts w:ascii="Arial" w:hAnsi="Arial" w:cs="Arial"/>
              </w:rPr>
              <w:t>0.1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8B6E4" w14:textId="77777777" w:rsidR="00C17D82" w:rsidRPr="0095670E" w:rsidRDefault="00C17D82" w:rsidP="00CA1F5B">
            <w:pPr>
              <w:jc w:val="right"/>
              <w:rPr>
                <w:rFonts w:ascii="Arial" w:hAnsi="Arial" w:cs="Arial"/>
                <w:szCs w:val="24"/>
                <w:lang w:eastAsia="en-GB"/>
              </w:rPr>
            </w:pPr>
            <w:r>
              <w:rPr>
                <w:rFonts w:ascii="Arial" w:hAnsi="Arial" w:cs="Arial"/>
              </w:rPr>
              <w:t>0.1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2A2A" w14:textId="77777777" w:rsidR="00C17D82" w:rsidRPr="0095670E" w:rsidRDefault="00C17D82" w:rsidP="00CA1F5B">
            <w:pPr>
              <w:jc w:val="right"/>
              <w:rPr>
                <w:rFonts w:ascii="Arial" w:hAnsi="Arial" w:cs="Arial"/>
                <w:szCs w:val="24"/>
                <w:lang w:eastAsia="en-GB"/>
              </w:rPr>
            </w:pPr>
            <w:r>
              <w:rPr>
                <w:rFonts w:ascii="Arial" w:hAnsi="Arial" w:cs="Arial"/>
              </w:rPr>
              <w:t>0.1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3EDC" w14:textId="77777777" w:rsidR="00C17D82" w:rsidRPr="0095670E" w:rsidRDefault="00C17D82" w:rsidP="00CA1F5B">
            <w:pPr>
              <w:jc w:val="right"/>
              <w:rPr>
                <w:rFonts w:ascii="Arial" w:hAnsi="Arial" w:cs="Arial"/>
                <w:szCs w:val="24"/>
                <w:lang w:eastAsia="en-GB"/>
              </w:rPr>
            </w:pPr>
            <w:r>
              <w:rPr>
                <w:rFonts w:ascii="Arial" w:hAnsi="Arial" w:cs="Arial"/>
              </w:rPr>
              <w:t>0.1</w:t>
            </w:r>
          </w:p>
        </w:tc>
      </w:tr>
      <w:tr w:rsidR="00C17D82" w:rsidRPr="0095670E" w14:paraId="441EADA6" w14:textId="77777777" w:rsidTr="005A0701">
        <w:trPr>
          <w:trHeight w:val="600"/>
        </w:trPr>
        <w:tc>
          <w:tcPr>
            <w:tcW w:w="5516" w:type="dxa"/>
            <w:shd w:val="clear" w:color="auto" w:fill="auto"/>
            <w:vAlign w:val="center"/>
            <w:hideMark/>
          </w:tcPr>
          <w:p w14:paraId="3964D538"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 xml:space="preserve">PFI Reserves - PFI </w:t>
            </w:r>
            <w:r>
              <w:rPr>
                <w:rFonts w:ascii="Arial" w:hAnsi="Arial" w:cs="Arial"/>
                <w:szCs w:val="24"/>
                <w:lang w:eastAsia="en-GB"/>
              </w:rPr>
              <w:t>Grants</w:t>
            </w:r>
            <w:r w:rsidRPr="0095670E">
              <w:rPr>
                <w:rFonts w:ascii="Arial" w:hAnsi="Arial" w:cs="Arial"/>
                <w:szCs w:val="24"/>
                <w:lang w:eastAsia="en-GB"/>
              </w:rPr>
              <w:t xml:space="preserve"> set aside to offset future charges</w:t>
            </w:r>
          </w:p>
        </w:tc>
        <w:tc>
          <w:tcPr>
            <w:tcW w:w="1332" w:type="dxa"/>
            <w:tcBorders>
              <w:top w:val="single" w:sz="4" w:space="0" w:color="auto"/>
              <w:left w:val="nil"/>
              <w:bottom w:val="single" w:sz="4" w:space="0" w:color="auto"/>
              <w:right w:val="single" w:sz="4" w:space="0" w:color="auto"/>
            </w:tcBorders>
            <w:shd w:val="clear" w:color="auto" w:fill="auto"/>
            <w:vAlign w:val="center"/>
          </w:tcPr>
          <w:p w14:paraId="6C548A33" w14:textId="77777777" w:rsidR="00C17D82" w:rsidRPr="0095670E" w:rsidRDefault="00C17D82" w:rsidP="00CA1F5B">
            <w:pPr>
              <w:jc w:val="right"/>
              <w:rPr>
                <w:rFonts w:ascii="Arial" w:hAnsi="Arial" w:cs="Arial"/>
                <w:szCs w:val="24"/>
                <w:lang w:eastAsia="en-GB"/>
              </w:rPr>
            </w:pPr>
            <w:r>
              <w:rPr>
                <w:rFonts w:ascii="Arial" w:hAnsi="Arial" w:cs="Arial"/>
              </w:rPr>
              <w:t>5.2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6C3F6" w14:textId="77777777" w:rsidR="00C17D82" w:rsidRPr="0095670E" w:rsidRDefault="00C17D82" w:rsidP="00CA1F5B">
            <w:pPr>
              <w:jc w:val="right"/>
              <w:rPr>
                <w:rFonts w:ascii="Arial" w:hAnsi="Arial" w:cs="Arial"/>
                <w:szCs w:val="24"/>
                <w:lang w:eastAsia="en-GB"/>
              </w:rPr>
            </w:pPr>
            <w:r>
              <w:rPr>
                <w:rFonts w:ascii="Arial" w:hAnsi="Arial" w:cs="Arial"/>
              </w:rPr>
              <w:t>4.8</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6A8A" w14:textId="77777777" w:rsidR="00C17D82" w:rsidRPr="0095670E" w:rsidRDefault="00C17D82" w:rsidP="00CA1F5B">
            <w:pPr>
              <w:jc w:val="right"/>
              <w:rPr>
                <w:rFonts w:ascii="Arial" w:hAnsi="Arial" w:cs="Arial"/>
                <w:szCs w:val="24"/>
                <w:lang w:eastAsia="en-GB"/>
              </w:rPr>
            </w:pPr>
            <w:r>
              <w:rPr>
                <w:rFonts w:ascii="Arial" w:hAnsi="Arial" w:cs="Arial"/>
              </w:rPr>
              <w:t>4.6</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167C" w14:textId="77777777" w:rsidR="00C17D82" w:rsidRPr="0095670E" w:rsidRDefault="00C17D82" w:rsidP="00CA1F5B">
            <w:pPr>
              <w:jc w:val="right"/>
              <w:rPr>
                <w:rFonts w:ascii="Arial" w:hAnsi="Arial" w:cs="Arial"/>
                <w:szCs w:val="24"/>
                <w:lang w:eastAsia="en-GB"/>
              </w:rPr>
            </w:pPr>
            <w:r>
              <w:rPr>
                <w:rFonts w:ascii="Arial" w:hAnsi="Arial" w:cs="Arial"/>
              </w:rPr>
              <w:t>4.4</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7889D" w14:textId="77777777" w:rsidR="00C17D82" w:rsidRPr="0095670E" w:rsidRDefault="00C17D82" w:rsidP="00CA1F5B">
            <w:pPr>
              <w:jc w:val="right"/>
              <w:rPr>
                <w:rFonts w:ascii="Arial" w:hAnsi="Arial" w:cs="Arial"/>
                <w:szCs w:val="24"/>
                <w:lang w:eastAsia="en-GB"/>
              </w:rPr>
            </w:pPr>
            <w:r>
              <w:rPr>
                <w:rFonts w:ascii="Arial" w:hAnsi="Arial" w:cs="Arial"/>
              </w:rPr>
              <w:t>4.1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0A249" w14:textId="77777777" w:rsidR="00C17D82" w:rsidRPr="0095670E" w:rsidRDefault="00C17D82" w:rsidP="00CA1F5B">
            <w:pPr>
              <w:jc w:val="right"/>
              <w:rPr>
                <w:rFonts w:ascii="Arial" w:hAnsi="Arial" w:cs="Arial"/>
                <w:szCs w:val="24"/>
                <w:lang w:eastAsia="en-GB"/>
              </w:rPr>
            </w:pPr>
            <w:r>
              <w:rPr>
                <w:rFonts w:ascii="Arial" w:hAnsi="Arial" w:cs="Arial"/>
              </w:rPr>
              <w:t>3.8</w:t>
            </w:r>
          </w:p>
        </w:tc>
      </w:tr>
      <w:tr w:rsidR="00C17D82" w:rsidRPr="0095670E" w14:paraId="3845616B" w14:textId="77777777" w:rsidTr="005A0701">
        <w:trPr>
          <w:trHeight w:val="1200"/>
        </w:trPr>
        <w:tc>
          <w:tcPr>
            <w:tcW w:w="5516" w:type="dxa"/>
            <w:shd w:val="clear" w:color="auto" w:fill="auto"/>
            <w:vAlign w:val="center"/>
            <w:hideMark/>
          </w:tcPr>
          <w:p w14:paraId="67F89F0E"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Budget Holders Reserves - enables budget holders to carry forward any surplus or deficit from one financial year to the next, within prescribed limits.</w:t>
            </w:r>
          </w:p>
        </w:tc>
        <w:tc>
          <w:tcPr>
            <w:tcW w:w="1332" w:type="dxa"/>
            <w:tcBorders>
              <w:top w:val="single" w:sz="4" w:space="0" w:color="auto"/>
              <w:left w:val="nil"/>
              <w:bottom w:val="single" w:sz="4" w:space="0" w:color="auto"/>
              <w:right w:val="single" w:sz="4" w:space="0" w:color="auto"/>
            </w:tcBorders>
            <w:shd w:val="clear" w:color="auto" w:fill="auto"/>
            <w:vAlign w:val="center"/>
          </w:tcPr>
          <w:p w14:paraId="47FACF8D" w14:textId="77777777" w:rsidR="00C17D82" w:rsidRPr="0095670E" w:rsidRDefault="00C17D82" w:rsidP="00CA1F5B">
            <w:pPr>
              <w:jc w:val="right"/>
              <w:rPr>
                <w:rFonts w:ascii="Arial" w:hAnsi="Arial" w:cs="Arial"/>
                <w:szCs w:val="24"/>
                <w:lang w:eastAsia="en-GB"/>
              </w:rPr>
            </w:pPr>
            <w:r>
              <w:rPr>
                <w:rFonts w:ascii="Arial" w:hAnsi="Arial" w:cs="Arial"/>
              </w:rPr>
              <w:t>1.1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92A89" w14:textId="77777777" w:rsidR="00C17D82" w:rsidRPr="0095670E" w:rsidRDefault="00C17D82" w:rsidP="00CA1F5B">
            <w:pPr>
              <w:jc w:val="right"/>
              <w:rPr>
                <w:rFonts w:ascii="Arial" w:hAnsi="Arial" w:cs="Arial"/>
                <w:szCs w:val="24"/>
                <w:lang w:eastAsia="en-GB"/>
              </w:rPr>
            </w:pPr>
            <w:r>
              <w:rPr>
                <w:rFonts w:ascii="Arial" w:hAnsi="Arial" w:cs="Arial"/>
              </w:rPr>
              <w:t>0.6</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D391"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16A7" w14:textId="77777777" w:rsidR="00C17D82" w:rsidRPr="0095670E" w:rsidRDefault="00C17D82" w:rsidP="00CA1F5B">
            <w:pPr>
              <w:jc w:val="right"/>
              <w:rPr>
                <w:rFonts w:ascii="Arial" w:hAnsi="Arial" w:cs="Arial"/>
                <w:szCs w:val="24"/>
                <w:lang w:eastAsia="en-GB"/>
              </w:rPr>
            </w:pPr>
            <w:r>
              <w:rPr>
                <w:rFonts w:ascii="Arial" w:hAnsi="Arial" w:cs="Arial"/>
              </w:rPr>
              <w:t>0.0</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C842" w14:textId="77777777" w:rsidR="00C17D82" w:rsidRPr="0095670E" w:rsidRDefault="00C17D82" w:rsidP="00CA1F5B">
            <w:pPr>
              <w:jc w:val="right"/>
              <w:rPr>
                <w:rFonts w:ascii="Arial" w:hAnsi="Arial" w:cs="Arial"/>
                <w:szCs w:val="24"/>
                <w:lang w:eastAsia="en-GB"/>
              </w:rPr>
            </w:pPr>
            <w:r>
              <w:rPr>
                <w:rFonts w:ascii="Arial" w:hAnsi="Arial" w:cs="Arial"/>
              </w:rPr>
              <w:t>0.0</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3950" w14:textId="77777777" w:rsidR="00C17D82" w:rsidRPr="0095670E" w:rsidRDefault="00C17D82" w:rsidP="00CA1F5B">
            <w:pPr>
              <w:jc w:val="right"/>
              <w:rPr>
                <w:rFonts w:ascii="Arial" w:hAnsi="Arial" w:cs="Arial"/>
                <w:szCs w:val="24"/>
                <w:lang w:eastAsia="en-GB"/>
              </w:rPr>
            </w:pPr>
            <w:r>
              <w:rPr>
                <w:rFonts w:ascii="Arial" w:hAnsi="Arial" w:cs="Arial"/>
              </w:rPr>
              <w:t>0.0</w:t>
            </w:r>
          </w:p>
        </w:tc>
      </w:tr>
      <w:tr w:rsidR="00C17D82" w:rsidRPr="0095670E" w14:paraId="7774933B" w14:textId="77777777" w:rsidTr="005A0701">
        <w:trPr>
          <w:trHeight w:val="1200"/>
        </w:trPr>
        <w:tc>
          <w:tcPr>
            <w:tcW w:w="5516" w:type="dxa"/>
            <w:shd w:val="clear" w:color="auto" w:fill="auto"/>
            <w:vAlign w:val="center"/>
            <w:hideMark/>
          </w:tcPr>
          <w:p w14:paraId="58B717EB"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Insurance - The maximum insurance costs to the Authority are £0.7m - together with the provision this reserve will meet 1 year's maximum claims.</w:t>
            </w:r>
          </w:p>
        </w:tc>
        <w:tc>
          <w:tcPr>
            <w:tcW w:w="1332" w:type="dxa"/>
            <w:tcBorders>
              <w:top w:val="single" w:sz="4" w:space="0" w:color="auto"/>
              <w:left w:val="nil"/>
              <w:bottom w:val="single" w:sz="4" w:space="0" w:color="auto"/>
              <w:right w:val="single" w:sz="4" w:space="0" w:color="auto"/>
            </w:tcBorders>
            <w:shd w:val="clear" w:color="auto" w:fill="auto"/>
            <w:vAlign w:val="center"/>
          </w:tcPr>
          <w:p w14:paraId="031D683E" w14:textId="77777777" w:rsidR="00C17D82" w:rsidRPr="0095670E" w:rsidRDefault="00C17D82" w:rsidP="00CA1F5B">
            <w:pPr>
              <w:jc w:val="right"/>
              <w:rPr>
                <w:rFonts w:ascii="Arial" w:hAnsi="Arial" w:cs="Arial"/>
                <w:szCs w:val="24"/>
                <w:lang w:eastAsia="en-GB"/>
              </w:rPr>
            </w:pPr>
            <w:r>
              <w:rPr>
                <w:rFonts w:ascii="Arial" w:hAnsi="Arial" w:cs="Arial"/>
              </w:rPr>
              <w:t>0.4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4CC25" w14:textId="77777777" w:rsidR="00C17D82" w:rsidRPr="0095670E" w:rsidRDefault="00C17D82" w:rsidP="00CA1F5B">
            <w:pPr>
              <w:jc w:val="right"/>
              <w:rPr>
                <w:rFonts w:ascii="Arial" w:hAnsi="Arial" w:cs="Arial"/>
                <w:szCs w:val="24"/>
                <w:lang w:eastAsia="en-GB"/>
              </w:rPr>
            </w:pPr>
            <w:r>
              <w:rPr>
                <w:rFonts w:ascii="Arial" w:hAnsi="Arial" w:cs="Arial"/>
              </w:rPr>
              <w:t>0.4</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87511" w14:textId="77777777" w:rsidR="00C17D82" w:rsidRPr="0095670E" w:rsidRDefault="00C17D82" w:rsidP="00CA1F5B">
            <w:pPr>
              <w:jc w:val="right"/>
              <w:rPr>
                <w:rFonts w:ascii="Arial" w:hAnsi="Arial" w:cs="Arial"/>
                <w:szCs w:val="24"/>
                <w:lang w:eastAsia="en-GB"/>
              </w:rPr>
            </w:pPr>
            <w:r>
              <w:rPr>
                <w:rFonts w:ascii="Arial" w:hAnsi="Arial" w:cs="Arial"/>
              </w:rPr>
              <w:t>0.4</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004E9" w14:textId="77777777" w:rsidR="00C17D82" w:rsidRPr="0095670E" w:rsidRDefault="00C17D82" w:rsidP="00CA1F5B">
            <w:pPr>
              <w:jc w:val="right"/>
              <w:rPr>
                <w:rFonts w:ascii="Arial" w:hAnsi="Arial" w:cs="Arial"/>
                <w:szCs w:val="24"/>
                <w:lang w:eastAsia="en-GB"/>
              </w:rPr>
            </w:pPr>
            <w:r>
              <w:rPr>
                <w:rFonts w:ascii="Arial" w:hAnsi="Arial" w:cs="Arial"/>
              </w:rPr>
              <w:t>0.4</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942AC" w14:textId="77777777" w:rsidR="00C17D82" w:rsidRPr="0095670E" w:rsidRDefault="00C17D82" w:rsidP="00CA1F5B">
            <w:pPr>
              <w:jc w:val="right"/>
              <w:rPr>
                <w:rFonts w:ascii="Arial" w:hAnsi="Arial" w:cs="Arial"/>
                <w:szCs w:val="24"/>
                <w:lang w:eastAsia="en-GB"/>
              </w:rPr>
            </w:pPr>
            <w:r>
              <w:rPr>
                <w:rFonts w:ascii="Arial" w:hAnsi="Arial" w:cs="Arial"/>
              </w:rPr>
              <w:t>0.4</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FAD34" w14:textId="77777777" w:rsidR="00C17D82" w:rsidRPr="0095670E" w:rsidRDefault="00C17D82" w:rsidP="00CA1F5B">
            <w:pPr>
              <w:jc w:val="right"/>
              <w:rPr>
                <w:rFonts w:ascii="Arial" w:hAnsi="Arial" w:cs="Arial"/>
                <w:szCs w:val="24"/>
                <w:lang w:eastAsia="en-GB"/>
              </w:rPr>
            </w:pPr>
            <w:r>
              <w:rPr>
                <w:rFonts w:ascii="Arial" w:hAnsi="Arial" w:cs="Arial"/>
              </w:rPr>
              <w:t>0.4</w:t>
            </w:r>
          </w:p>
        </w:tc>
      </w:tr>
      <w:tr w:rsidR="00C17D82" w:rsidRPr="0095670E" w14:paraId="5B2DD2F1" w14:textId="77777777" w:rsidTr="005A0701">
        <w:trPr>
          <w:trHeight w:val="900"/>
        </w:trPr>
        <w:tc>
          <w:tcPr>
            <w:tcW w:w="5516" w:type="dxa"/>
            <w:shd w:val="clear" w:color="auto" w:fill="auto"/>
            <w:vAlign w:val="center"/>
            <w:hideMark/>
          </w:tcPr>
          <w:p w14:paraId="4E413B7D"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 xml:space="preserve">Princes Trust - to manage funding timing differences and mitigate the risk of loss of funding in the short term. </w:t>
            </w:r>
          </w:p>
        </w:tc>
        <w:tc>
          <w:tcPr>
            <w:tcW w:w="1332" w:type="dxa"/>
            <w:tcBorders>
              <w:top w:val="single" w:sz="4" w:space="0" w:color="auto"/>
              <w:left w:val="nil"/>
              <w:bottom w:val="single" w:sz="4" w:space="0" w:color="auto"/>
              <w:right w:val="single" w:sz="4" w:space="0" w:color="auto"/>
            </w:tcBorders>
            <w:shd w:val="clear" w:color="auto" w:fill="auto"/>
            <w:vAlign w:val="center"/>
          </w:tcPr>
          <w:p w14:paraId="37940A65"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F9251"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0E28"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5017B"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6835B"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A1253" w14:textId="77777777" w:rsidR="00C17D82" w:rsidRPr="0095670E" w:rsidRDefault="00C17D82" w:rsidP="00CA1F5B">
            <w:pPr>
              <w:jc w:val="right"/>
              <w:rPr>
                <w:rFonts w:ascii="Arial" w:hAnsi="Arial" w:cs="Arial"/>
                <w:szCs w:val="24"/>
                <w:lang w:eastAsia="en-GB"/>
              </w:rPr>
            </w:pPr>
            <w:r>
              <w:rPr>
                <w:rFonts w:ascii="Arial" w:hAnsi="Arial" w:cs="Arial"/>
              </w:rPr>
              <w:t>0.3</w:t>
            </w:r>
          </w:p>
        </w:tc>
      </w:tr>
      <w:tr w:rsidR="00C17D82" w:rsidRPr="0095670E" w14:paraId="10F4D600" w14:textId="77777777" w:rsidTr="005A0701">
        <w:trPr>
          <w:trHeight w:val="1200"/>
        </w:trPr>
        <w:tc>
          <w:tcPr>
            <w:tcW w:w="5516" w:type="dxa"/>
            <w:shd w:val="clear" w:color="auto" w:fill="auto"/>
            <w:vAlign w:val="center"/>
            <w:hideMark/>
          </w:tcPr>
          <w:p w14:paraId="08024AC2" w14:textId="77777777" w:rsidR="00C17D82" w:rsidRPr="0095670E" w:rsidRDefault="00C17D82" w:rsidP="00CA1F5B">
            <w:pPr>
              <w:rPr>
                <w:rFonts w:ascii="Arial" w:hAnsi="Arial" w:cs="Arial"/>
                <w:szCs w:val="24"/>
                <w:lang w:eastAsia="en-GB"/>
              </w:rPr>
            </w:pPr>
            <w:r w:rsidRPr="0095670E">
              <w:rPr>
                <w:rFonts w:ascii="Arial" w:hAnsi="Arial" w:cs="Arial"/>
                <w:szCs w:val="24"/>
                <w:lang w:eastAsia="en-GB"/>
              </w:rPr>
              <w:t>Innovation Fund - to meet the costs of new initiatives / developments which improve service delivery of fire fighter safety subject to approval of the Executive Board.</w:t>
            </w:r>
          </w:p>
        </w:tc>
        <w:tc>
          <w:tcPr>
            <w:tcW w:w="1332" w:type="dxa"/>
            <w:tcBorders>
              <w:top w:val="single" w:sz="4" w:space="0" w:color="auto"/>
              <w:left w:val="nil"/>
              <w:bottom w:val="single" w:sz="4" w:space="0" w:color="auto"/>
              <w:right w:val="single" w:sz="4" w:space="0" w:color="auto"/>
            </w:tcBorders>
            <w:shd w:val="clear" w:color="auto" w:fill="auto"/>
            <w:vAlign w:val="center"/>
          </w:tcPr>
          <w:p w14:paraId="5AFABAD5" w14:textId="77777777" w:rsidR="00C17D82" w:rsidRPr="0095670E" w:rsidRDefault="00C17D82" w:rsidP="00CA1F5B">
            <w:pPr>
              <w:jc w:val="right"/>
              <w:rPr>
                <w:rFonts w:ascii="Arial" w:hAnsi="Arial" w:cs="Arial"/>
                <w:szCs w:val="24"/>
                <w:lang w:eastAsia="en-GB"/>
              </w:rPr>
            </w:pPr>
            <w:r>
              <w:rPr>
                <w:rFonts w:ascii="Arial" w:hAnsi="Arial" w:cs="Arial"/>
              </w:rPr>
              <w:t>0.7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6CB9" w14:textId="77777777" w:rsidR="00C17D82" w:rsidRPr="0095670E" w:rsidRDefault="00C17D82" w:rsidP="00CA1F5B">
            <w:pPr>
              <w:jc w:val="right"/>
              <w:rPr>
                <w:rFonts w:ascii="Arial" w:hAnsi="Arial" w:cs="Arial"/>
                <w:szCs w:val="24"/>
                <w:lang w:eastAsia="en-GB"/>
              </w:rPr>
            </w:pPr>
            <w:r>
              <w:rPr>
                <w:rFonts w:ascii="Arial" w:hAnsi="Arial" w:cs="Arial"/>
              </w:rPr>
              <w:t>0.3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DCBE5" w14:textId="77777777" w:rsidR="00C17D82" w:rsidRPr="0095670E" w:rsidRDefault="00C17D82" w:rsidP="00CA1F5B">
            <w:pPr>
              <w:jc w:val="right"/>
              <w:rPr>
                <w:rFonts w:ascii="Arial" w:hAnsi="Arial" w:cs="Arial"/>
                <w:szCs w:val="24"/>
                <w:lang w:eastAsia="en-GB"/>
              </w:rPr>
            </w:pPr>
            <w:r>
              <w:rPr>
                <w:rFonts w:ascii="Arial" w:hAnsi="Arial" w:cs="Arial"/>
              </w:rPr>
              <w:t>0.2</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41677" w14:textId="77777777" w:rsidR="00C17D82" w:rsidRPr="0095670E" w:rsidRDefault="00C17D82" w:rsidP="00CA1F5B">
            <w:pPr>
              <w:jc w:val="right"/>
              <w:rPr>
                <w:rFonts w:ascii="Arial" w:hAnsi="Arial" w:cs="Arial"/>
                <w:szCs w:val="24"/>
                <w:lang w:eastAsia="en-GB"/>
              </w:rPr>
            </w:pPr>
            <w:r>
              <w:rPr>
                <w:rFonts w:ascii="Arial" w:hAnsi="Arial" w:cs="Arial"/>
              </w:rPr>
              <w:t>0.1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E99E4" w14:textId="77777777" w:rsidR="00C17D82" w:rsidRPr="0095670E" w:rsidRDefault="00C17D82" w:rsidP="00CA1F5B">
            <w:pPr>
              <w:jc w:val="right"/>
              <w:rPr>
                <w:rFonts w:ascii="Arial" w:hAnsi="Arial" w:cs="Arial"/>
                <w:szCs w:val="24"/>
                <w:lang w:eastAsia="en-GB"/>
              </w:rPr>
            </w:pPr>
            <w:r>
              <w:rPr>
                <w:rFonts w:ascii="Arial" w:hAnsi="Arial" w:cs="Arial"/>
              </w:rPr>
              <w:t>0.0</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7E52" w14:textId="77777777" w:rsidR="00C17D82" w:rsidRPr="0095670E" w:rsidRDefault="00C17D82" w:rsidP="00CA1F5B">
            <w:pPr>
              <w:jc w:val="right"/>
              <w:rPr>
                <w:rFonts w:ascii="Arial" w:hAnsi="Arial" w:cs="Arial"/>
                <w:szCs w:val="24"/>
                <w:lang w:eastAsia="en-GB"/>
              </w:rPr>
            </w:pPr>
            <w:r>
              <w:rPr>
                <w:rFonts w:ascii="Arial" w:hAnsi="Arial" w:cs="Arial"/>
              </w:rPr>
              <w:t>0.0</w:t>
            </w:r>
          </w:p>
        </w:tc>
      </w:tr>
      <w:tr w:rsidR="00C17D82" w:rsidRPr="005A0701" w14:paraId="061A3B86" w14:textId="77777777" w:rsidTr="005A0701">
        <w:trPr>
          <w:trHeight w:val="315"/>
        </w:trPr>
        <w:tc>
          <w:tcPr>
            <w:tcW w:w="5516" w:type="dxa"/>
            <w:shd w:val="clear" w:color="auto" w:fill="auto"/>
            <w:vAlign w:val="center"/>
            <w:hideMark/>
          </w:tcPr>
          <w:p w14:paraId="1BC2790C" w14:textId="77777777" w:rsidR="00C17D82" w:rsidRPr="005A0701" w:rsidRDefault="00C17D82" w:rsidP="00CA1F5B">
            <w:pPr>
              <w:rPr>
                <w:rFonts w:ascii="Arial" w:hAnsi="Arial" w:cs="Arial"/>
                <w:b/>
                <w:bCs/>
                <w:szCs w:val="24"/>
                <w:lang w:eastAsia="en-GB"/>
              </w:rPr>
            </w:pPr>
            <w:r w:rsidRPr="005A0701">
              <w:rPr>
                <w:rFonts w:ascii="Arial" w:hAnsi="Arial" w:cs="Arial"/>
                <w:b/>
                <w:bCs/>
                <w:szCs w:val="24"/>
                <w:lang w:eastAsia="en-GB"/>
              </w:rPr>
              <w:t xml:space="preserve">Total </w:t>
            </w:r>
          </w:p>
        </w:tc>
        <w:tc>
          <w:tcPr>
            <w:tcW w:w="1332" w:type="dxa"/>
            <w:tcBorders>
              <w:top w:val="single" w:sz="4" w:space="0" w:color="auto"/>
              <w:left w:val="nil"/>
              <w:bottom w:val="single" w:sz="4" w:space="0" w:color="auto"/>
              <w:right w:val="single" w:sz="4" w:space="0" w:color="auto"/>
            </w:tcBorders>
            <w:shd w:val="clear" w:color="auto" w:fill="auto"/>
            <w:vAlign w:val="center"/>
          </w:tcPr>
          <w:p w14:paraId="0EAA79EF" w14:textId="77777777" w:rsidR="00C17D82" w:rsidRPr="005A0701" w:rsidRDefault="00C17D82" w:rsidP="00CA1F5B">
            <w:pPr>
              <w:jc w:val="right"/>
              <w:rPr>
                <w:rFonts w:ascii="Arial" w:hAnsi="Arial" w:cs="Arial"/>
                <w:b/>
                <w:bCs/>
                <w:szCs w:val="24"/>
                <w:lang w:eastAsia="en-GB"/>
              </w:rPr>
            </w:pPr>
            <w:r>
              <w:rPr>
                <w:rFonts w:ascii="Arial" w:hAnsi="Arial" w:cs="Arial"/>
                <w:b/>
                <w:bCs/>
              </w:rPr>
              <w:t>29.2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47E9F" w14:textId="77777777" w:rsidR="00C17D82" w:rsidRPr="005A0701" w:rsidRDefault="00C17D82" w:rsidP="00CA1F5B">
            <w:pPr>
              <w:jc w:val="right"/>
              <w:rPr>
                <w:rFonts w:ascii="Arial" w:hAnsi="Arial" w:cs="Arial"/>
                <w:b/>
                <w:bCs/>
                <w:szCs w:val="24"/>
                <w:lang w:eastAsia="en-GB"/>
              </w:rPr>
            </w:pPr>
            <w:r>
              <w:rPr>
                <w:rFonts w:ascii="Arial" w:hAnsi="Arial" w:cs="Arial"/>
                <w:b/>
                <w:bCs/>
              </w:rPr>
              <w:t>18.2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6776" w14:textId="77777777" w:rsidR="00C17D82" w:rsidRPr="005A0701" w:rsidRDefault="00C17D82" w:rsidP="00CA1F5B">
            <w:pPr>
              <w:jc w:val="right"/>
              <w:rPr>
                <w:rFonts w:ascii="Arial" w:hAnsi="Arial" w:cs="Arial"/>
                <w:b/>
                <w:bCs/>
                <w:szCs w:val="24"/>
                <w:lang w:eastAsia="en-GB"/>
              </w:rPr>
            </w:pPr>
            <w:r>
              <w:rPr>
                <w:rFonts w:ascii="Arial" w:hAnsi="Arial" w:cs="Arial"/>
                <w:b/>
                <w:bCs/>
              </w:rPr>
              <w:t>10.7</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0190" w14:textId="77777777" w:rsidR="00C17D82" w:rsidRPr="005A0701" w:rsidRDefault="00C17D82" w:rsidP="00CA1F5B">
            <w:pPr>
              <w:jc w:val="right"/>
              <w:rPr>
                <w:rFonts w:ascii="Arial" w:hAnsi="Arial" w:cs="Arial"/>
                <w:b/>
                <w:bCs/>
                <w:szCs w:val="24"/>
                <w:lang w:eastAsia="en-GB"/>
              </w:rPr>
            </w:pPr>
            <w:r>
              <w:rPr>
                <w:rFonts w:ascii="Arial" w:hAnsi="Arial" w:cs="Arial"/>
                <w:b/>
                <w:bCs/>
              </w:rPr>
              <w:t>9.7</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90081" w14:textId="77777777" w:rsidR="00C17D82" w:rsidRPr="005A0701" w:rsidRDefault="00C17D82" w:rsidP="00CA1F5B">
            <w:pPr>
              <w:jc w:val="right"/>
              <w:rPr>
                <w:rFonts w:ascii="Arial" w:hAnsi="Arial" w:cs="Arial"/>
                <w:b/>
                <w:bCs/>
                <w:szCs w:val="24"/>
                <w:lang w:eastAsia="en-GB"/>
              </w:rPr>
            </w:pPr>
            <w:r>
              <w:rPr>
                <w:rFonts w:ascii="Arial" w:hAnsi="Arial" w:cs="Arial"/>
                <w:b/>
                <w:bCs/>
              </w:rPr>
              <w:t>9.1</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50CD6" w14:textId="77777777" w:rsidR="00C17D82" w:rsidRPr="005A0701" w:rsidRDefault="00C17D82" w:rsidP="00CA1F5B">
            <w:pPr>
              <w:jc w:val="right"/>
              <w:rPr>
                <w:rFonts w:ascii="Arial" w:hAnsi="Arial" w:cs="Arial"/>
                <w:b/>
                <w:bCs/>
                <w:szCs w:val="24"/>
                <w:lang w:eastAsia="en-GB"/>
              </w:rPr>
            </w:pPr>
            <w:r>
              <w:rPr>
                <w:rFonts w:ascii="Arial" w:hAnsi="Arial" w:cs="Arial"/>
                <w:b/>
                <w:bCs/>
              </w:rPr>
              <w:t>9.1</w:t>
            </w:r>
          </w:p>
        </w:tc>
      </w:tr>
    </w:tbl>
    <w:p w14:paraId="76A513E6" w14:textId="77777777" w:rsidR="005266B8" w:rsidRDefault="005266B8" w:rsidP="00F71230">
      <w:pPr>
        <w:spacing w:before="240" w:after="120"/>
        <w:rPr>
          <w:rFonts w:ascii="Arial" w:hAnsi="Arial"/>
          <w:b/>
          <w:bCs/>
          <w:i/>
          <w:iCs/>
          <w:sz w:val="28"/>
          <w:szCs w:val="28"/>
        </w:rPr>
        <w:sectPr w:rsidR="005266B8" w:rsidSect="005266B8">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pPr>
    </w:p>
    <w:p w14:paraId="376A25A0" w14:textId="77777777" w:rsidR="00C17D82" w:rsidRPr="005A0701" w:rsidRDefault="00C17D82" w:rsidP="00F71230">
      <w:pPr>
        <w:spacing w:before="240" w:after="120"/>
        <w:rPr>
          <w:rFonts w:ascii="Arial" w:hAnsi="Arial"/>
          <w:b/>
          <w:bCs/>
          <w:i/>
          <w:iCs/>
          <w:sz w:val="28"/>
          <w:szCs w:val="28"/>
        </w:rPr>
      </w:pPr>
    </w:p>
    <w:p w14:paraId="4D149939" w14:textId="77777777" w:rsidR="00C17D82" w:rsidRPr="00C17D82" w:rsidRDefault="00C17D82" w:rsidP="00B41966">
      <w:pPr>
        <w:spacing w:before="240" w:after="120"/>
        <w:jc w:val="right"/>
        <w:rPr>
          <w:rFonts w:ascii="Arial" w:hAnsi="Arial" w:cs="Arial"/>
          <w:b/>
          <w:szCs w:val="24"/>
        </w:rPr>
      </w:pPr>
      <w:r w:rsidRPr="00C17D82">
        <w:rPr>
          <w:rFonts w:ascii="Arial" w:hAnsi="Arial" w:cs="Arial"/>
          <w:b/>
          <w:szCs w:val="24"/>
        </w:rPr>
        <w:t>Appendix D</w:t>
      </w:r>
    </w:p>
    <w:p w14:paraId="2A470370" w14:textId="77777777" w:rsidR="00C17D82" w:rsidRPr="00C17D82" w:rsidRDefault="00C17D82" w:rsidP="000D0A7A">
      <w:pPr>
        <w:spacing w:line="250" w:lineRule="auto"/>
        <w:ind w:left="29"/>
        <w:rPr>
          <w:rFonts w:ascii="Arial" w:hAnsi="Arial" w:cs="Arial"/>
          <w:szCs w:val="24"/>
        </w:rPr>
      </w:pPr>
    </w:p>
    <w:p w14:paraId="015BB077" w14:textId="77777777" w:rsidR="00C17D82" w:rsidRPr="00C17D82" w:rsidRDefault="00C17D82" w:rsidP="00B41966">
      <w:pPr>
        <w:rPr>
          <w:rFonts w:ascii="Arial" w:hAnsi="Arial" w:cs="Arial"/>
          <w:b/>
          <w:szCs w:val="24"/>
        </w:rPr>
      </w:pPr>
      <w:r w:rsidRPr="00C17D82">
        <w:rPr>
          <w:rFonts w:ascii="Arial" w:hAnsi="Arial" w:cs="Arial"/>
          <w:b/>
          <w:szCs w:val="24"/>
        </w:rPr>
        <w:t>Treasury Management Strategy</w:t>
      </w:r>
    </w:p>
    <w:p w14:paraId="358D715D" w14:textId="77777777" w:rsidR="00C17D82" w:rsidRPr="00C17D82" w:rsidRDefault="00C17D82" w:rsidP="00B41966">
      <w:pPr>
        <w:rPr>
          <w:rFonts w:ascii="Arial" w:hAnsi="Arial" w:cs="Arial"/>
          <w:szCs w:val="24"/>
        </w:rPr>
      </w:pPr>
      <w:r w:rsidRPr="00C17D82">
        <w:rPr>
          <w:rFonts w:ascii="Arial" w:hAnsi="Arial" w:cs="Arial"/>
          <w:b/>
          <w:szCs w:val="24"/>
        </w:rPr>
        <w:t xml:space="preserve">Information </w:t>
      </w:r>
    </w:p>
    <w:p w14:paraId="0E42D61B" w14:textId="77777777" w:rsidR="00C17D82" w:rsidRPr="00C17D82" w:rsidRDefault="00C17D82" w:rsidP="00B41966">
      <w:pPr>
        <w:spacing w:line="259" w:lineRule="auto"/>
        <w:ind w:left="34"/>
        <w:rPr>
          <w:rFonts w:ascii="Arial" w:hAnsi="Arial" w:cs="Arial"/>
          <w:szCs w:val="24"/>
        </w:rPr>
      </w:pPr>
    </w:p>
    <w:p w14:paraId="351C762B" w14:textId="77777777" w:rsidR="00C17D82" w:rsidRPr="00C17D82" w:rsidRDefault="00C17D82" w:rsidP="00B41966">
      <w:pPr>
        <w:ind w:left="29" w:right="53"/>
        <w:rPr>
          <w:rFonts w:ascii="Arial" w:hAnsi="Arial" w:cs="Arial"/>
          <w:szCs w:val="24"/>
        </w:rPr>
      </w:pPr>
      <w:r w:rsidRPr="00C17D82">
        <w:rPr>
          <w:rFonts w:ascii="Arial" w:hAnsi="Arial" w:cs="Arial"/>
          <w:szCs w:val="24"/>
        </w:rPr>
        <w:t>Treasury Management is defined as “The management of the Authority’s investments and cash flows, its banking, money market and capital market transactions; the effective control of the risks associated with those activities; and the pursuit of optimum performance consistent with those risks.”</w:t>
      </w:r>
    </w:p>
    <w:p w14:paraId="1FEE177B" w14:textId="77777777" w:rsidR="00C17D82" w:rsidRPr="00C17D82" w:rsidRDefault="00C17D82" w:rsidP="00B41966">
      <w:pPr>
        <w:ind w:left="29" w:right="53"/>
        <w:rPr>
          <w:rFonts w:ascii="Arial" w:hAnsi="Arial" w:cs="Arial"/>
          <w:szCs w:val="24"/>
        </w:rPr>
      </w:pPr>
    </w:p>
    <w:p w14:paraId="0C078495" w14:textId="77777777" w:rsidR="00C17D82" w:rsidRPr="00C17D82" w:rsidRDefault="00C17D82" w:rsidP="00B41966">
      <w:pPr>
        <w:ind w:left="29" w:right="53"/>
        <w:rPr>
          <w:rFonts w:ascii="Arial" w:hAnsi="Arial" w:cs="Arial"/>
          <w:szCs w:val="24"/>
        </w:rPr>
      </w:pPr>
      <w:r w:rsidRPr="00C17D82">
        <w:rPr>
          <w:rFonts w:ascii="Arial" w:hAnsi="Arial" w:cs="Arial"/>
          <w:szCs w:val="24"/>
        </w:rPr>
        <w:t>The Local Government Act 2003 (the Act) and supporting Regulations requires the Authority to “have regard to” the CIPFA Prudential Code and the CIPFA Treasury Management Code of Practice to set Prudential and Treasury Indicators for the next three years to ensure that the Authority’s capital investment plans are affordable, prudent and sustainable. The Code also requires the Authority to approve a treasury management strategy before the start of each financial year. The authority also adheres to investment guidance issued by the then Ministry of Housing, Communities and Local Government (MHCLG).</w:t>
      </w:r>
    </w:p>
    <w:p w14:paraId="1775F2C4" w14:textId="77777777" w:rsidR="00C17D82" w:rsidRPr="00C17D82" w:rsidRDefault="00C17D82" w:rsidP="00B41966">
      <w:pPr>
        <w:ind w:left="29" w:right="53"/>
        <w:rPr>
          <w:rFonts w:ascii="Arial" w:hAnsi="Arial" w:cs="Arial"/>
          <w:szCs w:val="24"/>
        </w:rPr>
      </w:pPr>
    </w:p>
    <w:p w14:paraId="22EF0A3E" w14:textId="77777777" w:rsidR="00C17D82" w:rsidRPr="00C17D82" w:rsidRDefault="00C17D82" w:rsidP="00B41966">
      <w:pPr>
        <w:ind w:left="29" w:right="53"/>
        <w:rPr>
          <w:rFonts w:ascii="Arial" w:hAnsi="Arial" w:cs="Arial"/>
          <w:szCs w:val="24"/>
        </w:rPr>
      </w:pPr>
      <w:r w:rsidRPr="00C17D82">
        <w:rPr>
          <w:rFonts w:ascii="Arial" w:hAnsi="Arial" w:cs="Arial"/>
          <w:szCs w:val="24"/>
        </w:rPr>
        <w:t>The definition of investments in the codes is wide raging and includes non-treasury investments for example loans to third parties and the holding of property to make a profit. Where these are held a separate strategy is required. However, it is not considered that the Combined Fire Authority hold any such assets, and it does not propose to engage in any such investments in 2025/26.</w:t>
      </w:r>
    </w:p>
    <w:p w14:paraId="4768B97A" w14:textId="77777777" w:rsidR="00C17D82" w:rsidRPr="00C17D82" w:rsidRDefault="00C17D82" w:rsidP="00B41966">
      <w:pPr>
        <w:ind w:left="29" w:right="53"/>
        <w:rPr>
          <w:rFonts w:ascii="Arial" w:hAnsi="Arial" w:cs="Arial"/>
          <w:szCs w:val="24"/>
        </w:rPr>
      </w:pPr>
    </w:p>
    <w:p w14:paraId="17A045B4" w14:textId="77777777" w:rsidR="00C17D82" w:rsidRPr="00C17D82" w:rsidRDefault="00C17D82" w:rsidP="00B41966">
      <w:pPr>
        <w:rPr>
          <w:rFonts w:ascii="Arial" w:hAnsi="Arial" w:cs="Arial"/>
          <w:szCs w:val="24"/>
        </w:rPr>
      </w:pPr>
      <w:r w:rsidRPr="00C17D82">
        <w:rPr>
          <w:rFonts w:ascii="Arial" w:hAnsi="Arial" w:cs="Arial"/>
          <w:b/>
          <w:szCs w:val="24"/>
        </w:rPr>
        <w:t>Treasury Management Strategy for 2025/26</w:t>
      </w:r>
    </w:p>
    <w:p w14:paraId="7A9ECFB2" w14:textId="77777777" w:rsidR="00C17D82" w:rsidRPr="00C17D82" w:rsidRDefault="00C17D82" w:rsidP="00B41966">
      <w:pPr>
        <w:spacing w:line="259" w:lineRule="auto"/>
        <w:ind w:left="34"/>
        <w:rPr>
          <w:rFonts w:ascii="Arial" w:hAnsi="Arial" w:cs="Arial"/>
          <w:szCs w:val="24"/>
        </w:rPr>
      </w:pPr>
    </w:p>
    <w:p w14:paraId="3992E08B" w14:textId="77777777" w:rsidR="00C17D82" w:rsidRPr="00C17D82" w:rsidRDefault="00C17D82" w:rsidP="00B41966">
      <w:pPr>
        <w:ind w:left="29" w:right="53"/>
        <w:rPr>
          <w:rFonts w:ascii="Arial" w:hAnsi="Arial" w:cs="Arial"/>
          <w:szCs w:val="24"/>
        </w:rPr>
      </w:pPr>
      <w:r w:rsidRPr="00C17D82">
        <w:rPr>
          <w:rFonts w:ascii="Arial" w:hAnsi="Arial" w:cs="Arial"/>
          <w:szCs w:val="24"/>
        </w:rPr>
        <w:t>This Strategy Statement has been prepared in accordance with the CIPFA Treasury Management Code of Practice.  Accordingly, the Lancashire Combined Fire Authority's Treasury Management Strategy will be approved by the full Authority, and there will also be a mid-</w:t>
      </w:r>
      <w:proofErr w:type="gramStart"/>
      <w:r w:rsidRPr="00C17D82">
        <w:rPr>
          <w:rFonts w:ascii="Arial" w:hAnsi="Arial" w:cs="Arial"/>
          <w:szCs w:val="24"/>
        </w:rPr>
        <w:t>year</w:t>
      </w:r>
      <w:proofErr w:type="gramEnd"/>
      <w:r w:rsidRPr="00C17D82">
        <w:rPr>
          <w:rFonts w:ascii="Arial" w:hAnsi="Arial" w:cs="Arial"/>
          <w:szCs w:val="24"/>
        </w:rPr>
        <w:t xml:space="preserve"> and a year-end outturn report presented to the Resources Committee. In addition, there will be monitoring and review reports to members in the event of any changes to Treasury Management policies or practices.  The aim of these reporting arrangements is to ensure that those with ultimate responsibility for the treasury management function appreciate fully the implications of treasury management policies and activities, and that those implementing policies and executing transactions have properly fulfilled their responsibilities regarding delegation and reporting. </w:t>
      </w:r>
    </w:p>
    <w:p w14:paraId="52BCF828" w14:textId="77777777" w:rsidR="00C17D82" w:rsidRPr="00C17D82" w:rsidRDefault="00C17D82" w:rsidP="00B41966">
      <w:pPr>
        <w:spacing w:line="259" w:lineRule="auto"/>
        <w:ind w:left="34"/>
        <w:rPr>
          <w:rFonts w:ascii="Arial" w:hAnsi="Arial" w:cs="Arial"/>
          <w:szCs w:val="24"/>
        </w:rPr>
      </w:pPr>
    </w:p>
    <w:p w14:paraId="3688F132"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This Authority has adopted the following reporting arrangements in accordance with the requirements of the revised Code: - </w:t>
      </w:r>
    </w:p>
    <w:p w14:paraId="3E99DCC3" w14:textId="77777777" w:rsidR="00C17D82" w:rsidRPr="00C17D82" w:rsidRDefault="00C17D82" w:rsidP="001366E5">
      <w:pPr>
        <w:spacing w:line="259" w:lineRule="auto"/>
        <w:ind w:left="34"/>
        <w:rPr>
          <w:rFonts w:ascii="Arial" w:hAnsi="Arial" w:cs="Arial"/>
          <w:szCs w:val="24"/>
        </w:rPr>
      </w:pPr>
    </w:p>
    <w:p w14:paraId="2FB6F743" w14:textId="77777777" w:rsidR="00C17D82" w:rsidRPr="00C17D82" w:rsidRDefault="00C17D82" w:rsidP="00B41966">
      <w:pPr>
        <w:keepNext/>
        <w:rPr>
          <w:rFonts w:ascii="Arial" w:eastAsia="Calibri" w:hAnsi="Arial" w:cs="Arial"/>
          <w:i/>
          <w:iCs/>
          <w:color w:val="44546A"/>
          <w:szCs w:val="24"/>
        </w:rPr>
      </w:pPr>
      <w:r w:rsidRPr="00C17D82">
        <w:rPr>
          <w:rFonts w:ascii="Arial" w:eastAsia="Calibri" w:hAnsi="Arial" w:cs="Arial"/>
          <w:i/>
          <w:iCs/>
          <w:color w:val="44546A"/>
          <w:szCs w:val="24"/>
        </w:rPr>
        <w:lastRenderedPageBreak/>
        <w:t>Table 1 Treasury Management Reporting Arrangements</w:t>
      </w:r>
    </w:p>
    <w:tbl>
      <w:tblPr>
        <w:tblStyle w:val="TableGrid0"/>
        <w:tblW w:w="9242" w:type="dxa"/>
        <w:tblInd w:w="-74" w:type="dxa"/>
        <w:tblCellMar>
          <w:left w:w="108" w:type="dxa"/>
          <w:right w:w="41" w:type="dxa"/>
        </w:tblCellMar>
        <w:tblLook w:val="04A0" w:firstRow="1" w:lastRow="0" w:firstColumn="1" w:lastColumn="0" w:noHBand="0" w:noVBand="1"/>
      </w:tblPr>
      <w:tblGrid>
        <w:gridCol w:w="3665"/>
        <w:gridCol w:w="2390"/>
        <w:gridCol w:w="3187"/>
      </w:tblGrid>
      <w:tr w:rsidR="00C17D82" w:rsidRPr="00C17D82" w14:paraId="21BEF339" w14:textId="77777777" w:rsidTr="00B41966">
        <w:trPr>
          <w:trHeight w:val="468"/>
          <w:tblHeader/>
        </w:trPr>
        <w:tc>
          <w:tcPr>
            <w:tcW w:w="3665" w:type="dxa"/>
            <w:tcBorders>
              <w:top w:val="single" w:sz="4" w:space="0" w:color="005A83"/>
              <w:left w:val="single" w:sz="4" w:space="0" w:color="005A83"/>
              <w:bottom w:val="single" w:sz="4" w:space="0" w:color="005A83"/>
              <w:right w:val="single" w:sz="4" w:space="0" w:color="005A83"/>
            </w:tcBorders>
          </w:tcPr>
          <w:p w14:paraId="193897B0" w14:textId="77777777" w:rsidR="00C17D82" w:rsidRPr="00C17D82" w:rsidRDefault="00C17D82" w:rsidP="00B41966">
            <w:pPr>
              <w:spacing w:line="259" w:lineRule="auto"/>
              <w:rPr>
                <w:rFonts w:ascii="Arial" w:hAnsi="Arial" w:cs="Arial"/>
                <w:b/>
                <w:szCs w:val="24"/>
              </w:rPr>
            </w:pPr>
            <w:r w:rsidRPr="00C17D82">
              <w:rPr>
                <w:rFonts w:ascii="Arial" w:hAnsi="Arial" w:cs="Arial"/>
                <w:b/>
                <w:szCs w:val="24"/>
              </w:rPr>
              <w:t xml:space="preserve">Area of Responsibility </w:t>
            </w:r>
          </w:p>
        </w:tc>
        <w:tc>
          <w:tcPr>
            <w:tcW w:w="2390" w:type="dxa"/>
            <w:tcBorders>
              <w:top w:val="single" w:sz="4" w:space="0" w:color="005A83"/>
              <w:left w:val="single" w:sz="4" w:space="0" w:color="005A83"/>
              <w:bottom w:val="single" w:sz="4" w:space="0" w:color="005A83"/>
              <w:right w:val="single" w:sz="4" w:space="0" w:color="005A83"/>
            </w:tcBorders>
          </w:tcPr>
          <w:p w14:paraId="2B200651" w14:textId="77777777" w:rsidR="00C17D82" w:rsidRPr="00C17D82" w:rsidRDefault="00C17D82" w:rsidP="00B41966">
            <w:pPr>
              <w:spacing w:line="259" w:lineRule="auto"/>
              <w:rPr>
                <w:rFonts w:ascii="Arial" w:hAnsi="Arial" w:cs="Arial"/>
                <w:b/>
                <w:szCs w:val="24"/>
              </w:rPr>
            </w:pPr>
            <w:r w:rsidRPr="00C17D82">
              <w:rPr>
                <w:rFonts w:ascii="Arial" w:hAnsi="Arial" w:cs="Arial"/>
                <w:b/>
                <w:szCs w:val="24"/>
              </w:rPr>
              <w:t xml:space="preserve">Committee/ Officer </w:t>
            </w:r>
          </w:p>
        </w:tc>
        <w:tc>
          <w:tcPr>
            <w:tcW w:w="3187" w:type="dxa"/>
            <w:tcBorders>
              <w:top w:val="single" w:sz="4" w:space="0" w:color="005A83"/>
              <w:left w:val="single" w:sz="4" w:space="0" w:color="005A83"/>
              <w:bottom w:val="single" w:sz="4" w:space="0" w:color="005A83"/>
              <w:right w:val="single" w:sz="4" w:space="0" w:color="005A83"/>
            </w:tcBorders>
          </w:tcPr>
          <w:p w14:paraId="069F20EE" w14:textId="77777777" w:rsidR="00C17D82" w:rsidRPr="00C17D82" w:rsidRDefault="00C17D82" w:rsidP="00B41966">
            <w:pPr>
              <w:spacing w:line="259" w:lineRule="auto"/>
              <w:rPr>
                <w:rFonts w:ascii="Arial" w:hAnsi="Arial" w:cs="Arial"/>
                <w:b/>
                <w:szCs w:val="24"/>
              </w:rPr>
            </w:pPr>
            <w:r w:rsidRPr="00C17D82">
              <w:rPr>
                <w:rFonts w:ascii="Arial" w:hAnsi="Arial" w:cs="Arial"/>
                <w:b/>
                <w:szCs w:val="24"/>
              </w:rPr>
              <w:t xml:space="preserve">Frequency </w:t>
            </w:r>
          </w:p>
        </w:tc>
      </w:tr>
      <w:tr w:rsidR="00C17D82" w:rsidRPr="00C17D82" w14:paraId="75A9EC91" w14:textId="77777777" w:rsidTr="00B41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3665" w:type="dxa"/>
            <w:vAlign w:val="center"/>
          </w:tcPr>
          <w:p w14:paraId="3585A45B"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Treasury Management Policy Statement</w:t>
            </w:r>
          </w:p>
        </w:tc>
        <w:tc>
          <w:tcPr>
            <w:tcW w:w="2390" w:type="dxa"/>
            <w:vAlign w:val="center"/>
          </w:tcPr>
          <w:p w14:paraId="62FEF7F2"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Resources</w:t>
            </w:r>
          </w:p>
          <w:p w14:paraId="6A7AE44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Committee/Authority</w:t>
            </w:r>
          </w:p>
        </w:tc>
        <w:tc>
          <w:tcPr>
            <w:tcW w:w="3187" w:type="dxa"/>
            <w:vAlign w:val="center"/>
          </w:tcPr>
          <w:p w14:paraId="0794E1DF"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Annually</w:t>
            </w:r>
          </w:p>
        </w:tc>
      </w:tr>
      <w:tr w:rsidR="00C17D82" w:rsidRPr="00C17D82" w14:paraId="7B6CD967" w14:textId="77777777" w:rsidTr="00B41966">
        <w:trPr>
          <w:trHeight w:val="1114"/>
        </w:trPr>
        <w:tc>
          <w:tcPr>
            <w:tcW w:w="3665" w:type="dxa"/>
            <w:tcBorders>
              <w:top w:val="single" w:sz="4" w:space="0" w:color="005A83"/>
              <w:left w:val="single" w:sz="4" w:space="0" w:color="005A83"/>
              <w:bottom w:val="single" w:sz="4" w:space="0" w:color="005A83"/>
              <w:right w:val="single" w:sz="4" w:space="0" w:color="005A83"/>
            </w:tcBorders>
          </w:tcPr>
          <w:p w14:paraId="12E57E99"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Treasury Management Strategy</w:t>
            </w:r>
          </w:p>
          <w:p w14:paraId="09367A3E"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 Annual Investment Strategy / MRP policy – scrutiny and approval</w:t>
            </w:r>
          </w:p>
        </w:tc>
        <w:tc>
          <w:tcPr>
            <w:tcW w:w="2390" w:type="dxa"/>
            <w:tcBorders>
              <w:top w:val="single" w:sz="4" w:space="0" w:color="005A83"/>
              <w:left w:val="single" w:sz="4" w:space="0" w:color="005A83"/>
              <w:bottom w:val="single" w:sz="4" w:space="0" w:color="005A83"/>
              <w:right w:val="single" w:sz="4" w:space="0" w:color="005A83"/>
            </w:tcBorders>
          </w:tcPr>
          <w:p w14:paraId="09FC5B04" w14:textId="77777777" w:rsidR="00C17D82" w:rsidRPr="00C17D82" w:rsidRDefault="00C17D82" w:rsidP="00B41966">
            <w:pPr>
              <w:rPr>
                <w:rFonts w:ascii="Arial" w:hAnsi="Arial" w:cs="Arial"/>
                <w:szCs w:val="24"/>
              </w:rPr>
            </w:pPr>
            <w:r w:rsidRPr="00C17D82">
              <w:rPr>
                <w:rFonts w:ascii="Arial" w:hAnsi="Arial" w:cs="Arial"/>
                <w:szCs w:val="24"/>
              </w:rPr>
              <w:t>Resources Committee/</w:t>
            </w:r>
          </w:p>
          <w:p w14:paraId="313C6EA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Authority</w:t>
            </w:r>
          </w:p>
        </w:tc>
        <w:tc>
          <w:tcPr>
            <w:tcW w:w="3187" w:type="dxa"/>
            <w:tcBorders>
              <w:top w:val="single" w:sz="4" w:space="0" w:color="005A83"/>
              <w:left w:val="single" w:sz="4" w:space="0" w:color="005A83"/>
              <w:bottom w:val="single" w:sz="4" w:space="0" w:color="005A83"/>
              <w:right w:val="single" w:sz="4" w:space="0" w:color="005A83"/>
            </w:tcBorders>
          </w:tcPr>
          <w:p w14:paraId="766E2ACC"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Annually before the start of the year</w:t>
            </w:r>
          </w:p>
        </w:tc>
      </w:tr>
      <w:tr w:rsidR="00C17D82" w:rsidRPr="00C17D82" w14:paraId="707E3046" w14:textId="77777777" w:rsidTr="00B41966">
        <w:trPr>
          <w:trHeight w:val="652"/>
        </w:trPr>
        <w:tc>
          <w:tcPr>
            <w:tcW w:w="3665" w:type="dxa"/>
            <w:tcBorders>
              <w:top w:val="single" w:sz="4" w:space="0" w:color="005A83"/>
              <w:left w:val="single" w:sz="4" w:space="0" w:color="005A83"/>
              <w:bottom w:val="single" w:sz="4" w:space="0" w:color="005A83"/>
              <w:right w:val="single" w:sz="4" w:space="0" w:color="005A83"/>
            </w:tcBorders>
          </w:tcPr>
          <w:p w14:paraId="19DD4A05"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Treasury Management mid-year report</w:t>
            </w:r>
          </w:p>
        </w:tc>
        <w:tc>
          <w:tcPr>
            <w:tcW w:w="2390" w:type="dxa"/>
            <w:tcBorders>
              <w:top w:val="single" w:sz="4" w:space="0" w:color="005A83"/>
              <w:left w:val="single" w:sz="4" w:space="0" w:color="005A83"/>
              <w:bottom w:val="single" w:sz="4" w:space="0" w:color="005A83"/>
              <w:right w:val="single" w:sz="4" w:space="0" w:color="005A83"/>
            </w:tcBorders>
          </w:tcPr>
          <w:p w14:paraId="596D5032"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Resources</w:t>
            </w:r>
          </w:p>
          <w:p w14:paraId="51AA78B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Committee</w:t>
            </w:r>
          </w:p>
        </w:tc>
        <w:tc>
          <w:tcPr>
            <w:tcW w:w="3187" w:type="dxa"/>
            <w:tcBorders>
              <w:top w:val="single" w:sz="4" w:space="0" w:color="005A83"/>
              <w:left w:val="single" w:sz="4" w:space="0" w:color="005A83"/>
              <w:bottom w:val="single" w:sz="4" w:space="0" w:color="005A83"/>
              <w:right w:val="single" w:sz="4" w:space="0" w:color="005A83"/>
            </w:tcBorders>
          </w:tcPr>
          <w:p w14:paraId="13E5C333"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Mid-year</w:t>
            </w:r>
          </w:p>
        </w:tc>
      </w:tr>
      <w:tr w:rsidR="00C17D82" w:rsidRPr="00C17D82" w14:paraId="18DD0957" w14:textId="77777777" w:rsidTr="00B41966">
        <w:trPr>
          <w:trHeight w:val="1114"/>
        </w:trPr>
        <w:tc>
          <w:tcPr>
            <w:tcW w:w="3665" w:type="dxa"/>
            <w:tcBorders>
              <w:top w:val="single" w:sz="4" w:space="0" w:color="005A83"/>
              <w:left w:val="single" w:sz="4" w:space="0" w:color="005A83"/>
              <w:bottom w:val="single" w:sz="4" w:space="0" w:color="005A83"/>
              <w:right w:val="single" w:sz="4" w:space="0" w:color="005A83"/>
            </w:tcBorders>
          </w:tcPr>
          <w:p w14:paraId="340EE8D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Treasury Management Strategy</w:t>
            </w:r>
          </w:p>
          <w:p w14:paraId="3B0739E0"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 Annual Investment Strategy / MRP policy – updates or revisions at other times</w:t>
            </w:r>
          </w:p>
        </w:tc>
        <w:tc>
          <w:tcPr>
            <w:tcW w:w="2390" w:type="dxa"/>
            <w:tcBorders>
              <w:top w:val="single" w:sz="4" w:space="0" w:color="005A83"/>
              <w:left w:val="single" w:sz="4" w:space="0" w:color="005A83"/>
              <w:bottom w:val="single" w:sz="4" w:space="0" w:color="005A83"/>
              <w:right w:val="single" w:sz="4" w:space="0" w:color="005A83"/>
            </w:tcBorders>
          </w:tcPr>
          <w:p w14:paraId="1F4421F1"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Resources</w:t>
            </w:r>
          </w:p>
          <w:p w14:paraId="13D6CCAE"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Committee</w:t>
            </w:r>
          </w:p>
        </w:tc>
        <w:tc>
          <w:tcPr>
            <w:tcW w:w="3187" w:type="dxa"/>
            <w:tcBorders>
              <w:top w:val="single" w:sz="4" w:space="0" w:color="005A83"/>
              <w:left w:val="single" w:sz="4" w:space="0" w:color="005A83"/>
              <w:bottom w:val="single" w:sz="4" w:space="0" w:color="005A83"/>
              <w:right w:val="single" w:sz="4" w:space="0" w:color="005A83"/>
            </w:tcBorders>
          </w:tcPr>
          <w:p w14:paraId="3276F68B"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As required</w:t>
            </w:r>
          </w:p>
        </w:tc>
      </w:tr>
      <w:tr w:rsidR="00C17D82" w:rsidRPr="00C17D82" w14:paraId="0DCF7E42" w14:textId="77777777" w:rsidTr="00B41966">
        <w:trPr>
          <w:trHeight w:val="838"/>
        </w:trPr>
        <w:tc>
          <w:tcPr>
            <w:tcW w:w="3665" w:type="dxa"/>
            <w:tcBorders>
              <w:top w:val="single" w:sz="4" w:space="0" w:color="005A83"/>
              <w:left w:val="single" w:sz="4" w:space="0" w:color="005A83"/>
              <w:bottom w:val="single" w:sz="4" w:space="0" w:color="005A83"/>
              <w:right w:val="single" w:sz="4" w:space="0" w:color="005A83"/>
            </w:tcBorders>
          </w:tcPr>
          <w:p w14:paraId="72BC161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Annual Treasury Management Outturn Report</w:t>
            </w:r>
          </w:p>
        </w:tc>
        <w:tc>
          <w:tcPr>
            <w:tcW w:w="2390" w:type="dxa"/>
            <w:tcBorders>
              <w:top w:val="single" w:sz="4" w:space="0" w:color="005A83"/>
              <w:left w:val="single" w:sz="4" w:space="0" w:color="005A83"/>
              <w:bottom w:val="single" w:sz="4" w:space="0" w:color="005A83"/>
              <w:right w:val="single" w:sz="4" w:space="0" w:color="005A83"/>
            </w:tcBorders>
          </w:tcPr>
          <w:p w14:paraId="34A82EC6" w14:textId="77777777" w:rsidR="00C17D82" w:rsidRPr="00C17D82" w:rsidRDefault="00C17D82" w:rsidP="00B41966">
            <w:pPr>
              <w:rPr>
                <w:rFonts w:ascii="Arial" w:hAnsi="Arial" w:cs="Arial"/>
                <w:szCs w:val="24"/>
              </w:rPr>
            </w:pPr>
            <w:r w:rsidRPr="00C17D82">
              <w:rPr>
                <w:rFonts w:ascii="Arial" w:hAnsi="Arial" w:cs="Arial"/>
                <w:szCs w:val="24"/>
              </w:rPr>
              <w:t>Resources Committee/</w:t>
            </w:r>
          </w:p>
          <w:p w14:paraId="3317213F"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Authority</w:t>
            </w:r>
          </w:p>
        </w:tc>
        <w:tc>
          <w:tcPr>
            <w:tcW w:w="3187" w:type="dxa"/>
            <w:tcBorders>
              <w:top w:val="single" w:sz="4" w:space="0" w:color="005A83"/>
              <w:left w:val="single" w:sz="4" w:space="0" w:color="005A83"/>
              <w:bottom w:val="single" w:sz="4" w:space="0" w:color="005A83"/>
              <w:right w:val="single" w:sz="4" w:space="0" w:color="005A83"/>
            </w:tcBorders>
          </w:tcPr>
          <w:p w14:paraId="1963340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Annually by 30 September after the end of the year</w:t>
            </w:r>
          </w:p>
        </w:tc>
      </w:tr>
      <w:tr w:rsidR="00C17D82" w:rsidRPr="00C17D82" w14:paraId="48632AAE" w14:textId="77777777" w:rsidTr="00B41966">
        <w:trPr>
          <w:trHeight w:val="620"/>
        </w:trPr>
        <w:tc>
          <w:tcPr>
            <w:tcW w:w="3665" w:type="dxa"/>
            <w:tcBorders>
              <w:top w:val="single" w:sz="4" w:space="0" w:color="005A83"/>
              <w:left w:val="single" w:sz="4" w:space="0" w:color="005A83"/>
              <w:bottom w:val="single" w:sz="4" w:space="0" w:color="005A83"/>
              <w:right w:val="single" w:sz="4" w:space="0" w:color="005A83"/>
            </w:tcBorders>
          </w:tcPr>
          <w:p w14:paraId="6C2B66AB"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Treasury Management Monitoring Reports</w:t>
            </w:r>
          </w:p>
        </w:tc>
        <w:tc>
          <w:tcPr>
            <w:tcW w:w="2390" w:type="dxa"/>
            <w:tcBorders>
              <w:top w:val="single" w:sz="4" w:space="0" w:color="005A83"/>
              <w:left w:val="single" w:sz="4" w:space="0" w:color="005A83"/>
              <w:bottom w:val="single" w:sz="4" w:space="0" w:color="005A83"/>
              <w:right w:val="single" w:sz="4" w:space="0" w:color="005A83"/>
            </w:tcBorders>
          </w:tcPr>
          <w:p w14:paraId="580E8CE7"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Director of</w:t>
            </w:r>
          </w:p>
          <w:p w14:paraId="41407194"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Corporate Services</w:t>
            </w:r>
          </w:p>
        </w:tc>
        <w:tc>
          <w:tcPr>
            <w:tcW w:w="3187" w:type="dxa"/>
            <w:tcBorders>
              <w:top w:val="single" w:sz="4" w:space="0" w:color="005A83"/>
              <w:left w:val="single" w:sz="4" w:space="0" w:color="005A83"/>
              <w:bottom w:val="single" w:sz="4" w:space="0" w:color="005A83"/>
              <w:right w:val="single" w:sz="4" w:space="0" w:color="005A83"/>
            </w:tcBorders>
          </w:tcPr>
          <w:p w14:paraId="605217AD"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Quarterly</w:t>
            </w:r>
          </w:p>
        </w:tc>
      </w:tr>
      <w:tr w:rsidR="00C17D82" w:rsidRPr="00C17D82" w14:paraId="336EC1B7" w14:textId="77777777" w:rsidTr="00B41966">
        <w:trPr>
          <w:trHeight w:val="600"/>
        </w:trPr>
        <w:tc>
          <w:tcPr>
            <w:tcW w:w="3665" w:type="dxa"/>
            <w:tcBorders>
              <w:top w:val="single" w:sz="4" w:space="0" w:color="005A83"/>
              <w:left w:val="single" w:sz="4" w:space="0" w:color="005A83"/>
              <w:bottom w:val="single" w:sz="4" w:space="0" w:color="005A83"/>
              <w:right w:val="single" w:sz="4" w:space="0" w:color="005A83"/>
            </w:tcBorders>
          </w:tcPr>
          <w:p w14:paraId="1F691F18" w14:textId="77777777" w:rsidR="00C17D82" w:rsidRPr="00C17D82" w:rsidRDefault="00C17D82" w:rsidP="00B41966">
            <w:pPr>
              <w:spacing w:line="259" w:lineRule="auto"/>
              <w:ind w:right="46"/>
              <w:rPr>
                <w:rFonts w:ascii="Arial" w:hAnsi="Arial" w:cs="Arial"/>
                <w:szCs w:val="24"/>
              </w:rPr>
            </w:pPr>
            <w:r w:rsidRPr="00C17D82">
              <w:rPr>
                <w:rFonts w:ascii="Arial" w:hAnsi="Arial" w:cs="Arial"/>
                <w:szCs w:val="24"/>
              </w:rPr>
              <w:t>Treasury Management Practices</w:t>
            </w:r>
          </w:p>
        </w:tc>
        <w:tc>
          <w:tcPr>
            <w:tcW w:w="2390" w:type="dxa"/>
            <w:tcBorders>
              <w:top w:val="single" w:sz="4" w:space="0" w:color="005A83"/>
              <w:left w:val="single" w:sz="4" w:space="0" w:color="005A83"/>
              <w:bottom w:val="single" w:sz="4" w:space="0" w:color="005A83"/>
              <w:right w:val="single" w:sz="4" w:space="0" w:color="005A83"/>
            </w:tcBorders>
          </w:tcPr>
          <w:p w14:paraId="1EDA92F1"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Director of</w:t>
            </w:r>
          </w:p>
          <w:p w14:paraId="4243FC5F"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Corporate Services</w:t>
            </w:r>
          </w:p>
        </w:tc>
        <w:tc>
          <w:tcPr>
            <w:tcW w:w="3187" w:type="dxa"/>
            <w:tcBorders>
              <w:top w:val="single" w:sz="4" w:space="0" w:color="005A83"/>
              <w:left w:val="single" w:sz="4" w:space="0" w:color="005A83"/>
              <w:bottom w:val="single" w:sz="4" w:space="0" w:color="005A83"/>
              <w:right w:val="single" w:sz="4" w:space="0" w:color="005A83"/>
            </w:tcBorders>
          </w:tcPr>
          <w:p w14:paraId="453593A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Annually</w:t>
            </w:r>
          </w:p>
        </w:tc>
      </w:tr>
    </w:tbl>
    <w:p w14:paraId="3B0A64F8" w14:textId="77777777" w:rsidR="00C17D82" w:rsidRPr="00C17D82" w:rsidRDefault="00C17D82" w:rsidP="001366E5">
      <w:pPr>
        <w:spacing w:line="259" w:lineRule="auto"/>
        <w:ind w:left="34"/>
        <w:rPr>
          <w:rFonts w:ascii="Arial" w:hAnsi="Arial" w:cs="Arial"/>
          <w:szCs w:val="24"/>
        </w:rPr>
      </w:pPr>
    </w:p>
    <w:p w14:paraId="18D04F9E" w14:textId="77777777" w:rsidR="00C17D82" w:rsidRPr="00C17D82" w:rsidRDefault="00C17D82" w:rsidP="00B41966">
      <w:pPr>
        <w:ind w:left="29" w:right="53"/>
        <w:rPr>
          <w:rFonts w:ascii="Arial" w:hAnsi="Arial" w:cs="Arial"/>
          <w:szCs w:val="24"/>
        </w:rPr>
      </w:pPr>
      <w:r w:rsidRPr="00C17D82">
        <w:rPr>
          <w:rFonts w:ascii="Arial" w:hAnsi="Arial" w:cs="Arial"/>
          <w:szCs w:val="24"/>
        </w:rPr>
        <w:t>The Treasury Management Strategy, covers the following aspects of the Treasury Management function:</w:t>
      </w:r>
    </w:p>
    <w:p w14:paraId="0A8B2BDB" w14:textId="77777777" w:rsidR="00C17D82" w:rsidRPr="00C17D82" w:rsidRDefault="00C17D82" w:rsidP="00B41966">
      <w:pPr>
        <w:spacing w:line="259" w:lineRule="auto"/>
        <w:ind w:left="34"/>
        <w:rPr>
          <w:rFonts w:ascii="Arial" w:hAnsi="Arial" w:cs="Arial"/>
          <w:szCs w:val="24"/>
        </w:rPr>
      </w:pPr>
    </w:p>
    <w:p w14:paraId="181E20AA"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Prudential Indicators which will provide a controlling framework for the capital expenditure and treasury management activities of the </w:t>
      </w:r>
      <w:proofErr w:type="gramStart"/>
      <w:r w:rsidRPr="00C17D82">
        <w:rPr>
          <w:rFonts w:ascii="Arial" w:eastAsiaTheme="minorHAnsi" w:hAnsi="Arial" w:cs="Arial"/>
          <w:szCs w:val="24"/>
        </w:rPr>
        <w:t>Authority;</w:t>
      </w:r>
      <w:proofErr w:type="gramEnd"/>
      <w:r w:rsidRPr="00C17D82">
        <w:rPr>
          <w:rFonts w:ascii="Arial" w:eastAsiaTheme="minorHAnsi" w:hAnsi="Arial" w:cs="Arial"/>
          <w:szCs w:val="24"/>
        </w:rPr>
        <w:t xml:space="preserve"> </w:t>
      </w:r>
    </w:p>
    <w:p w14:paraId="56D7E4C3"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Current Long-term debt and </w:t>
      </w:r>
      <w:proofErr w:type="gramStart"/>
      <w:r w:rsidRPr="00C17D82">
        <w:rPr>
          <w:rFonts w:ascii="Arial" w:eastAsiaTheme="minorHAnsi" w:hAnsi="Arial" w:cs="Arial"/>
          <w:szCs w:val="24"/>
        </w:rPr>
        <w:t>investments;</w:t>
      </w:r>
      <w:proofErr w:type="gramEnd"/>
      <w:r w:rsidRPr="00C17D82">
        <w:rPr>
          <w:rFonts w:ascii="Arial" w:eastAsiaTheme="minorHAnsi" w:hAnsi="Arial" w:cs="Arial"/>
          <w:szCs w:val="24"/>
        </w:rPr>
        <w:t xml:space="preserve"> </w:t>
      </w:r>
    </w:p>
    <w:p w14:paraId="336FDFDD"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Prospects for interest </w:t>
      </w:r>
      <w:proofErr w:type="gramStart"/>
      <w:r w:rsidRPr="00C17D82">
        <w:rPr>
          <w:rFonts w:ascii="Arial" w:eastAsiaTheme="minorHAnsi" w:hAnsi="Arial" w:cs="Arial"/>
          <w:szCs w:val="24"/>
        </w:rPr>
        <w:t>rates;</w:t>
      </w:r>
      <w:proofErr w:type="gramEnd"/>
      <w:r w:rsidRPr="00C17D82">
        <w:rPr>
          <w:rFonts w:ascii="Arial" w:eastAsiaTheme="minorHAnsi" w:hAnsi="Arial" w:cs="Arial"/>
          <w:szCs w:val="24"/>
        </w:rPr>
        <w:t xml:space="preserve"> </w:t>
      </w:r>
    </w:p>
    <w:p w14:paraId="65EBDEA6"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The Borrowing </w:t>
      </w:r>
      <w:proofErr w:type="gramStart"/>
      <w:r w:rsidRPr="00C17D82">
        <w:rPr>
          <w:rFonts w:ascii="Arial" w:eastAsiaTheme="minorHAnsi" w:hAnsi="Arial" w:cs="Arial"/>
          <w:szCs w:val="24"/>
        </w:rPr>
        <w:t>Strategy;</w:t>
      </w:r>
      <w:proofErr w:type="gramEnd"/>
      <w:r w:rsidRPr="00C17D82">
        <w:rPr>
          <w:rFonts w:ascii="Arial" w:eastAsiaTheme="minorHAnsi" w:hAnsi="Arial" w:cs="Arial"/>
          <w:szCs w:val="24"/>
        </w:rPr>
        <w:t xml:space="preserve"> </w:t>
      </w:r>
    </w:p>
    <w:p w14:paraId="24C97D71"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The Investment </w:t>
      </w:r>
      <w:proofErr w:type="gramStart"/>
      <w:r w:rsidRPr="00C17D82">
        <w:rPr>
          <w:rFonts w:ascii="Arial" w:eastAsiaTheme="minorHAnsi" w:hAnsi="Arial" w:cs="Arial"/>
          <w:szCs w:val="24"/>
        </w:rPr>
        <w:t>Strategy;</w:t>
      </w:r>
      <w:proofErr w:type="gramEnd"/>
      <w:r w:rsidRPr="00C17D82">
        <w:rPr>
          <w:rFonts w:ascii="Arial" w:eastAsiaTheme="minorHAnsi" w:hAnsi="Arial" w:cs="Arial"/>
          <w:szCs w:val="24"/>
        </w:rPr>
        <w:t xml:space="preserve"> </w:t>
      </w:r>
    </w:p>
    <w:p w14:paraId="60DE2A8C"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Policy on borrowing in advance of need. </w:t>
      </w:r>
    </w:p>
    <w:p w14:paraId="4613162D" w14:textId="77777777" w:rsidR="00C17D82" w:rsidRPr="00C17D82" w:rsidRDefault="00C17D82" w:rsidP="001366E5">
      <w:pPr>
        <w:spacing w:line="259" w:lineRule="auto"/>
        <w:ind w:left="34"/>
        <w:rPr>
          <w:rFonts w:ascii="Arial" w:hAnsi="Arial" w:cs="Arial"/>
          <w:szCs w:val="24"/>
        </w:rPr>
      </w:pPr>
      <w:r w:rsidRPr="00C17D82">
        <w:rPr>
          <w:rFonts w:ascii="Arial" w:hAnsi="Arial" w:cs="Arial"/>
          <w:szCs w:val="24"/>
        </w:rPr>
        <w:t xml:space="preserve"> </w:t>
      </w:r>
    </w:p>
    <w:p w14:paraId="6546839A" w14:textId="77777777" w:rsidR="00C17D82" w:rsidRPr="00C17D82" w:rsidRDefault="00C17D82" w:rsidP="00B41966">
      <w:pPr>
        <w:spacing w:line="259" w:lineRule="auto"/>
        <w:ind w:left="34"/>
        <w:rPr>
          <w:rFonts w:ascii="Arial" w:hAnsi="Arial" w:cs="Arial"/>
          <w:b/>
          <w:szCs w:val="24"/>
        </w:rPr>
      </w:pPr>
      <w:r w:rsidRPr="00C17D82">
        <w:rPr>
          <w:rFonts w:ascii="Arial" w:hAnsi="Arial" w:cs="Arial"/>
          <w:b/>
          <w:szCs w:val="24"/>
        </w:rPr>
        <w:t>Setting the Treasury Management Strategy for 2025/26</w:t>
      </w:r>
    </w:p>
    <w:p w14:paraId="5D33A12E" w14:textId="77777777" w:rsidR="00C17D82" w:rsidRPr="00C17D82" w:rsidRDefault="00C17D82" w:rsidP="001366E5">
      <w:pPr>
        <w:spacing w:line="259" w:lineRule="auto"/>
        <w:ind w:left="34"/>
        <w:rPr>
          <w:rFonts w:ascii="Arial" w:hAnsi="Arial" w:cs="Arial"/>
          <w:szCs w:val="24"/>
        </w:rPr>
      </w:pPr>
    </w:p>
    <w:p w14:paraId="20BB53AE"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 xml:space="preserve">In setting the treasury management strategy the following factors need to be considered as they may have a strong influence over the strategy adopted: </w:t>
      </w:r>
    </w:p>
    <w:p w14:paraId="4D85F840" w14:textId="77777777" w:rsidR="00C17D82" w:rsidRPr="00C17D82" w:rsidRDefault="00C17D82" w:rsidP="00B41966">
      <w:pPr>
        <w:spacing w:line="259" w:lineRule="auto"/>
        <w:ind w:left="34"/>
        <w:rPr>
          <w:rFonts w:ascii="Arial" w:hAnsi="Arial" w:cs="Arial"/>
          <w:szCs w:val="24"/>
        </w:rPr>
      </w:pPr>
    </w:p>
    <w:p w14:paraId="27919860"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 xml:space="preserve">Economic position and forecasts. </w:t>
      </w:r>
    </w:p>
    <w:p w14:paraId="178F6EA6"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Interest rate forecasts.</w:t>
      </w:r>
    </w:p>
    <w:p w14:paraId="74948CA0"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The current structure of the investment and debt portfolio.</w:t>
      </w:r>
    </w:p>
    <w:p w14:paraId="01E3CA6B" w14:textId="77777777" w:rsidR="00C17D82" w:rsidRPr="00C17D82" w:rsidRDefault="00C17D82" w:rsidP="00C17D82">
      <w:pPr>
        <w:numPr>
          <w:ilvl w:val="0"/>
          <w:numId w:val="6"/>
        </w:numPr>
        <w:spacing w:line="249" w:lineRule="auto"/>
        <w:ind w:right="53" w:hanging="360"/>
        <w:rPr>
          <w:rFonts w:ascii="Arial" w:eastAsiaTheme="minorHAnsi" w:hAnsi="Arial" w:cs="Arial"/>
          <w:szCs w:val="24"/>
        </w:rPr>
      </w:pPr>
      <w:r w:rsidRPr="00C17D82">
        <w:rPr>
          <w:rFonts w:ascii="Arial" w:eastAsiaTheme="minorHAnsi" w:hAnsi="Arial" w:cs="Arial"/>
          <w:szCs w:val="24"/>
        </w:rPr>
        <w:t>Future Capital Programme and underlying cash forecasts.</w:t>
      </w:r>
    </w:p>
    <w:p w14:paraId="1AD91AC1" w14:textId="77777777" w:rsidR="00C17D82" w:rsidRPr="00C17D82" w:rsidRDefault="00C17D82" w:rsidP="001366E5">
      <w:pPr>
        <w:spacing w:line="259" w:lineRule="auto"/>
        <w:ind w:left="34"/>
        <w:rPr>
          <w:rFonts w:ascii="Arial" w:hAnsi="Arial" w:cs="Arial"/>
          <w:szCs w:val="24"/>
          <w:highlight w:val="yellow"/>
        </w:rPr>
      </w:pPr>
    </w:p>
    <w:p w14:paraId="15E41437" w14:textId="77777777" w:rsidR="00C17D82" w:rsidRPr="00C17D82" w:rsidRDefault="00C17D82" w:rsidP="00B41966">
      <w:pPr>
        <w:pStyle w:val="ListParagraph"/>
        <w:ind w:left="0"/>
        <w:contextualSpacing w:val="0"/>
        <w:rPr>
          <w:rFonts w:ascii="Arial" w:hAnsi="Arial" w:cs="Arial"/>
          <w:szCs w:val="24"/>
        </w:rPr>
      </w:pPr>
      <w:r w:rsidRPr="00C17D82">
        <w:rPr>
          <w:rFonts w:ascii="Arial" w:hAnsi="Arial" w:cs="Arial"/>
          <w:b/>
          <w:bCs/>
          <w:szCs w:val="24"/>
        </w:rPr>
        <w:t>Economic background:</w:t>
      </w:r>
      <w:r w:rsidRPr="00C17D82">
        <w:rPr>
          <w:rFonts w:ascii="Arial" w:hAnsi="Arial" w:cs="Arial"/>
          <w:szCs w:val="24"/>
        </w:rPr>
        <w:t xml:space="preserve"> </w:t>
      </w:r>
    </w:p>
    <w:p w14:paraId="69E85200" w14:textId="77777777" w:rsidR="00C17D82" w:rsidRPr="00C17D82" w:rsidRDefault="00C17D82" w:rsidP="00B41966">
      <w:pPr>
        <w:pStyle w:val="ListParagraph"/>
        <w:ind w:left="0"/>
        <w:contextualSpacing w:val="0"/>
        <w:rPr>
          <w:rFonts w:ascii="Arial" w:hAnsi="Arial" w:cs="Arial"/>
          <w:szCs w:val="24"/>
          <w:highlight w:val="yellow"/>
        </w:rPr>
      </w:pPr>
    </w:p>
    <w:p w14:paraId="109EC9E8" w14:textId="77777777" w:rsidR="00C17D82" w:rsidRPr="00C17D82" w:rsidRDefault="00C17D82" w:rsidP="00B41966">
      <w:pPr>
        <w:rPr>
          <w:rFonts w:ascii="Arial" w:eastAsiaTheme="minorHAnsi" w:hAnsi="Arial" w:cs="Arial"/>
          <w:color w:val="000000" w:themeColor="text1"/>
          <w:szCs w:val="24"/>
        </w:rPr>
      </w:pPr>
      <w:r w:rsidRPr="00C17D82">
        <w:rPr>
          <w:rFonts w:ascii="Arial" w:eastAsiaTheme="minorHAnsi" w:hAnsi="Arial" w:cs="Arial"/>
          <w:color w:val="000000" w:themeColor="text1"/>
          <w:szCs w:val="24"/>
        </w:rPr>
        <w:t xml:space="preserve">The third quarter of 2024 (July to September) saw: </w:t>
      </w:r>
    </w:p>
    <w:p w14:paraId="36B47F15" w14:textId="77777777" w:rsidR="00C17D82" w:rsidRPr="00C17D82" w:rsidRDefault="00C17D82" w:rsidP="00C17D82">
      <w:pPr>
        <w:numPr>
          <w:ilvl w:val="0"/>
          <w:numId w:val="19"/>
        </w:numPr>
        <w:ind w:left="357" w:hanging="357"/>
        <w:rPr>
          <w:rFonts w:ascii="Arial" w:eastAsiaTheme="minorHAnsi" w:hAnsi="Arial" w:cs="Arial"/>
          <w:szCs w:val="24"/>
        </w:rPr>
      </w:pPr>
      <w:r w:rsidRPr="00C17D82">
        <w:rPr>
          <w:rFonts w:ascii="Arial" w:eastAsiaTheme="minorHAnsi" w:hAnsi="Arial" w:cs="Arial"/>
          <w:szCs w:val="24"/>
        </w:rPr>
        <w:lastRenderedPageBreak/>
        <w:t>GDP growth stagnating in July following downwardly revised Q2 figures (0.5%)</w:t>
      </w:r>
    </w:p>
    <w:p w14:paraId="457C0C24" w14:textId="77777777" w:rsidR="00C17D82" w:rsidRPr="00C17D82" w:rsidRDefault="00C17D82" w:rsidP="00C17D82">
      <w:pPr>
        <w:numPr>
          <w:ilvl w:val="0"/>
          <w:numId w:val="19"/>
        </w:numPr>
        <w:ind w:left="357" w:hanging="357"/>
        <w:rPr>
          <w:rFonts w:ascii="Arial" w:eastAsiaTheme="minorHAnsi" w:hAnsi="Arial" w:cs="Arial"/>
          <w:color w:val="000000" w:themeColor="text1"/>
          <w:szCs w:val="24"/>
        </w:rPr>
      </w:pPr>
      <w:r w:rsidRPr="00C17D82">
        <w:rPr>
          <w:rFonts w:ascii="Arial" w:eastAsiaTheme="minorHAnsi" w:hAnsi="Arial" w:cs="Arial"/>
          <w:color w:val="000000" w:themeColor="text1"/>
          <w:szCs w:val="24"/>
        </w:rPr>
        <w:t xml:space="preserve">A further easing in wage growth as the headline 3myy rate (including bonuses) fell from 4.6% in June to 4.0% in </w:t>
      </w:r>
      <w:proofErr w:type="gramStart"/>
      <w:r w:rsidRPr="00C17D82">
        <w:rPr>
          <w:rFonts w:ascii="Arial" w:eastAsiaTheme="minorHAnsi" w:hAnsi="Arial" w:cs="Arial"/>
          <w:color w:val="000000" w:themeColor="text1"/>
          <w:szCs w:val="24"/>
        </w:rPr>
        <w:t>July;</w:t>
      </w:r>
      <w:proofErr w:type="gramEnd"/>
    </w:p>
    <w:p w14:paraId="42EA8DCE" w14:textId="77777777" w:rsidR="00C17D82" w:rsidRPr="00C17D82" w:rsidRDefault="00C17D82" w:rsidP="00C17D82">
      <w:pPr>
        <w:numPr>
          <w:ilvl w:val="0"/>
          <w:numId w:val="19"/>
        </w:numPr>
        <w:ind w:left="357" w:hanging="357"/>
        <w:rPr>
          <w:rFonts w:ascii="Arial" w:eastAsiaTheme="minorHAnsi" w:hAnsi="Arial" w:cs="Arial"/>
          <w:szCs w:val="24"/>
        </w:rPr>
      </w:pPr>
      <w:r w:rsidRPr="00C17D82">
        <w:rPr>
          <w:rFonts w:ascii="Arial" w:eastAsiaTheme="minorHAnsi" w:hAnsi="Arial" w:cs="Arial"/>
          <w:szCs w:val="24"/>
        </w:rPr>
        <w:t xml:space="preserve">CPI inflation hitting its target in June before edging above it to 2.2% in July and </w:t>
      </w:r>
      <w:proofErr w:type="gramStart"/>
      <w:r w:rsidRPr="00C17D82">
        <w:rPr>
          <w:rFonts w:ascii="Arial" w:eastAsiaTheme="minorHAnsi" w:hAnsi="Arial" w:cs="Arial"/>
          <w:szCs w:val="24"/>
        </w:rPr>
        <w:t>August;</w:t>
      </w:r>
      <w:proofErr w:type="gramEnd"/>
    </w:p>
    <w:p w14:paraId="3B4EF1AD" w14:textId="77777777" w:rsidR="00C17D82" w:rsidRPr="00C17D82" w:rsidRDefault="00C17D82" w:rsidP="00C17D82">
      <w:pPr>
        <w:numPr>
          <w:ilvl w:val="0"/>
          <w:numId w:val="19"/>
        </w:numPr>
        <w:ind w:left="357" w:hanging="357"/>
        <w:rPr>
          <w:rFonts w:ascii="Arial" w:eastAsiaTheme="minorHAnsi" w:hAnsi="Arial" w:cs="Arial"/>
          <w:szCs w:val="24"/>
        </w:rPr>
      </w:pPr>
      <w:r w:rsidRPr="00C17D82">
        <w:rPr>
          <w:rFonts w:ascii="Arial" w:eastAsiaTheme="minorHAnsi" w:hAnsi="Arial" w:cs="Arial"/>
          <w:szCs w:val="24"/>
        </w:rPr>
        <w:t xml:space="preserve">Core CPI inflation increasing from 3.3% in July to 3.6% in </w:t>
      </w:r>
      <w:proofErr w:type="gramStart"/>
      <w:r w:rsidRPr="00C17D82">
        <w:rPr>
          <w:rFonts w:ascii="Arial" w:eastAsiaTheme="minorHAnsi" w:hAnsi="Arial" w:cs="Arial"/>
          <w:szCs w:val="24"/>
        </w:rPr>
        <w:t>August;</w:t>
      </w:r>
      <w:proofErr w:type="gramEnd"/>
    </w:p>
    <w:p w14:paraId="5E9A4B85" w14:textId="77777777" w:rsidR="00C17D82" w:rsidRPr="00C17D82" w:rsidRDefault="00C17D82" w:rsidP="00C17D82">
      <w:pPr>
        <w:numPr>
          <w:ilvl w:val="0"/>
          <w:numId w:val="19"/>
        </w:numPr>
        <w:ind w:left="357" w:hanging="357"/>
        <w:rPr>
          <w:rFonts w:ascii="Arial" w:eastAsiaTheme="minorHAnsi" w:hAnsi="Arial" w:cs="Arial"/>
          <w:szCs w:val="24"/>
        </w:rPr>
      </w:pPr>
      <w:r w:rsidRPr="00C17D82">
        <w:rPr>
          <w:rFonts w:ascii="Arial" w:eastAsiaTheme="minorHAnsi" w:hAnsi="Arial" w:cs="Arial"/>
          <w:szCs w:val="24"/>
        </w:rPr>
        <w:t xml:space="preserve">The Bank of England initiating its easing cycle by lowering interest rates from 5.25% to 5.0% in August and holding them steady in its September </w:t>
      </w:r>
      <w:proofErr w:type="gramStart"/>
      <w:r w:rsidRPr="00C17D82">
        <w:rPr>
          <w:rFonts w:ascii="Arial" w:eastAsiaTheme="minorHAnsi" w:hAnsi="Arial" w:cs="Arial"/>
          <w:szCs w:val="24"/>
        </w:rPr>
        <w:t>meeting;</w:t>
      </w:r>
      <w:proofErr w:type="gramEnd"/>
    </w:p>
    <w:p w14:paraId="605006B4" w14:textId="77777777" w:rsidR="00C17D82" w:rsidRPr="00C17D82" w:rsidRDefault="00C17D82" w:rsidP="00C17D82">
      <w:pPr>
        <w:numPr>
          <w:ilvl w:val="0"/>
          <w:numId w:val="19"/>
        </w:numPr>
        <w:ind w:left="357" w:hanging="357"/>
        <w:rPr>
          <w:rFonts w:ascii="Arial" w:eastAsiaTheme="minorHAnsi" w:hAnsi="Arial" w:cs="Arial"/>
          <w:szCs w:val="24"/>
        </w:rPr>
      </w:pPr>
      <w:r w:rsidRPr="00C17D82">
        <w:rPr>
          <w:rFonts w:ascii="Arial" w:eastAsiaTheme="minorHAnsi" w:hAnsi="Arial" w:cs="Arial"/>
          <w:szCs w:val="24"/>
        </w:rPr>
        <w:t>10-year gilt yields falling to 4.0% in September.</w:t>
      </w:r>
    </w:p>
    <w:p w14:paraId="791E1BFA" w14:textId="77777777" w:rsidR="00C17D82" w:rsidRPr="00C17D82" w:rsidRDefault="00C17D82" w:rsidP="00B41966">
      <w:pPr>
        <w:rPr>
          <w:rFonts w:ascii="Arial" w:eastAsiaTheme="minorHAnsi" w:hAnsi="Arial" w:cs="Arial"/>
          <w:szCs w:val="24"/>
        </w:rPr>
      </w:pPr>
    </w:p>
    <w:p w14:paraId="132437F0" w14:textId="77777777" w:rsidR="00C17D82" w:rsidRPr="00C17D82" w:rsidRDefault="00C17D82" w:rsidP="001366E5">
      <w:pPr>
        <w:rPr>
          <w:rFonts w:ascii="Arial" w:eastAsiaTheme="minorHAnsi" w:hAnsi="Arial" w:cs="Arial"/>
          <w:szCs w:val="24"/>
        </w:rPr>
      </w:pPr>
      <w:r w:rsidRPr="00C17D82">
        <w:rPr>
          <w:rFonts w:ascii="Arial" w:eastAsiaTheme="minorHAnsi" w:hAnsi="Arial" w:cs="Arial"/>
          <w:szCs w:val="24"/>
        </w:rPr>
        <w:t xml:space="preserve">Over </w:t>
      </w:r>
      <w:proofErr w:type="gramStart"/>
      <w:r w:rsidRPr="00C17D82">
        <w:rPr>
          <w:rFonts w:ascii="Arial" w:eastAsiaTheme="minorHAnsi" w:hAnsi="Arial" w:cs="Arial"/>
          <w:szCs w:val="24"/>
        </w:rPr>
        <w:t>the ,</w:t>
      </w:r>
      <w:proofErr w:type="gramEnd"/>
      <w:r w:rsidRPr="00C17D82">
        <w:rPr>
          <w:rFonts w:ascii="Arial" w:eastAsiaTheme="minorHAnsi" w:hAnsi="Arial" w:cs="Arial"/>
          <w:szCs w:val="24"/>
        </w:rPr>
        <w:t xml:space="preserve"> the economy’s stagnation in June and July pointed more to a mild slowdown in UK GDP growth than a sudden drop back into a recession.   However, in the interim period, to 12 December, arguably the biggest impact on the economy’s performance has been the negative market sentiment in respect of the fallout from the Chancellor’s Budget on 30 October.</w:t>
      </w:r>
    </w:p>
    <w:p w14:paraId="6F82BE3D" w14:textId="77777777" w:rsidR="00C17D82" w:rsidRPr="00C17D82" w:rsidRDefault="00C17D82" w:rsidP="00B41966">
      <w:pPr>
        <w:rPr>
          <w:rFonts w:ascii="Arial" w:eastAsiaTheme="minorHAnsi" w:hAnsi="Arial" w:cs="Arial"/>
          <w:szCs w:val="24"/>
        </w:rPr>
      </w:pPr>
    </w:p>
    <w:p w14:paraId="05C91204" w14:textId="77777777" w:rsidR="00C17D82" w:rsidRPr="00C17D82" w:rsidRDefault="00C17D82" w:rsidP="001366E5">
      <w:pPr>
        <w:rPr>
          <w:rFonts w:ascii="Arial" w:hAnsi="Arial" w:cs="Arial"/>
          <w:szCs w:val="24"/>
          <w:lang w:val="en-AU"/>
          <w14:ligatures w14:val="standardContextual"/>
        </w:rPr>
      </w:pPr>
      <w:r w:rsidRPr="00C17D82">
        <w:rPr>
          <w:rFonts w:ascii="Arial" w:hAnsi="Arial" w:cs="Arial"/>
          <w:szCs w:val="24"/>
          <w:lang w:val="en-AU"/>
          <w14:ligatures w14:val="standardContextual"/>
        </w:rPr>
        <w:t>If we reflect on the 30 October Budget, our central case is that those policy announcements will prove to be inflationary, at least in the near-term. The Office for Budgetary Responsibility and the Bank of England concur with that view. The latter have the CPI measure of inflation hitting 2.5% y/y by the end of 2024 and staying sticky until at least 2026.  The Bank forecasts CPI to be elevated at 2.7% (Q4 2025) before dropping back to sub 2% in 2027.  Nonetheless, since the Budget, the October inflation print has shown the CPI measure of inflation bouncing up to 2.3% y/y with the prospect that it will be close to 3% by the end of the year before falling back slowly through 2025. The RPI measure has also increased significantly to 3.4%.</w:t>
      </w:r>
    </w:p>
    <w:p w14:paraId="0DC4CDA4" w14:textId="77777777" w:rsidR="00C17D82" w:rsidRPr="00C17D82" w:rsidRDefault="00C17D82" w:rsidP="00B41966">
      <w:pPr>
        <w:rPr>
          <w:rFonts w:ascii="Arial" w:hAnsi="Arial" w:cs="Arial"/>
          <w:szCs w:val="24"/>
          <w:lang w:val="en-AU"/>
          <w14:ligatures w14:val="standardContextual"/>
        </w:rPr>
      </w:pPr>
    </w:p>
    <w:p w14:paraId="5211CA2B" w14:textId="77777777" w:rsidR="00C17D82" w:rsidRPr="00C17D82" w:rsidRDefault="00C17D82" w:rsidP="00B41966">
      <w:pPr>
        <w:rPr>
          <w:rFonts w:ascii="Arial" w:hAnsi="Arial" w:cs="Arial"/>
          <w:szCs w:val="24"/>
          <w:lang w:val="en-AU"/>
          <w14:ligatures w14:val="standardContextual"/>
        </w:rPr>
      </w:pPr>
      <w:r w:rsidRPr="00C17D82">
        <w:rPr>
          <w:rFonts w:ascii="Arial" w:hAnsi="Arial" w:cs="Arial"/>
          <w:szCs w:val="24"/>
          <w:lang w:val="en-AU"/>
          <w14:ligatures w14:val="standardContextual"/>
        </w:rPr>
        <w:t>How high inflation goes will primarily be determined by several key factors.  First amongst those is that the major investment in the public sector, according to the Bank of England, will lift UK real GDP to 1.7% in 2025 before growth moderates in 2026 and 2027.  The debate around whether the Government’s policies lead to a material uptick in growth primarily focus on the logistics of fast-tracking planning permissions, identifying sufficient skilled labour to undertake a resurgence in building, and an increase in the employee participation rate within the economy.</w:t>
      </w:r>
    </w:p>
    <w:p w14:paraId="0F85B94D" w14:textId="77777777" w:rsidR="00C17D82" w:rsidRPr="00C17D82" w:rsidRDefault="00C17D82" w:rsidP="00B41966">
      <w:pPr>
        <w:pStyle w:val="ListParagraph"/>
        <w:ind w:left="0"/>
        <w:contextualSpacing w:val="0"/>
        <w:rPr>
          <w:rFonts w:ascii="Arial" w:hAnsi="Arial" w:cs="Arial"/>
          <w:szCs w:val="24"/>
          <w:highlight w:val="yellow"/>
        </w:rPr>
      </w:pPr>
    </w:p>
    <w:p w14:paraId="1822851C" w14:textId="77777777" w:rsidR="00C17D82" w:rsidRPr="00C17D82" w:rsidRDefault="00C17D82" w:rsidP="00B41966">
      <w:pPr>
        <w:pStyle w:val="ListParagraph"/>
        <w:ind w:left="0"/>
        <w:contextualSpacing w:val="0"/>
        <w:rPr>
          <w:rFonts w:ascii="Arial" w:hAnsi="Arial" w:cs="Arial"/>
          <w:b/>
          <w:bCs/>
          <w:szCs w:val="24"/>
        </w:rPr>
      </w:pPr>
      <w:r w:rsidRPr="00C17D82">
        <w:rPr>
          <w:rFonts w:ascii="Arial" w:hAnsi="Arial" w:cs="Arial"/>
          <w:b/>
          <w:bCs/>
          <w:szCs w:val="24"/>
        </w:rPr>
        <w:t>Interest rate Forecast</w:t>
      </w:r>
    </w:p>
    <w:p w14:paraId="7F59373E" w14:textId="77777777" w:rsidR="00C17D82" w:rsidRPr="00C17D82" w:rsidRDefault="00C17D82" w:rsidP="00B41966">
      <w:pPr>
        <w:pStyle w:val="ListParagraph"/>
        <w:ind w:left="0"/>
        <w:contextualSpacing w:val="0"/>
        <w:rPr>
          <w:rFonts w:ascii="Arial" w:hAnsi="Arial" w:cs="Arial"/>
          <w:szCs w:val="24"/>
        </w:rPr>
      </w:pPr>
    </w:p>
    <w:p w14:paraId="1CA94EF2" w14:textId="77777777" w:rsidR="00C17D82" w:rsidRPr="00C17D82" w:rsidRDefault="00C17D82" w:rsidP="00B41966">
      <w:pPr>
        <w:numPr>
          <w:ilvl w:val="12"/>
          <w:numId w:val="0"/>
        </w:numPr>
        <w:rPr>
          <w:rFonts w:ascii="Arial" w:hAnsi="Arial" w:cs="Arial"/>
          <w:szCs w:val="24"/>
          <w:highlight w:val="yellow"/>
        </w:rPr>
      </w:pPr>
      <w:bookmarkStart w:id="5" w:name="_Hlk90993115"/>
      <w:r w:rsidRPr="00C17D82">
        <w:rPr>
          <w:rFonts w:ascii="Arial" w:eastAsia="Calibri" w:hAnsi="Arial" w:cs="Arial"/>
          <w:szCs w:val="24"/>
        </w:rPr>
        <w:t xml:space="preserve">The Authority has appointed Link Group as its treasury advisor and part of their service is to assist the Authority to formulate a view on interest rates. </w:t>
      </w:r>
      <w:bookmarkEnd w:id="5"/>
    </w:p>
    <w:p w14:paraId="2646527D" w14:textId="77777777" w:rsidR="00C17D82" w:rsidRPr="00C17D82" w:rsidRDefault="00C17D82" w:rsidP="00B41966">
      <w:pPr>
        <w:numPr>
          <w:ilvl w:val="12"/>
          <w:numId w:val="0"/>
        </w:numPr>
        <w:rPr>
          <w:rFonts w:ascii="Arial" w:hAnsi="Arial" w:cs="Arial"/>
          <w:szCs w:val="24"/>
          <w:highlight w:val="yellow"/>
        </w:rPr>
      </w:pPr>
    </w:p>
    <w:p w14:paraId="5470C3EB" w14:textId="77777777" w:rsidR="005266B8" w:rsidRDefault="005266B8" w:rsidP="00B41966">
      <w:pPr>
        <w:spacing w:line="259" w:lineRule="auto"/>
        <w:rPr>
          <w:rFonts w:ascii="Arial" w:hAnsi="Arial" w:cs="Arial"/>
          <w:b/>
          <w:szCs w:val="24"/>
        </w:rPr>
      </w:pPr>
    </w:p>
    <w:p w14:paraId="2B4B865B" w14:textId="77777777" w:rsidR="005266B8" w:rsidRDefault="005266B8" w:rsidP="00B41966">
      <w:pPr>
        <w:spacing w:line="259" w:lineRule="auto"/>
        <w:rPr>
          <w:rFonts w:ascii="Arial" w:hAnsi="Arial" w:cs="Arial"/>
          <w:b/>
          <w:szCs w:val="24"/>
        </w:rPr>
      </w:pPr>
    </w:p>
    <w:p w14:paraId="188DF7FA" w14:textId="77777777" w:rsidR="005266B8" w:rsidRDefault="005266B8" w:rsidP="00B41966">
      <w:pPr>
        <w:spacing w:line="259" w:lineRule="auto"/>
        <w:rPr>
          <w:rFonts w:ascii="Arial" w:hAnsi="Arial" w:cs="Arial"/>
          <w:b/>
          <w:szCs w:val="24"/>
        </w:rPr>
      </w:pPr>
    </w:p>
    <w:p w14:paraId="4F455BEF" w14:textId="77777777" w:rsidR="005266B8" w:rsidRDefault="005266B8" w:rsidP="00B41966">
      <w:pPr>
        <w:spacing w:line="259" w:lineRule="auto"/>
        <w:rPr>
          <w:rFonts w:ascii="Arial" w:hAnsi="Arial" w:cs="Arial"/>
          <w:b/>
          <w:szCs w:val="24"/>
        </w:rPr>
      </w:pPr>
    </w:p>
    <w:p w14:paraId="0DF8264F" w14:textId="77777777" w:rsidR="005266B8" w:rsidRDefault="005266B8" w:rsidP="00B41966">
      <w:pPr>
        <w:spacing w:line="259" w:lineRule="auto"/>
        <w:rPr>
          <w:rFonts w:ascii="Arial" w:hAnsi="Arial" w:cs="Arial"/>
          <w:b/>
          <w:szCs w:val="24"/>
        </w:rPr>
      </w:pPr>
    </w:p>
    <w:p w14:paraId="1F06F4E2" w14:textId="77777777" w:rsidR="005266B8" w:rsidRDefault="005266B8" w:rsidP="00B41966">
      <w:pPr>
        <w:spacing w:line="259" w:lineRule="auto"/>
        <w:rPr>
          <w:rFonts w:ascii="Arial" w:hAnsi="Arial" w:cs="Arial"/>
          <w:b/>
          <w:szCs w:val="24"/>
        </w:rPr>
      </w:pPr>
    </w:p>
    <w:p w14:paraId="6FB17A7C" w14:textId="77777777" w:rsidR="005266B8" w:rsidRDefault="005266B8" w:rsidP="00B41966">
      <w:pPr>
        <w:spacing w:line="259" w:lineRule="auto"/>
        <w:rPr>
          <w:rFonts w:ascii="Arial" w:hAnsi="Arial" w:cs="Arial"/>
          <w:b/>
          <w:szCs w:val="24"/>
        </w:rPr>
      </w:pPr>
    </w:p>
    <w:p w14:paraId="655D50E4" w14:textId="77777777" w:rsidR="005266B8" w:rsidRDefault="005266B8" w:rsidP="00B41966">
      <w:pPr>
        <w:spacing w:line="259" w:lineRule="auto"/>
        <w:rPr>
          <w:rFonts w:ascii="Arial" w:hAnsi="Arial" w:cs="Arial"/>
          <w:b/>
          <w:szCs w:val="24"/>
        </w:rPr>
      </w:pPr>
    </w:p>
    <w:p w14:paraId="238DAE9C" w14:textId="77777777" w:rsidR="005266B8" w:rsidRDefault="005266B8" w:rsidP="00B41966">
      <w:pPr>
        <w:spacing w:line="259" w:lineRule="auto"/>
        <w:rPr>
          <w:rFonts w:ascii="Arial" w:hAnsi="Arial" w:cs="Arial"/>
          <w:b/>
          <w:szCs w:val="24"/>
        </w:rPr>
      </w:pPr>
    </w:p>
    <w:p w14:paraId="2A602861" w14:textId="77777777" w:rsidR="005266B8" w:rsidRDefault="005266B8" w:rsidP="00B41966">
      <w:pPr>
        <w:spacing w:line="259" w:lineRule="auto"/>
        <w:rPr>
          <w:rFonts w:ascii="Arial" w:hAnsi="Arial" w:cs="Arial"/>
          <w:b/>
          <w:szCs w:val="24"/>
        </w:rPr>
      </w:pPr>
    </w:p>
    <w:p w14:paraId="72D73E34" w14:textId="0D705B03" w:rsidR="00C17D82" w:rsidRPr="00C17D82" w:rsidRDefault="00C17D82" w:rsidP="00B41966">
      <w:pPr>
        <w:spacing w:line="259" w:lineRule="auto"/>
        <w:rPr>
          <w:rFonts w:ascii="Arial" w:hAnsi="Arial" w:cs="Arial"/>
          <w:b/>
          <w:szCs w:val="24"/>
        </w:rPr>
      </w:pPr>
      <w:r w:rsidRPr="00C17D82">
        <w:rPr>
          <w:rFonts w:ascii="Arial" w:hAnsi="Arial" w:cs="Arial"/>
          <w:b/>
          <w:szCs w:val="24"/>
        </w:rPr>
        <w:t xml:space="preserve">Current Treasury Portfolio Position </w:t>
      </w:r>
    </w:p>
    <w:p w14:paraId="467A44F4"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At the 31 December 2024 the debt and investments balances were:</w:t>
      </w:r>
      <w:r w:rsidRPr="00C17D82" w:rsidDel="00D05AEC">
        <w:rPr>
          <w:rFonts w:ascii="Arial" w:hAnsi="Arial" w:cs="Arial"/>
          <w:szCs w:val="24"/>
        </w:rPr>
        <w:t xml:space="preserve"> </w:t>
      </w:r>
      <w:r w:rsidRPr="00C17D82">
        <w:rPr>
          <w:rFonts w:ascii="Arial" w:hAnsi="Arial" w:cs="Arial"/>
          <w:szCs w:val="24"/>
        </w:rPr>
        <w:t xml:space="preserve">- </w:t>
      </w:r>
    </w:p>
    <w:p w14:paraId="5BB42C6A" w14:textId="77777777" w:rsidR="00C17D82" w:rsidRPr="00C17D82" w:rsidRDefault="00C17D82" w:rsidP="00B41966">
      <w:pPr>
        <w:rPr>
          <w:rFonts w:ascii="Arial" w:hAnsi="Arial" w:cs="Arial"/>
          <w:szCs w:val="24"/>
        </w:rPr>
      </w:pPr>
    </w:p>
    <w:p w14:paraId="2A18CE4D" w14:textId="77777777" w:rsidR="00C17D82" w:rsidRPr="00C17D82" w:rsidRDefault="00C17D82" w:rsidP="00B41966">
      <w:pPr>
        <w:keepNext/>
        <w:rPr>
          <w:rFonts w:ascii="Arial" w:eastAsia="Calibri" w:hAnsi="Arial" w:cs="Arial"/>
          <w:szCs w:val="24"/>
        </w:rPr>
      </w:pPr>
      <w:r w:rsidRPr="00C17D82">
        <w:rPr>
          <w:rFonts w:ascii="Arial" w:eastAsia="Calibri" w:hAnsi="Arial" w:cs="Arial"/>
          <w:szCs w:val="24"/>
        </w:rPr>
        <w:t>Table 2 Debt and Investments Balances</w:t>
      </w:r>
    </w:p>
    <w:tbl>
      <w:tblPr>
        <w:tblW w:w="9440" w:type="dxa"/>
        <w:tblCellMar>
          <w:left w:w="0" w:type="dxa"/>
          <w:right w:w="0" w:type="dxa"/>
        </w:tblCellMar>
        <w:tblLook w:val="04A0" w:firstRow="1" w:lastRow="0" w:firstColumn="1" w:lastColumn="0" w:noHBand="0" w:noVBand="1"/>
      </w:tblPr>
      <w:tblGrid>
        <w:gridCol w:w="6280"/>
        <w:gridCol w:w="1760"/>
        <w:gridCol w:w="1400"/>
      </w:tblGrid>
      <w:tr w:rsidR="00C17D82" w:rsidRPr="00C17D82" w14:paraId="16651D7A" w14:textId="77777777" w:rsidTr="00CB2AEC">
        <w:trPr>
          <w:trHeight w:val="300"/>
        </w:trPr>
        <w:tc>
          <w:tcPr>
            <w:tcW w:w="628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AF3A1D" w14:textId="77777777" w:rsidR="00C17D82" w:rsidRPr="00C17D82" w:rsidRDefault="00C17D82" w:rsidP="001366E5">
            <w:pPr>
              <w:rPr>
                <w:rFonts w:ascii="Arial" w:hAnsi="Arial" w:cs="Arial"/>
                <w:b/>
                <w:bCs/>
                <w:szCs w:val="24"/>
              </w:rPr>
            </w:pPr>
            <w:r w:rsidRPr="00C17D82">
              <w:rPr>
                <w:rFonts w:ascii="Arial" w:hAnsi="Arial" w:cs="Arial"/>
                <w:b/>
                <w:bCs/>
                <w:szCs w:val="24"/>
              </w:rPr>
              <w:t>Debt</w:t>
            </w:r>
            <w:r w:rsidRPr="00C17D82">
              <w:rPr>
                <w:rFonts w:ascii="Arial" w:hAnsi="Arial" w:cs="Arial"/>
                <w:szCs w:val="24"/>
              </w:rPr>
              <w:t xml:space="preserve"> </w:t>
            </w:r>
          </w:p>
        </w:tc>
        <w:tc>
          <w:tcPr>
            <w:tcW w:w="1760" w:type="dxa"/>
            <w:tcBorders>
              <w:top w:val="single" w:sz="8" w:space="0" w:color="000000"/>
              <w:left w:val="nil"/>
              <w:bottom w:val="nil"/>
              <w:right w:val="single" w:sz="8" w:space="0" w:color="000000"/>
            </w:tcBorders>
            <w:shd w:val="clear" w:color="000000" w:fill="FFFFFF"/>
            <w:vAlign w:val="center"/>
            <w:hideMark/>
          </w:tcPr>
          <w:p w14:paraId="215531B8" w14:textId="77777777" w:rsidR="00C17D82" w:rsidRPr="00C17D82" w:rsidRDefault="00C17D82" w:rsidP="00B41966">
            <w:pPr>
              <w:jc w:val="center"/>
              <w:rPr>
                <w:rFonts w:ascii="Arial" w:hAnsi="Arial" w:cs="Arial"/>
                <w:szCs w:val="24"/>
              </w:rPr>
            </w:pPr>
            <w:r w:rsidRPr="00C17D82">
              <w:rPr>
                <w:rFonts w:ascii="Arial" w:hAnsi="Arial" w:cs="Arial"/>
                <w:szCs w:val="24"/>
              </w:rPr>
              <w:t>Principal</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C6128BF" w14:textId="77777777" w:rsidR="00C17D82" w:rsidRPr="00C17D82" w:rsidRDefault="00C17D82" w:rsidP="00B41966">
            <w:pPr>
              <w:jc w:val="center"/>
              <w:rPr>
                <w:rFonts w:ascii="Arial" w:hAnsi="Arial" w:cs="Arial"/>
                <w:szCs w:val="24"/>
              </w:rPr>
            </w:pPr>
            <w:r w:rsidRPr="00C17D82">
              <w:rPr>
                <w:rFonts w:ascii="Arial" w:hAnsi="Arial" w:cs="Arial"/>
                <w:szCs w:val="24"/>
              </w:rPr>
              <w:t>%</w:t>
            </w:r>
          </w:p>
        </w:tc>
      </w:tr>
      <w:tr w:rsidR="00C17D82" w:rsidRPr="00C17D82" w14:paraId="0365CF3D" w14:textId="77777777" w:rsidTr="00CB2AEC">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288EFD" w14:textId="77777777" w:rsidR="00C17D82" w:rsidRPr="00C17D82" w:rsidRDefault="00C17D82" w:rsidP="00B41966">
            <w:pPr>
              <w:rPr>
                <w:rFonts w:ascii="Arial" w:hAnsi="Arial" w:cs="Arial"/>
                <w:b/>
                <w:bCs/>
                <w:szCs w:val="24"/>
              </w:rPr>
            </w:pPr>
          </w:p>
        </w:tc>
        <w:tc>
          <w:tcPr>
            <w:tcW w:w="1760" w:type="dxa"/>
            <w:tcBorders>
              <w:top w:val="nil"/>
              <w:left w:val="nil"/>
              <w:bottom w:val="single" w:sz="8" w:space="0" w:color="000000"/>
              <w:right w:val="single" w:sz="8" w:space="0" w:color="000000"/>
            </w:tcBorders>
            <w:shd w:val="clear" w:color="000000" w:fill="FFFFFF"/>
            <w:vAlign w:val="center"/>
            <w:hideMark/>
          </w:tcPr>
          <w:p w14:paraId="6F024631" w14:textId="77777777" w:rsidR="00C17D82" w:rsidRPr="00C17D82" w:rsidRDefault="00C17D82" w:rsidP="00B41966">
            <w:pPr>
              <w:jc w:val="center"/>
              <w:rPr>
                <w:rFonts w:ascii="Arial" w:hAnsi="Arial" w:cs="Arial"/>
                <w:szCs w:val="24"/>
              </w:rPr>
            </w:pPr>
            <w:r w:rsidRPr="00C17D82">
              <w:rPr>
                <w:rFonts w:ascii="Arial" w:hAnsi="Arial" w:cs="Arial"/>
                <w:szCs w:val="24"/>
              </w:rPr>
              <w:t>£m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4BAE2D" w14:textId="77777777" w:rsidR="00C17D82" w:rsidRPr="00C17D82" w:rsidRDefault="00C17D82" w:rsidP="00B41966">
            <w:pPr>
              <w:rPr>
                <w:rFonts w:ascii="Arial" w:hAnsi="Arial" w:cs="Arial"/>
                <w:szCs w:val="24"/>
              </w:rPr>
            </w:pPr>
          </w:p>
        </w:tc>
      </w:tr>
      <w:tr w:rsidR="00C17D82" w:rsidRPr="00C17D82" w14:paraId="17359B00" w14:textId="77777777" w:rsidTr="00CB2AEC">
        <w:trPr>
          <w:trHeight w:val="315"/>
        </w:trPr>
        <w:tc>
          <w:tcPr>
            <w:tcW w:w="6280" w:type="dxa"/>
            <w:tcBorders>
              <w:top w:val="nil"/>
              <w:left w:val="single" w:sz="8" w:space="0" w:color="000000"/>
              <w:bottom w:val="single" w:sz="8" w:space="0" w:color="000000"/>
              <w:right w:val="single" w:sz="8" w:space="0" w:color="000000"/>
            </w:tcBorders>
            <w:shd w:val="clear" w:color="000000" w:fill="FFFFFF"/>
            <w:vAlign w:val="center"/>
            <w:hideMark/>
          </w:tcPr>
          <w:p w14:paraId="73CC174C" w14:textId="77777777" w:rsidR="00C17D82" w:rsidRPr="00C17D82" w:rsidRDefault="00C17D82" w:rsidP="00B41966">
            <w:pPr>
              <w:rPr>
                <w:rFonts w:ascii="Arial" w:hAnsi="Arial" w:cs="Arial"/>
                <w:szCs w:val="24"/>
              </w:rPr>
            </w:pPr>
            <w:r w:rsidRPr="00C17D82">
              <w:rPr>
                <w:rFonts w:ascii="Arial" w:hAnsi="Arial" w:cs="Arial"/>
                <w:szCs w:val="24"/>
              </w:rPr>
              <w:t xml:space="preserve">Fixed rate loans from the Public Works Loan Board </w:t>
            </w:r>
          </w:p>
        </w:tc>
        <w:tc>
          <w:tcPr>
            <w:tcW w:w="1760" w:type="dxa"/>
            <w:tcBorders>
              <w:top w:val="nil"/>
              <w:left w:val="nil"/>
              <w:bottom w:val="single" w:sz="8" w:space="0" w:color="000000"/>
              <w:right w:val="single" w:sz="8" w:space="0" w:color="000000"/>
            </w:tcBorders>
            <w:shd w:val="clear" w:color="000000" w:fill="FFFFFF"/>
            <w:vAlign w:val="center"/>
            <w:hideMark/>
          </w:tcPr>
          <w:p w14:paraId="77A6AB07"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00" w:type="dxa"/>
            <w:tcBorders>
              <w:top w:val="nil"/>
              <w:left w:val="nil"/>
              <w:bottom w:val="single" w:sz="8" w:space="0" w:color="000000"/>
              <w:right w:val="single" w:sz="8" w:space="0" w:color="000000"/>
            </w:tcBorders>
            <w:shd w:val="clear" w:color="000000" w:fill="FFFFFF"/>
            <w:vAlign w:val="center"/>
            <w:hideMark/>
          </w:tcPr>
          <w:p w14:paraId="4FFC2573" w14:textId="77777777" w:rsidR="00C17D82" w:rsidRPr="00C17D82" w:rsidRDefault="00C17D82" w:rsidP="00B41966">
            <w:pPr>
              <w:jc w:val="center"/>
              <w:rPr>
                <w:rFonts w:ascii="Arial" w:hAnsi="Arial" w:cs="Arial"/>
                <w:szCs w:val="24"/>
              </w:rPr>
            </w:pPr>
            <w:r w:rsidRPr="00C17D82">
              <w:rPr>
                <w:rFonts w:ascii="Arial" w:hAnsi="Arial" w:cs="Arial"/>
                <w:szCs w:val="24"/>
              </w:rPr>
              <w:t>100</w:t>
            </w:r>
          </w:p>
        </w:tc>
      </w:tr>
      <w:tr w:rsidR="00C17D82" w:rsidRPr="00C17D82" w14:paraId="19D87BEE" w14:textId="77777777" w:rsidTr="00CB2AEC">
        <w:trPr>
          <w:trHeight w:val="320"/>
        </w:trPr>
        <w:tc>
          <w:tcPr>
            <w:tcW w:w="6280" w:type="dxa"/>
            <w:tcBorders>
              <w:top w:val="nil"/>
              <w:left w:val="single" w:sz="8" w:space="0" w:color="000000"/>
              <w:bottom w:val="single" w:sz="8" w:space="0" w:color="000000"/>
              <w:right w:val="single" w:sz="8" w:space="0" w:color="000000"/>
            </w:tcBorders>
            <w:shd w:val="clear" w:color="000000" w:fill="FFFFFF"/>
            <w:vAlign w:val="center"/>
            <w:hideMark/>
          </w:tcPr>
          <w:p w14:paraId="7E8809E4" w14:textId="77777777" w:rsidR="00C17D82" w:rsidRPr="00C17D82" w:rsidRDefault="00C17D82" w:rsidP="00B41966">
            <w:pPr>
              <w:rPr>
                <w:rFonts w:ascii="Arial" w:hAnsi="Arial" w:cs="Arial"/>
                <w:szCs w:val="24"/>
              </w:rPr>
            </w:pPr>
            <w:r w:rsidRPr="00C17D82">
              <w:rPr>
                <w:rFonts w:ascii="Arial" w:hAnsi="Arial" w:cs="Arial"/>
                <w:szCs w:val="24"/>
              </w:rPr>
              <w:t xml:space="preserve">Variable rate loans </w:t>
            </w:r>
          </w:p>
        </w:tc>
        <w:tc>
          <w:tcPr>
            <w:tcW w:w="1760" w:type="dxa"/>
            <w:tcBorders>
              <w:top w:val="nil"/>
              <w:left w:val="nil"/>
              <w:bottom w:val="single" w:sz="8" w:space="0" w:color="000000"/>
              <w:right w:val="single" w:sz="8" w:space="0" w:color="000000"/>
            </w:tcBorders>
            <w:shd w:val="clear" w:color="000000" w:fill="FFFFFF"/>
            <w:vAlign w:val="center"/>
            <w:hideMark/>
          </w:tcPr>
          <w:p w14:paraId="43F06730" w14:textId="77777777" w:rsidR="00C17D82" w:rsidRPr="00C17D82" w:rsidRDefault="00C17D82" w:rsidP="00B41966">
            <w:pPr>
              <w:jc w:val="center"/>
              <w:rPr>
                <w:rFonts w:ascii="Arial" w:hAnsi="Arial" w:cs="Arial"/>
                <w:szCs w:val="24"/>
              </w:rPr>
            </w:pPr>
            <w:r w:rsidRPr="00C17D82">
              <w:rPr>
                <w:rFonts w:ascii="Arial" w:hAnsi="Arial" w:cs="Arial"/>
                <w:szCs w:val="24"/>
              </w:rPr>
              <w:t>- </w:t>
            </w:r>
          </w:p>
        </w:tc>
        <w:tc>
          <w:tcPr>
            <w:tcW w:w="1400" w:type="dxa"/>
            <w:tcBorders>
              <w:top w:val="nil"/>
              <w:left w:val="nil"/>
              <w:bottom w:val="single" w:sz="8" w:space="0" w:color="000000"/>
              <w:right w:val="single" w:sz="8" w:space="0" w:color="000000"/>
            </w:tcBorders>
            <w:shd w:val="clear" w:color="000000" w:fill="FFFFFF"/>
            <w:vAlign w:val="center"/>
            <w:hideMark/>
          </w:tcPr>
          <w:p w14:paraId="78B383E9" w14:textId="77777777" w:rsidR="00C17D82" w:rsidRPr="00C17D82" w:rsidRDefault="00C17D82" w:rsidP="00B41966">
            <w:pPr>
              <w:jc w:val="center"/>
              <w:rPr>
                <w:rFonts w:ascii="Arial" w:hAnsi="Arial" w:cs="Arial"/>
                <w:szCs w:val="24"/>
              </w:rPr>
            </w:pPr>
            <w:r w:rsidRPr="00C17D82">
              <w:rPr>
                <w:rFonts w:ascii="Arial" w:hAnsi="Arial" w:cs="Arial"/>
                <w:szCs w:val="24"/>
              </w:rPr>
              <w:t>-</w:t>
            </w:r>
          </w:p>
        </w:tc>
      </w:tr>
      <w:tr w:rsidR="00C17D82" w:rsidRPr="00C17D82" w14:paraId="4A5229B5" w14:textId="77777777" w:rsidTr="00CB2AEC">
        <w:trPr>
          <w:trHeight w:val="320"/>
        </w:trPr>
        <w:tc>
          <w:tcPr>
            <w:tcW w:w="6280" w:type="dxa"/>
            <w:tcBorders>
              <w:top w:val="nil"/>
              <w:left w:val="single" w:sz="8" w:space="0" w:color="000000"/>
              <w:bottom w:val="single" w:sz="8" w:space="0" w:color="000000"/>
              <w:right w:val="single" w:sz="8" w:space="0" w:color="000000"/>
            </w:tcBorders>
            <w:shd w:val="clear" w:color="000000" w:fill="FFFFFF"/>
            <w:vAlign w:val="center"/>
            <w:hideMark/>
          </w:tcPr>
          <w:p w14:paraId="21171DB9" w14:textId="77777777" w:rsidR="00C17D82" w:rsidRPr="00C17D82" w:rsidRDefault="00C17D82" w:rsidP="00B41966">
            <w:pPr>
              <w:rPr>
                <w:rFonts w:ascii="Arial" w:hAnsi="Arial" w:cs="Arial"/>
                <w:szCs w:val="24"/>
              </w:rPr>
            </w:pPr>
            <w:r w:rsidRPr="00C17D82">
              <w:rPr>
                <w:rFonts w:ascii="Arial" w:hAnsi="Arial" w:cs="Arial"/>
                <w:szCs w:val="24"/>
              </w:rPr>
              <w:t xml:space="preserve"> Total loans</w:t>
            </w:r>
          </w:p>
        </w:tc>
        <w:tc>
          <w:tcPr>
            <w:tcW w:w="1760" w:type="dxa"/>
            <w:tcBorders>
              <w:top w:val="nil"/>
              <w:left w:val="nil"/>
              <w:bottom w:val="single" w:sz="8" w:space="0" w:color="000000"/>
              <w:right w:val="single" w:sz="8" w:space="0" w:color="000000"/>
            </w:tcBorders>
            <w:shd w:val="clear" w:color="000000" w:fill="FFFFFF"/>
            <w:vAlign w:val="center"/>
            <w:hideMark/>
          </w:tcPr>
          <w:p w14:paraId="0EDC07E5"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00" w:type="dxa"/>
            <w:tcBorders>
              <w:top w:val="nil"/>
              <w:left w:val="nil"/>
              <w:bottom w:val="single" w:sz="8" w:space="0" w:color="000000"/>
              <w:right w:val="single" w:sz="8" w:space="0" w:color="000000"/>
            </w:tcBorders>
            <w:shd w:val="clear" w:color="000000" w:fill="FFFFFF"/>
            <w:vAlign w:val="center"/>
            <w:hideMark/>
          </w:tcPr>
          <w:p w14:paraId="2A278CD2" w14:textId="77777777" w:rsidR="00C17D82" w:rsidRPr="00C17D82" w:rsidRDefault="00C17D82" w:rsidP="00B41966">
            <w:pPr>
              <w:jc w:val="center"/>
              <w:rPr>
                <w:rFonts w:ascii="Arial" w:hAnsi="Arial" w:cs="Arial"/>
                <w:szCs w:val="24"/>
              </w:rPr>
            </w:pPr>
            <w:r w:rsidRPr="00C17D82">
              <w:rPr>
                <w:rFonts w:ascii="Arial" w:hAnsi="Arial" w:cs="Arial"/>
                <w:szCs w:val="24"/>
              </w:rPr>
              <w:t>100</w:t>
            </w:r>
          </w:p>
        </w:tc>
      </w:tr>
    </w:tbl>
    <w:p w14:paraId="4D16E14A" w14:textId="77777777" w:rsidR="00C17D82" w:rsidRPr="00C17D82" w:rsidRDefault="00C17D82" w:rsidP="00B41966">
      <w:pPr>
        <w:rPr>
          <w:rFonts w:ascii="Arial" w:hAnsi="Arial" w:cs="Arial"/>
          <w:szCs w:val="24"/>
          <w:highlight w:val="yellow"/>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0"/>
        <w:gridCol w:w="1760"/>
        <w:gridCol w:w="1400"/>
      </w:tblGrid>
      <w:tr w:rsidR="00C17D82" w:rsidRPr="00C17D82" w14:paraId="4C6E6E48" w14:textId="77777777" w:rsidTr="00B41966">
        <w:trPr>
          <w:trHeight w:val="320"/>
        </w:trPr>
        <w:tc>
          <w:tcPr>
            <w:tcW w:w="9440" w:type="dxa"/>
            <w:gridSpan w:val="3"/>
            <w:shd w:val="clear" w:color="000000" w:fill="FFFFFF"/>
            <w:vAlign w:val="center"/>
            <w:hideMark/>
          </w:tcPr>
          <w:p w14:paraId="01CDBA3D" w14:textId="77777777" w:rsidR="00C17D82" w:rsidRPr="00C17D82" w:rsidRDefault="00C17D82" w:rsidP="00B41966">
            <w:pPr>
              <w:rPr>
                <w:rFonts w:ascii="Arial" w:hAnsi="Arial" w:cs="Arial"/>
                <w:b/>
                <w:bCs/>
                <w:szCs w:val="24"/>
              </w:rPr>
            </w:pPr>
            <w:r w:rsidRPr="00C17D82">
              <w:rPr>
                <w:rFonts w:ascii="Arial" w:hAnsi="Arial" w:cs="Arial"/>
                <w:b/>
                <w:bCs/>
                <w:szCs w:val="24"/>
              </w:rPr>
              <w:t>Investments</w:t>
            </w:r>
          </w:p>
        </w:tc>
      </w:tr>
      <w:tr w:rsidR="00C17D82" w:rsidRPr="00C17D82" w14:paraId="1A3E4716" w14:textId="77777777" w:rsidTr="00B41966">
        <w:trPr>
          <w:trHeight w:val="630"/>
        </w:trPr>
        <w:tc>
          <w:tcPr>
            <w:tcW w:w="6280" w:type="dxa"/>
            <w:shd w:val="clear" w:color="000000" w:fill="FFFFFF"/>
            <w:vAlign w:val="center"/>
            <w:hideMark/>
          </w:tcPr>
          <w:p w14:paraId="43899BDF" w14:textId="77777777" w:rsidR="00C17D82" w:rsidRPr="00C17D82" w:rsidRDefault="00C17D82" w:rsidP="00B41966">
            <w:pPr>
              <w:rPr>
                <w:rFonts w:ascii="Arial" w:hAnsi="Arial" w:cs="Arial"/>
                <w:szCs w:val="24"/>
              </w:rPr>
            </w:pPr>
            <w:r w:rsidRPr="00C17D82">
              <w:rPr>
                <w:rFonts w:ascii="Arial" w:hAnsi="Arial" w:cs="Arial"/>
                <w:szCs w:val="24"/>
              </w:rPr>
              <w:t xml:space="preserve">Variable rate investments with The Debt Management Office (DMO) </w:t>
            </w:r>
          </w:p>
        </w:tc>
        <w:tc>
          <w:tcPr>
            <w:tcW w:w="1760" w:type="dxa"/>
            <w:shd w:val="clear" w:color="000000" w:fill="FFFFFF"/>
            <w:vAlign w:val="center"/>
            <w:hideMark/>
          </w:tcPr>
          <w:p w14:paraId="112D9115" w14:textId="77777777" w:rsidR="00C17D82" w:rsidRPr="00C17D82" w:rsidRDefault="00C17D82" w:rsidP="00B41966">
            <w:pPr>
              <w:jc w:val="center"/>
              <w:rPr>
                <w:rFonts w:ascii="Arial" w:hAnsi="Arial" w:cs="Arial"/>
                <w:szCs w:val="24"/>
              </w:rPr>
            </w:pPr>
            <w:r w:rsidRPr="00C17D82">
              <w:rPr>
                <w:rFonts w:ascii="Arial" w:hAnsi="Arial" w:cs="Arial"/>
                <w:szCs w:val="24"/>
              </w:rPr>
              <w:t>26.863</w:t>
            </w:r>
          </w:p>
        </w:tc>
        <w:tc>
          <w:tcPr>
            <w:tcW w:w="1400" w:type="dxa"/>
            <w:shd w:val="clear" w:color="000000" w:fill="FFFFFF"/>
            <w:vAlign w:val="center"/>
            <w:hideMark/>
          </w:tcPr>
          <w:p w14:paraId="1C2388A8" w14:textId="77777777" w:rsidR="00C17D82" w:rsidRPr="00C17D82" w:rsidRDefault="00C17D82" w:rsidP="00B41966">
            <w:pPr>
              <w:jc w:val="center"/>
              <w:rPr>
                <w:rFonts w:ascii="Arial" w:hAnsi="Arial" w:cs="Arial"/>
                <w:szCs w:val="24"/>
              </w:rPr>
            </w:pPr>
            <w:r w:rsidRPr="00C17D82">
              <w:rPr>
                <w:rFonts w:ascii="Arial" w:hAnsi="Arial" w:cs="Arial"/>
                <w:szCs w:val="24"/>
              </w:rPr>
              <w:t>57</w:t>
            </w:r>
          </w:p>
        </w:tc>
      </w:tr>
      <w:tr w:rsidR="00C17D82" w:rsidRPr="00C17D82" w14:paraId="1FA9D2D2" w14:textId="77777777" w:rsidTr="00B41966">
        <w:trPr>
          <w:trHeight w:val="320"/>
        </w:trPr>
        <w:tc>
          <w:tcPr>
            <w:tcW w:w="6280" w:type="dxa"/>
            <w:shd w:val="clear" w:color="000000" w:fill="FFFFFF"/>
            <w:vAlign w:val="center"/>
            <w:hideMark/>
          </w:tcPr>
          <w:p w14:paraId="6239D75B" w14:textId="77777777" w:rsidR="00C17D82" w:rsidRPr="00C17D82" w:rsidRDefault="00C17D82" w:rsidP="00B41966">
            <w:pPr>
              <w:rPr>
                <w:rFonts w:ascii="Arial" w:hAnsi="Arial" w:cs="Arial"/>
                <w:szCs w:val="24"/>
              </w:rPr>
            </w:pPr>
            <w:r w:rsidRPr="00C17D82">
              <w:rPr>
                <w:rFonts w:ascii="Arial" w:hAnsi="Arial" w:cs="Arial"/>
                <w:szCs w:val="24"/>
              </w:rPr>
              <w:t>Fixed rate investments</w:t>
            </w:r>
          </w:p>
        </w:tc>
        <w:tc>
          <w:tcPr>
            <w:tcW w:w="1760" w:type="dxa"/>
            <w:shd w:val="clear" w:color="000000" w:fill="FFFFFF"/>
            <w:vAlign w:val="center"/>
            <w:hideMark/>
          </w:tcPr>
          <w:p w14:paraId="60079905" w14:textId="77777777" w:rsidR="00C17D82" w:rsidRPr="00C17D82" w:rsidRDefault="00C17D82" w:rsidP="00B41966">
            <w:pPr>
              <w:jc w:val="center"/>
              <w:rPr>
                <w:rFonts w:ascii="Arial" w:hAnsi="Arial" w:cs="Arial"/>
                <w:szCs w:val="24"/>
              </w:rPr>
            </w:pPr>
            <w:r w:rsidRPr="00C17D82">
              <w:rPr>
                <w:rFonts w:ascii="Arial" w:hAnsi="Arial" w:cs="Arial"/>
                <w:szCs w:val="24"/>
              </w:rPr>
              <w:t>20.000</w:t>
            </w:r>
          </w:p>
        </w:tc>
        <w:tc>
          <w:tcPr>
            <w:tcW w:w="1400" w:type="dxa"/>
            <w:shd w:val="clear" w:color="000000" w:fill="FFFFFF"/>
            <w:vAlign w:val="center"/>
            <w:hideMark/>
          </w:tcPr>
          <w:p w14:paraId="1E86424A" w14:textId="77777777" w:rsidR="00C17D82" w:rsidRPr="00C17D82" w:rsidRDefault="00C17D82" w:rsidP="00B41966">
            <w:pPr>
              <w:jc w:val="center"/>
              <w:rPr>
                <w:rFonts w:ascii="Arial" w:hAnsi="Arial" w:cs="Arial"/>
                <w:szCs w:val="24"/>
              </w:rPr>
            </w:pPr>
            <w:r w:rsidRPr="00C17D82">
              <w:rPr>
                <w:rFonts w:ascii="Arial" w:hAnsi="Arial" w:cs="Arial"/>
                <w:szCs w:val="24"/>
              </w:rPr>
              <w:t>43</w:t>
            </w:r>
          </w:p>
        </w:tc>
      </w:tr>
      <w:tr w:rsidR="00C17D82" w:rsidRPr="00C17D82" w14:paraId="20B1001A" w14:textId="77777777" w:rsidTr="00B41966">
        <w:trPr>
          <w:trHeight w:val="44"/>
        </w:trPr>
        <w:tc>
          <w:tcPr>
            <w:tcW w:w="6280" w:type="dxa"/>
            <w:shd w:val="clear" w:color="000000" w:fill="FFFFFF"/>
            <w:vAlign w:val="center"/>
            <w:hideMark/>
          </w:tcPr>
          <w:p w14:paraId="51099622" w14:textId="77777777" w:rsidR="00C17D82" w:rsidRPr="00C17D82" w:rsidRDefault="00C17D82" w:rsidP="00B41966">
            <w:pPr>
              <w:rPr>
                <w:rFonts w:ascii="Arial" w:hAnsi="Arial" w:cs="Arial"/>
                <w:szCs w:val="24"/>
              </w:rPr>
            </w:pPr>
            <w:r w:rsidRPr="00C17D82">
              <w:rPr>
                <w:rFonts w:ascii="Arial" w:hAnsi="Arial" w:cs="Arial"/>
                <w:szCs w:val="24"/>
              </w:rPr>
              <w:t>Total investments</w:t>
            </w:r>
          </w:p>
        </w:tc>
        <w:tc>
          <w:tcPr>
            <w:tcW w:w="1760" w:type="dxa"/>
            <w:shd w:val="clear" w:color="000000" w:fill="FFFFFF"/>
            <w:vAlign w:val="center"/>
            <w:hideMark/>
          </w:tcPr>
          <w:p w14:paraId="77D17A01" w14:textId="77777777" w:rsidR="00C17D82" w:rsidRPr="00C17D82" w:rsidRDefault="00C17D82" w:rsidP="00B41966">
            <w:pPr>
              <w:jc w:val="center"/>
              <w:rPr>
                <w:rFonts w:ascii="Arial" w:hAnsi="Arial" w:cs="Arial"/>
                <w:szCs w:val="24"/>
              </w:rPr>
            </w:pPr>
            <w:r w:rsidRPr="00C17D82">
              <w:rPr>
                <w:rFonts w:ascii="Arial" w:hAnsi="Arial" w:cs="Arial"/>
                <w:szCs w:val="24"/>
              </w:rPr>
              <w:t>46.863</w:t>
            </w:r>
          </w:p>
        </w:tc>
        <w:tc>
          <w:tcPr>
            <w:tcW w:w="1400" w:type="dxa"/>
            <w:shd w:val="clear" w:color="000000" w:fill="FFFFFF"/>
            <w:vAlign w:val="center"/>
            <w:hideMark/>
          </w:tcPr>
          <w:p w14:paraId="3A426888" w14:textId="77777777" w:rsidR="00C17D82" w:rsidRPr="00C17D82" w:rsidRDefault="00C17D82" w:rsidP="00B41966">
            <w:pPr>
              <w:jc w:val="center"/>
              <w:rPr>
                <w:rFonts w:ascii="Arial" w:hAnsi="Arial" w:cs="Arial"/>
                <w:szCs w:val="24"/>
              </w:rPr>
            </w:pPr>
            <w:r w:rsidRPr="00C17D82">
              <w:rPr>
                <w:rFonts w:ascii="Arial" w:hAnsi="Arial" w:cs="Arial"/>
                <w:szCs w:val="24"/>
              </w:rPr>
              <w:t>100</w:t>
            </w:r>
          </w:p>
        </w:tc>
      </w:tr>
    </w:tbl>
    <w:p w14:paraId="415D9EFE" w14:textId="77777777" w:rsidR="00C17D82" w:rsidRPr="00C17D82" w:rsidRDefault="00C17D82" w:rsidP="00B41966">
      <w:pPr>
        <w:spacing w:line="259" w:lineRule="auto"/>
        <w:rPr>
          <w:rFonts w:ascii="Arial" w:hAnsi="Arial" w:cs="Arial"/>
          <w:color w:val="1F497D"/>
          <w:szCs w:val="24"/>
          <w:highlight w:val="yellow"/>
        </w:rPr>
      </w:pPr>
    </w:p>
    <w:p w14:paraId="3FA93CEE" w14:textId="77777777" w:rsidR="00C17D82" w:rsidRPr="00C17D82" w:rsidRDefault="00C17D82" w:rsidP="00865A26">
      <w:pPr>
        <w:spacing w:line="259" w:lineRule="auto"/>
        <w:ind w:left="34"/>
        <w:rPr>
          <w:rFonts w:ascii="Arial" w:hAnsi="Arial" w:cs="Arial"/>
          <w:szCs w:val="24"/>
          <w:highlight w:val="yellow"/>
        </w:rPr>
      </w:pPr>
      <w:r w:rsidRPr="00C17D82">
        <w:rPr>
          <w:rFonts w:ascii="Arial" w:hAnsi="Arial" w:cs="Arial"/>
          <w:szCs w:val="24"/>
        </w:rPr>
        <w:t>The level of investments represents the Authority’s cumulative surplus on the General Fund, the balances on other cash-backed earmarked reserves and a cash-flow balance generated by a surplus of creditors over debtors and by grant receipts in advance of payments. There is a net investment figure of £44.863m.</w:t>
      </w:r>
      <w:r w:rsidRPr="00C17D82">
        <w:rPr>
          <w:rFonts w:ascii="Arial" w:hAnsi="Arial" w:cs="Arial"/>
          <w:szCs w:val="24"/>
          <w:highlight w:val="yellow"/>
        </w:rPr>
        <w:br w:type="page"/>
      </w:r>
    </w:p>
    <w:p w14:paraId="5A935B50" w14:textId="77777777" w:rsidR="00C17D82" w:rsidRPr="00C17D82" w:rsidRDefault="00C17D82" w:rsidP="00B41966">
      <w:pPr>
        <w:spacing w:line="259" w:lineRule="auto"/>
        <w:ind w:left="34"/>
        <w:rPr>
          <w:rFonts w:ascii="Arial" w:hAnsi="Arial" w:cs="Arial"/>
          <w:szCs w:val="24"/>
          <w:highlight w:val="yellow"/>
        </w:rPr>
      </w:pPr>
    </w:p>
    <w:p w14:paraId="6222F8A2" w14:textId="77777777" w:rsidR="00C17D82" w:rsidRPr="00C17D82" w:rsidRDefault="00C17D82" w:rsidP="00B41966">
      <w:pPr>
        <w:pStyle w:val="Heading1"/>
        <w:spacing w:after="0"/>
        <w:ind w:left="29"/>
        <w:rPr>
          <w:szCs w:val="24"/>
        </w:rPr>
      </w:pPr>
      <w:r w:rsidRPr="00C17D82">
        <w:rPr>
          <w:szCs w:val="24"/>
        </w:rPr>
        <w:t xml:space="preserve">Borrowing and Investment Requirement </w:t>
      </w:r>
    </w:p>
    <w:p w14:paraId="72A94041" w14:textId="77777777" w:rsidR="00C17D82" w:rsidRPr="00C17D82" w:rsidRDefault="00C17D82" w:rsidP="00B41966">
      <w:pPr>
        <w:rPr>
          <w:rFonts w:ascii="Arial" w:hAnsi="Arial" w:cs="Arial"/>
          <w:szCs w:val="24"/>
        </w:rPr>
      </w:pPr>
    </w:p>
    <w:p w14:paraId="621302E9" w14:textId="77777777" w:rsidR="00C17D82" w:rsidRPr="00C17D82" w:rsidRDefault="00C17D82" w:rsidP="00B41966">
      <w:pPr>
        <w:rPr>
          <w:rFonts w:ascii="Arial" w:hAnsi="Arial" w:cs="Arial"/>
          <w:bCs/>
          <w:szCs w:val="24"/>
        </w:rPr>
      </w:pPr>
      <w:r w:rsidRPr="00C17D82">
        <w:rPr>
          <w:rFonts w:ascii="Arial" w:hAnsi="Arial" w:cs="Arial"/>
          <w:bCs/>
          <w:szCs w:val="24"/>
        </w:rPr>
        <w:t>In the medium term LCFA borrows for capital purposes only. The underlying need to borrow for capital purposes is measured by the Capital Financing Requirement (CFR), while usable reserves and working capital are the underlying resources available for investment. The table below compares the estimated CFR to the debt which currently exists, this gives an indication of the borrowing required. It also shows the estimated resources available for investment. An option is to use these balances to finance the expenditure rather than investing, often referred to as internal borrowing. The table gives an indication of the minimum borrowing or investment requirement through the period.</w:t>
      </w:r>
    </w:p>
    <w:p w14:paraId="0E6383E2" w14:textId="77777777" w:rsidR="00C17D82" w:rsidRPr="00C17D82" w:rsidRDefault="00C17D82" w:rsidP="00B41966">
      <w:pPr>
        <w:spacing w:line="259" w:lineRule="auto"/>
        <w:rPr>
          <w:rFonts w:ascii="Arial" w:hAnsi="Arial" w:cs="Arial"/>
          <w:bCs/>
          <w:szCs w:val="24"/>
        </w:rPr>
      </w:pPr>
    </w:p>
    <w:p w14:paraId="1AC72369" w14:textId="77777777" w:rsidR="00C17D82" w:rsidRPr="00C17D82" w:rsidRDefault="00C17D82" w:rsidP="00B41966">
      <w:pPr>
        <w:rPr>
          <w:rFonts w:ascii="Arial" w:hAnsi="Arial" w:cs="Arial"/>
          <w:bCs/>
          <w:szCs w:val="24"/>
        </w:rPr>
      </w:pPr>
      <w:r w:rsidRPr="00C17D82">
        <w:rPr>
          <w:rFonts w:ascii="Arial" w:hAnsi="Arial" w:cs="Arial"/>
          <w:bCs/>
          <w:szCs w:val="24"/>
        </w:rPr>
        <w:t>The CFR forecast includes the impact of the latest forecast of the funding of the Capital Programme which currently assumes that there will be no borrowing until 2026/27. A voluntary MRP was made in 2019/20 to take the future loans element of the MRP to nil.</w:t>
      </w:r>
    </w:p>
    <w:p w14:paraId="64A6305C" w14:textId="77777777" w:rsidR="00C17D82" w:rsidRPr="00C17D82" w:rsidRDefault="00C17D82" w:rsidP="00B41966">
      <w:pPr>
        <w:spacing w:line="259" w:lineRule="auto"/>
        <w:rPr>
          <w:rFonts w:ascii="Arial" w:eastAsia="Calibri" w:hAnsi="Arial" w:cs="Arial"/>
          <w:i/>
          <w:iCs/>
          <w:color w:val="44546A"/>
          <w:szCs w:val="24"/>
        </w:rPr>
      </w:pPr>
    </w:p>
    <w:p w14:paraId="569A229F" w14:textId="77777777" w:rsidR="00C17D82" w:rsidRPr="00C17D82" w:rsidRDefault="00C17D82" w:rsidP="00B41966">
      <w:pPr>
        <w:keepNext/>
        <w:rPr>
          <w:rFonts w:ascii="Arial" w:hAnsi="Arial" w:cs="Arial"/>
          <w:szCs w:val="24"/>
        </w:rPr>
      </w:pPr>
      <w:r w:rsidRPr="00C17D82">
        <w:rPr>
          <w:rFonts w:ascii="Arial" w:hAnsi="Arial" w:cs="Arial"/>
          <w:szCs w:val="24"/>
        </w:rPr>
        <w:t>Table 3 Borrowing/Investment Need</w:t>
      </w:r>
    </w:p>
    <w:tbl>
      <w:tblPr>
        <w:tblStyle w:val="TableGrid"/>
        <w:tblW w:w="9784" w:type="dxa"/>
        <w:tblInd w:w="44" w:type="dxa"/>
        <w:tblLook w:val="04A0" w:firstRow="1" w:lastRow="0" w:firstColumn="1" w:lastColumn="0" w:noHBand="0" w:noVBand="1"/>
      </w:tblPr>
      <w:tblGrid>
        <w:gridCol w:w="2699"/>
        <w:gridCol w:w="1417"/>
        <w:gridCol w:w="1417"/>
        <w:gridCol w:w="1417"/>
        <w:gridCol w:w="1417"/>
        <w:gridCol w:w="1417"/>
      </w:tblGrid>
      <w:tr w:rsidR="00C17D82" w:rsidRPr="00C17D82" w14:paraId="4FA0E385" w14:textId="77777777" w:rsidTr="00B41966">
        <w:tc>
          <w:tcPr>
            <w:tcW w:w="2699" w:type="dxa"/>
          </w:tcPr>
          <w:p w14:paraId="722F087F" w14:textId="77777777" w:rsidR="00C17D82" w:rsidRPr="00C17D82" w:rsidRDefault="00C17D82" w:rsidP="00B41966">
            <w:pPr>
              <w:rPr>
                <w:rFonts w:ascii="Arial" w:hAnsi="Arial" w:cs="Arial"/>
                <w:szCs w:val="24"/>
              </w:rPr>
            </w:pPr>
          </w:p>
        </w:tc>
        <w:tc>
          <w:tcPr>
            <w:tcW w:w="1417" w:type="dxa"/>
          </w:tcPr>
          <w:p w14:paraId="1165EF12" w14:textId="77777777" w:rsidR="00C17D82" w:rsidRPr="00C17D82" w:rsidRDefault="00C17D82" w:rsidP="00B41966">
            <w:pPr>
              <w:jc w:val="center"/>
              <w:rPr>
                <w:rFonts w:ascii="Arial" w:hAnsi="Arial" w:cs="Arial"/>
                <w:szCs w:val="24"/>
              </w:rPr>
            </w:pPr>
            <w:r w:rsidRPr="00C17D82">
              <w:rPr>
                <w:rFonts w:ascii="Arial" w:hAnsi="Arial" w:cs="Arial"/>
                <w:szCs w:val="24"/>
              </w:rPr>
              <w:t>2023/24</w:t>
            </w:r>
          </w:p>
          <w:p w14:paraId="0E912DA1" w14:textId="77777777" w:rsidR="00C17D82" w:rsidRPr="00C17D82" w:rsidRDefault="00C17D82" w:rsidP="00B41966">
            <w:pPr>
              <w:jc w:val="center"/>
              <w:rPr>
                <w:rFonts w:ascii="Arial" w:hAnsi="Arial" w:cs="Arial"/>
                <w:szCs w:val="24"/>
              </w:rPr>
            </w:pPr>
            <w:r w:rsidRPr="00C17D82">
              <w:rPr>
                <w:rFonts w:ascii="Arial" w:hAnsi="Arial" w:cs="Arial"/>
                <w:szCs w:val="24"/>
              </w:rPr>
              <w:t>£m</w:t>
            </w:r>
          </w:p>
        </w:tc>
        <w:tc>
          <w:tcPr>
            <w:tcW w:w="1417" w:type="dxa"/>
          </w:tcPr>
          <w:p w14:paraId="729033C8" w14:textId="77777777" w:rsidR="00C17D82" w:rsidRPr="00C17D82" w:rsidRDefault="00C17D82" w:rsidP="00B41966">
            <w:pPr>
              <w:jc w:val="center"/>
              <w:rPr>
                <w:rFonts w:ascii="Arial" w:hAnsi="Arial" w:cs="Arial"/>
                <w:szCs w:val="24"/>
              </w:rPr>
            </w:pPr>
            <w:r w:rsidRPr="00C17D82">
              <w:rPr>
                <w:rFonts w:ascii="Arial" w:hAnsi="Arial" w:cs="Arial"/>
                <w:szCs w:val="24"/>
              </w:rPr>
              <w:t>2024/25</w:t>
            </w:r>
          </w:p>
          <w:p w14:paraId="211F65A3" w14:textId="77777777" w:rsidR="00C17D82" w:rsidRPr="00C17D82" w:rsidRDefault="00C17D82" w:rsidP="00B41966">
            <w:pPr>
              <w:jc w:val="center"/>
              <w:rPr>
                <w:rFonts w:ascii="Arial" w:hAnsi="Arial" w:cs="Arial"/>
                <w:szCs w:val="24"/>
              </w:rPr>
            </w:pPr>
            <w:r w:rsidRPr="00C17D82">
              <w:rPr>
                <w:rFonts w:ascii="Arial" w:hAnsi="Arial" w:cs="Arial"/>
                <w:szCs w:val="24"/>
              </w:rPr>
              <w:t>£m</w:t>
            </w:r>
          </w:p>
        </w:tc>
        <w:tc>
          <w:tcPr>
            <w:tcW w:w="1417" w:type="dxa"/>
          </w:tcPr>
          <w:p w14:paraId="4C8AD9EF" w14:textId="77777777" w:rsidR="00C17D82" w:rsidRPr="00C17D82" w:rsidRDefault="00C17D82" w:rsidP="00B41966">
            <w:pPr>
              <w:jc w:val="center"/>
              <w:rPr>
                <w:rFonts w:ascii="Arial" w:hAnsi="Arial" w:cs="Arial"/>
                <w:szCs w:val="24"/>
              </w:rPr>
            </w:pPr>
            <w:r w:rsidRPr="00C17D82">
              <w:rPr>
                <w:rFonts w:ascii="Arial" w:hAnsi="Arial" w:cs="Arial"/>
                <w:szCs w:val="24"/>
              </w:rPr>
              <w:t>2025/26</w:t>
            </w:r>
          </w:p>
          <w:p w14:paraId="05D776C0" w14:textId="77777777" w:rsidR="00C17D82" w:rsidRPr="00C17D82" w:rsidRDefault="00C17D82" w:rsidP="00B41966">
            <w:pPr>
              <w:jc w:val="center"/>
              <w:rPr>
                <w:rFonts w:ascii="Arial" w:hAnsi="Arial" w:cs="Arial"/>
                <w:szCs w:val="24"/>
              </w:rPr>
            </w:pPr>
            <w:r w:rsidRPr="00C17D82">
              <w:rPr>
                <w:rFonts w:ascii="Arial" w:hAnsi="Arial" w:cs="Arial"/>
                <w:szCs w:val="24"/>
              </w:rPr>
              <w:t>£m</w:t>
            </w:r>
          </w:p>
        </w:tc>
        <w:tc>
          <w:tcPr>
            <w:tcW w:w="1417" w:type="dxa"/>
          </w:tcPr>
          <w:p w14:paraId="35F35DD2" w14:textId="77777777" w:rsidR="00C17D82" w:rsidRPr="00C17D82" w:rsidRDefault="00C17D82" w:rsidP="00B41966">
            <w:pPr>
              <w:jc w:val="center"/>
              <w:rPr>
                <w:rFonts w:ascii="Arial" w:hAnsi="Arial" w:cs="Arial"/>
                <w:szCs w:val="24"/>
              </w:rPr>
            </w:pPr>
            <w:r w:rsidRPr="00C17D82">
              <w:rPr>
                <w:rFonts w:ascii="Arial" w:hAnsi="Arial" w:cs="Arial"/>
                <w:szCs w:val="24"/>
              </w:rPr>
              <w:t>2026/27</w:t>
            </w:r>
          </w:p>
          <w:p w14:paraId="5463125C" w14:textId="77777777" w:rsidR="00C17D82" w:rsidRPr="00C17D82" w:rsidRDefault="00C17D82" w:rsidP="00B41966">
            <w:pPr>
              <w:jc w:val="center"/>
              <w:rPr>
                <w:rFonts w:ascii="Arial" w:hAnsi="Arial" w:cs="Arial"/>
                <w:szCs w:val="24"/>
              </w:rPr>
            </w:pPr>
            <w:r w:rsidRPr="00C17D82">
              <w:rPr>
                <w:rFonts w:ascii="Arial" w:hAnsi="Arial" w:cs="Arial"/>
                <w:szCs w:val="24"/>
              </w:rPr>
              <w:t>£m</w:t>
            </w:r>
          </w:p>
        </w:tc>
        <w:tc>
          <w:tcPr>
            <w:tcW w:w="1417" w:type="dxa"/>
          </w:tcPr>
          <w:p w14:paraId="77C441CA" w14:textId="77777777" w:rsidR="00C17D82" w:rsidRPr="00C17D82" w:rsidRDefault="00C17D82" w:rsidP="00B41966">
            <w:pPr>
              <w:jc w:val="center"/>
              <w:rPr>
                <w:rFonts w:ascii="Arial" w:hAnsi="Arial" w:cs="Arial"/>
                <w:szCs w:val="24"/>
              </w:rPr>
            </w:pPr>
            <w:r w:rsidRPr="00C17D82">
              <w:rPr>
                <w:rFonts w:ascii="Arial" w:hAnsi="Arial" w:cs="Arial"/>
                <w:szCs w:val="24"/>
              </w:rPr>
              <w:t>2027/28</w:t>
            </w:r>
          </w:p>
          <w:p w14:paraId="3F1CD194" w14:textId="77777777" w:rsidR="00C17D82" w:rsidRPr="00C17D82" w:rsidRDefault="00C17D82" w:rsidP="00B41966">
            <w:pPr>
              <w:jc w:val="center"/>
              <w:rPr>
                <w:rFonts w:ascii="Arial" w:hAnsi="Arial" w:cs="Arial"/>
                <w:szCs w:val="24"/>
              </w:rPr>
            </w:pPr>
            <w:r w:rsidRPr="00C17D82">
              <w:rPr>
                <w:rFonts w:ascii="Arial" w:hAnsi="Arial" w:cs="Arial"/>
                <w:szCs w:val="24"/>
              </w:rPr>
              <w:t>£m</w:t>
            </w:r>
          </w:p>
        </w:tc>
      </w:tr>
      <w:tr w:rsidR="00C17D82" w:rsidRPr="00C17D82" w14:paraId="542A10A7" w14:textId="77777777" w:rsidTr="00B41966">
        <w:tc>
          <w:tcPr>
            <w:tcW w:w="2699" w:type="dxa"/>
          </w:tcPr>
          <w:p w14:paraId="6A454D77" w14:textId="77777777" w:rsidR="00C17D82" w:rsidRPr="00C17D82" w:rsidRDefault="00C17D82" w:rsidP="00B41966">
            <w:pPr>
              <w:rPr>
                <w:rFonts w:ascii="Arial" w:hAnsi="Arial" w:cs="Arial"/>
                <w:szCs w:val="24"/>
              </w:rPr>
            </w:pPr>
            <w:r w:rsidRPr="00C17D82">
              <w:rPr>
                <w:rFonts w:ascii="Arial" w:hAnsi="Arial" w:cs="Arial"/>
                <w:szCs w:val="24"/>
              </w:rPr>
              <w:t>Capital Financing Requirement</w:t>
            </w:r>
          </w:p>
        </w:tc>
        <w:tc>
          <w:tcPr>
            <w:tcW w:w="1417" w:type="dxa"/>
            <w:vAlign w:val="center"/>
          </w:tcPr>
          <w:p w14:paraId="7FB9BA80" w14:textId="77777777" w:rsidR="00C17D82" w:rsidRPr="00C17D82" w:rsidRDefault="00C17D82" w:rsidP="00B41966">
            <w:pPr>
              <w:jc w:val="center"/>
              <w:rPr>
                <w:rFonts w:ascii="Arial" w:hAnsi="Arial" w:cs="Arial"/>
                <w:szCs w:val="24"/>
              </w:rPr>
            </w:pPr>
            <w:r w:rsidRPr="00C17D82">
              <w:rPr>
                <w:rFonts w:ascii="Arial" w:hAnsi="Arial" w:cs="Arial"/>
                <w:szCs w:val="24"/>
              </w:rPr>
              <w:t>11.868</w:t>
            </w:r>
          </w:p>
        </w:tc>
        <w:tc>
          <w:tcPr>
            <w:tcW w:w="1417" w:type="dxa"/>
            <w:vAlign w:val="center"/>
          </w:tcPr>
          <w:p w14:paraId="1334AC66" w14:textId="77777777" w:rsidR="00C17D82" w:rsidRPr="00C17D82" w:rsidRDefault="00C17D82" w:rsidP="00B41966">
            <w:pPr>
              <w:jc w:val="center"/>
              <w:rPr>
                <w:rFonts w:ascii="Arial" w:hAnsi="Arial" w:cs="Arial"/>
                <w:szCs w:val="24"/>
              </w:rPr>
            </w:pPr>
            <w:r w:rsidRPr="00C17D82">
              <w:rPr>
                <w:rFonts w:ascii="Arial" w:hAnsi="Arial" w:cs="Arial"/>
                <w:szCs w:val="24"/>
              </w:rPr>
              <w:t>11.339</w:t>
            </w:r>
          </w:p>
        </w:tc>
        <w:tc>
          <w:tcPr>
            <w:tcW w:w="1417" w:type="dxa"/>
            <w:vAlign w:val="center"/>
          </w:tcPr>
          <w:p w14:paraId="66C68E1C" w14:textId="77777777" w:rsidR="00C17D82" w:rsidRPr="00C17D82" w:rsidRDefault="00C17D82" w:rsidP="00B41966">
            <w:pPr>
              <w:jc w:val="center"/>
              <w:rPr>
                <w:rFonts w:ascii="Arial" w:hAnsi="Arial" w:cs="Arial"/>
                <w:szCs w:val="24"/>
              </w:rPr>
            </w:pPr>
            <w:r w:rsidRPr="00C17D82">
              <w:rPr>
                <w:rFonts w:ascii="Arial" w:hAnsi="Arial" w:cs="Arial"/>
                <w:szCs w:val="24"/>
              </w:rPr>
              <w:t>10.762</w:t>
            </w:r>
          </w:p>
        </w:tc>
        <w:tc>
          <w:tcPr>
            <w:tcW w:w="1417" w:type="dxa"/>
            <w:vAlign w:val="center"/>
          </w:tcPr>
          <w:p w14:paraId="6A46A5D4" w14:textId="77777777" w:rsidR="00C17D82" w:rsidRPr="00C17D82" w:rsidRDefault="00C17D82" w:rsidP="00B41966">
            <w:pPr>
              <w:jc w:val="center"/>
              <w:rPr>
                <w:rFonts w:ascii="Arial" w:hAnsi="Arial" w:cs="Arial"/>
                <w:szCs w:val="24"/>
              </w:rPr>
            </w:pPr>
            <w:r w:rsidRPr="00C17D82">
              <w:rPr>
                <w:rFonts w:ascii="Arial" w:hAnsi="Arial" w:cs="Arial"/>
                <w:szCs w:val="24"/>
              </w:rPr>
              <w:t>14.322</w:t>
            </w:r>
          </w:p>
        </w:tc>
        <w:tc>
          <w:tcPr>
            <w:tcW w:w="1417" w:type="dxa"/>
            <w:vAlign w:val="center"/>
          </w:tcPr>
          <w:p w14:paraId="3354B82B" w14:textId="77777777" w:rsidR="00C17D82" w:rsidRPr="00C17D82" w:rsidRDefault="00C17D82" w:rsidP="00B41966">
            <w:pPr>
              <w:jc w:val="center"/>
              <w:rPr>
                <w:rFonts w:ascii="Arial" w:hAnsi="Arial" w:cs="Arial"/>
                <w:szCs w:val="24"/>
              </w:rPr>
            </w:pPr>
            <w:r w:rsidRPr="00C17D82">
              <w:rPr>
                <w:rFonts w:ascii="Arial" w:hAnsi="Arial" w:cs="Arial"/>
                <w:szCs w:val="24"/>
              </w:rPr>
              <w:t>40.130</w:t>
            </w:r>
          </w:p>
        </w:tc>
      </w:tr>
      <w:tr w:rsidR="00C17D82" w:rsidRPr="00C17D82" w14:paraId="34C676E8" w14:textId="77777777" w:rsidTr="00B41966">
        <w:tc>
          <w:tcPr>
            <w:tcW w:w="2699" w:type="dxa"/>
          </w:tcPr>
          <w:p w14:paraId="6CCDB7FF" w14:textId="77777777" w:rsidR="00C17D82" w:rsidRPr="00C17D82" w:rsidRDefault="00C17D82" w:rsidP="00B41966">
            <w:pPr>
              <w:rPr>
                <w:rFonts w:ascii="Arial" w:hAnsi="Arial" w:cs="Arial"/>
                <w:szCs w:val="24"/>
              </w:rPr>
            </w:pPr>
            <w:r w:rsidRPr="00C17D82">
              <w:rPr>
                <w:rFonts w:ascii="Arial" w:hAnsi="Arial" w:cs="Arial"/>
                <w:szCs w:val="24"/>
              </w:rPr>
              <w:t>Less long-term liabilities (PFI and finance leases)</w:t>
            </w:r>
          </w:p>
        </w:tc>
        <w:tc>
          <w:tcPr>
            <w:tcW w:w="1417" w:type="dxa"/>
            <w:vAlign w:val="center"/>
          </w:tcPr>
          <w:p w14:paraId="2B18AFF8" w14:textId="77777777" w:rsidR="00C17D82" w:rsidRPr="00C17D82" w:rsidRDefault="00C17D82" w:rsidP="00B41966">
            <w:pPr>
              <w:jc w:val="center"/>
              <w:rPr>
                <w:rFonts w:ascii="Arial" w:hAnsi="Arial" w:cs="Arial"/>
                <w:szCs w:val="24"/>
              </w:rPr>
            </w:pPr>
            <w:r w:rsidRPr="00C17D82">
              <w:rPr>
                <w:rFonts w:ascii="Arial" w:hAnsi="Arial" w:cs="Arial"/>
                <w:szCs w:val="24"/>
              </w:rPr>
              <w:t>(11.868)</w:t>
            </w:r>
          </w:p>
        </w:tc>
        <w:tc>
          <w:tcPr>
            <w:tcW w:w="1417" w:type="dxa"/>
            <w:vAlign w:val="center"/>
          </w:tcPr>
          <w:p w14:paraId="6D237A28" w14:textId="77777777" w:rsidR="00C17D82" w:rsidRPr="00C17D82" w:rsidRDefault="00C17D82" w:rsidP="00B41966">
            <w:pPr>
              <w:jc w:val="center"/>
              <w:rPr>
                <w:rFonts w:ascii="Arial" w:hAnsi="Arial" w:cs="Arial"/>
                <w:szCs w:val="24"/>
              </w:rPr>
            </w:pPr>
            <w:r w:rsidRPr="00C17D82">
              <w:rPr>
                <w:rFonts w:ascii="Arial" w:hAnsi="Arial" w:cs="Arial"/>
                <w:szCs w:val="24"/>
              </w:rPr>
              <w:t>(11.339)</w:t>
            </w:r>
          </w:p>
        </w:tc>
        <w:tc>
          <w:tcPr>
            <w:tcW w:w="1417" w:type="dxa"/>
            <w:vAlign w:val="center"/>
          </w:tcPr>
          <w:p w14:paraId="05125229" w14:textId="77777777" w:rsidR="00C17D82" w:rsidRPr="00C17D82" w:rsidRDefault="00C17D82" w:rsidP="00B41966">
            <w:pPr>
              <w:jc w:val="center"/>
              <w:rPr>
                <w:rFonts w:ascii="Arial" w:hAnsi="Arial" w:cs="Arial"/>
                <w:szCs w:val="24"/>
              </w:rPr>
            </w:pPr>
            <w:r w:rsidRPr="00C17D82">
              <w:rPr>
                <w:rFonts w:ascii="Arial" w:hAnsi="Arial" w:cs="Arial"/>
                <w:szCs w:val="24"/>
              </w:rPr>
              <w:t>(10.762)</w:t>
            </w:r>
          </w:p>
        </w:tc>
        <w:tc>
          <w:tcPr>
            <w:tcW w:w="1417" w:type="dxa"/>
            <w:vAlign w:val="center"/>
          </w:tcPr>
          <w:p w14:paraId="2AE6ABAA" w14:textId="77777777" w:rsidR="00C17D82" w:rsidRPr="00C17D82" w:rsidRDefault="00C17D82" w:rsidP="00B41966">
            <w:pPr>
              <w:jc w:val="center"/>
              <w:rPr>
                <w:rFonts w:ascii="Arial" w:hAnsi="Arial" w:cs="Arial"/>
                <w:szCs w:val="24"/>
              </w:rPr>
            </w:pPr>
            <w:r w:rsidRPr="00C17D82">
              <w:rPr>
                <w:rFonts w:ascii="Arial" w:hAnsi="Arial" w:cs="Arial"/>
                <w:szCs w:val="24"/>
              </w:rPr>
              <w:t>(10.144)</w:t>
            </w:r>
          </w:p>
        </w:tc>
        <w:tc>
          <w:tcPr>
            <w:tcW w:w="1417" w:type="dxa"/>
            <w:vAlign w:val="center"/>
          </w:tcPr>
          <w:p w14:paraId="6E545825" w14:textId="77777777" w:rsidR="00C17D82" w:rsidRPr="00C17D82" w:rsidRDefault="00C17D82" w:rsidP="00B41966">
            <w:pPr>
              <w:jc w:val="center"/>
              <w:rPr>
                <w:rFonts w:ascii="Arial" w:hAnsi="Arial" w:cs="Arial"/>
                <w:szCs w:val="24"/>
              </w:rPr>
            </w:pPr>
            <w:r w:rsidRPr="00C17D82">
              <w:rPr>
                <w:rFonts w:ascii="Arial" w:hAnsi="Arial" w:cs="Arial"/>
                <w:szCs w:val="24"/>
              </w:rPr>
              <w:t>(9.458)</w:t>
            </w:r>
          </w:p>
        </w:tc>
      </w:tr>
      <w:tr w:rsidR="00C17D82" w:rsidRPr="00C17D82" w14:paraId="2F9483D2" w14:textId="77777777" w:rsidTr="00B41966">
        <w:tc>
          <w:tcPr>
            <w:tcW w:w="2699" w:type="dxa"/>
          </w:tcPr>
          <w:p w14:paraId="3CCC78AD" w14:textId="77777777" w:rsidR="00C17D82" w:rsidRPr="00C17D82" w:rsidRDefault="00C17D82" w:rsidP="00B41966">
            <w:pPr>
              <w:rPr>
                <w:rFonts w:ascii="Arial" w:hAnsi="Arial" w:cs="Arial"/>
                <w:szCs w:val="24"/>
              </w:rPr>
            </w:pPr>
            <w:r w:rsidRPr="00C17D82">
              <w:rPr>
                <w:rFonts w:ascii="Arial" w:hAnsi="Arial" w:cs="Arial"/>
                <w:szCs w:val="24"/>
              </w:rPr>
              <w:t>Less external borrowing</w:t>
            </w:r>
          </w:p>
        </w:tc>
        <w:tc>
          <w:tcPr>
            <w:tcW w:w="1417" w:type="dxa"/>
            <w:vAlign w:val="center"/>
          </w:tcPr>
          <w:p w14:paraId="0B3E48E3"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vAlign w:val="center"/>
          </w:tcPr>
          <w:p w14:paraId="6F7EDD3E"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vAlign w:val="center"/>
          </w:tcPr>
          <w:p w14:paraId="70FA76E0"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vAlign w:val="center"/>
          </w:tcPr>
          <w:p w14:paraId="53AF6A2E"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vAlign w:val="center"/>
          </w:tcPr>
          <w:p w14:paraId="0B895BD4"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r>
      <w:tr w:rsidR="00C17D82" w:rsidRPr="00C17D82" w14:paraId="25F1F362" w14:textId="77777777" w:rsidTr="00B41966">
        <w:tc>
          <w:tcPr>
            <w:tcW w:w="2699" w:type="dxa"/>
            <w:shd w:val="clear" w:color="auto" w:fill="D9E2F3" w:themeFill="accent1" w:themeFillTint="33"/>
          </w:tcPr>
          <w:p w14:paraId="6F91E4C8" w14:textId="77777777" w:rsidR="00C17D82" w:rsidRPr="00C17D82" w:rsidRDefault="00C17D82" w:rsidP="00B41966">
            <w:pPr>
              <w:rPr>
                <w:rFonts w:ascii="Arial" w:hAnsi="Arial" w:cs="Arial"/>
                <w:szCs w:val="24"/>
              </w:rPr>
            </w:pPr>
            <w:r w:rsidRPr="00C17D82">
              <w:rPr>
                <w:rFonts w:ascii="Arial" w:hAnsi="Arial" w:cs="Arial"/>
                <w:szCs w:val="24"/>
              </w:rPr>
              <w:t>Borrowing requirement</w:t>
            </w:r>
          </w:p>
        </w:tc>
        <w:tc>
          <w:tcPr>
            <w:tcW w:w="1417" w:type="dxa"/>
            <w:shd w:val="clear" w:color="auto" w:fill="D9E2F3" w:themeFill="accent1" w:themeFillTint="33"/>
            <w:vAlign w:val="center"/>
          </w:tcPr>
          <w:p w14:paraId="4B02B029"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shd w:val="clear" w:color="auto" w:fill="D9E2F3" w:themeFill="accent1" w:themeFillTint="33"/>
            <w:vAlign w:val="center"/>
          </w:tcPr>
          <w:p w14:paraId="412CF720"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shd w:val="clear" w:color="auto" w:fill="D9E2F3" w:themeFill="accent1" w:themeFillTint="33"/>
            <w:vAlign w:val="center"/>
          </w:tcPr>
          <w:p w14:paraId="7511657B" w14:textId="77777777" w:rsidR="00C17D82" w:rsidRPr="00C17D82" w:rsidRDefault="00C17D82" w:rsidP="00B41966">
            <w:pPr>
              <w:jc w:val="center"/>
              <w:rPr>
                <w:rFonts w:ascii="Arial" w:hAnsi="Arial" w:cs="Arial"/>
                <w:szCs w:val="24"/>
              </w:rPr>
            </w:pPr>
            <w:r w:rsidRPr="00C17D82">
              <w:rPr>
                <w:rFonts w:ascii="Arial" w:hAnsi="Arial" w:cs="Arial"/>
                <w:szCs w:val="24"/>
              </w:rPr>
              <w:t>(2.000)</w:t>
            </w:r>
          </w:p>
        </w:tc>
        <w:tc>
          <w:tcPr>
            <w:tcW w:w="1417" w:type="dxa"/>
            <w:shd w:val="clear" w:color="auto" w:fill="D9E2F3" w:themeFill="accent1" w:themeFillTint="33"/>
            <w:vAlign w:val="center"/>
          </w:tcPr>
          <w:p w14:paraId="376F1E3D" w14:textId="77777777" w:rsidR="00C17D82" w:rsidRPr="00C17D82" w:rsidRDefault="00C17D82" w:rsidP="00B41966">
            <w:pPr>
              <w:jc w:val="center"/>
              <w:rPr>
                <w:rFonts w:ascii="Arial" w:hAnsi="Arial" w:cs="Arial"/>
                <w:szCs w:val="24"/>
              </w:rPr>
            </w:pPr>
            <w:r w:rsidRPr="00C17D82">
              <w:rPr>
                <w:rFonts w:ascii="Arial" w:hAnsi="Arial" w:cs="Arial"/>
                <w:szCs w:val="24"/>
              </w:rPr>
              <w:t>2.178</w:t>
            </w:r>
          </w:p>
        </w:tc>
        <w:tc>
          <w:tcPr>
            <w:tcW w:w="1417" w:type="dxa"/>
            <w:shd w:val="clear" w:color="auto" w:fill="D9E2F3" w:themeFill="accent1" w:themeFillTint="33"/>
            <w:vAlign w:val="center"/>
          </w:tcPr>
          <w:p w14:paraId="3CE7DC0F" w14:textId="77777777" w:rsidR="00C17D82" w:rsidRPr="00C17D82" w:rsidRDefault="00C17D82" w:rsidP="00B41966">
            <w:pPr>
              <w:jc w:val="center"/>
              <w:rPr>
                <w:rFonts w:ascii="Arial" w:hAnsi="Arial" w:cs="Arial"/>
                <w:szCs w:val="24"/>
              </w:rPr>
            </w:pPr>
            <w:r w:rsidRPr="00C17D82">
              <w:rPr>
                <w:rFonts w:ascii="Arial" w:hAnsi="Arial" w:cs="Arial"/>
                <w:szCs w:val="24"/>
              </w:rPr>
              <w:t>28.672</w:t>
            </w:r>
          </w:p>
        </w:tc>
      </w:tr>
    </w:tbl>
    <w:p w14:paraId="4E12B877" w14:textId="77777777" w:rsidR="00C17D82" w:rsidRPr="00C17D82" w:rsidRDefault="00C17D82" w:rsidP="00B41966">
      <w:pPr>
        <w:rPr>
          <w:rFonts w:ascii="Arial" w:hAnsi="Arial" w:cs="Arial"/>
          <w:szCs w:val="24"/>
          <w:highlight w:val="yellow"/>
        </w:rPr>
      </w:pPr>
    </w:p>
    <w:tbl>
      <w:tblPr>
        <w:tblStyle w:val="TableGrid"/>
        <w:tblW w:w="9808" w:type="dxa"/>
        <w:tblInd w:w="44" w:type="dxa"/>
        <w:tblLook w:val="04A0" w:firstRow="1" w:lastRow="0" w:firstColumn="1" w:lastColumn="0" w:noHBand="0" w:noVBand="1"/>
      </w:tblPr>
      <w:tblGrid>
        <w:gridCol w:w="2697"/>
        <w:gridCol w:w="1402"/>
        <w:gridCol w:w="1401"/>
        <w:gridCol w:w="1474"/>
        <w:gridCol w:w="1417"/>
        <w:gridCol w:w="1417"/>
      </w:tblGrid>
      <w:tr w:rsidR="00C17D82" w:rsidRPr="00C17D82" w14:paraId="0DB5FE49" w14:textId="77777777" w:rsidTr="00B41966">
        <w:tc>
          <w:tcPr>
            <w:tcW w:w="2697" w:type="dxa"/>
          </w:tcPr>
          <w:p w14:paraId="3F3B7A1B" w14:textId="77777777" w:rsidR="00C17D82" w:rsidRPr="00C17D82" w:rsidRDefault="00C17D82" w:rsidP="00B41966">
            <w:pPr>
              <w:rPr>
                <w:rFonts w:ascii="Arial" w:hAnsi="Arial" w:cs="Arial"/>
                <w:szCs w:val="24"/>
              </w:rPr>
            </w:pPr>
            <w:r w:rsidRPr="00C17D82">
              <w:rPr>
                <w:rFonts w:ascii="Arial" w:hAnsi="Arial" w:cs="Arial"/>
                <w:szCs w:val="24"/>
              </w:rPr>
              <w:t>Reserves and working capital</w:t>
            </w:r>
          </w:p>
        </w:tc>
        <w:tc>
          <w:tcPr>
            <w:tcW w:w="1402" w:type="dxa"/>
            <w:vAlign w:val="center"/>
          </w:tcPr>
          <w:p w14:paraId="67C84595" w14:textId="77777777" w:rsidR="00C17D82" w:rsidRPr="00C17D82" w:rsidRDefault="00C17D82" w:rsidP="00B41966">
            <w:pPr>
              <w:jc w:val="center"/>
              <w:rPr>
                <w:rFonts w:ascii="Arial" w:hAnsi="Arial" w:cs="Arial"/>
                <w:szCs w:val="24"/>
              </w:rPr>
            </w:pPr>
            <w:r w:rsidRPr="00C17D82">
              <w:rPr>
                <w:rFonts w:ascii="Arial" w:hAnsi="Arial" w:cs="Arial"/>
                <w:szCs w:val="24"/>
              </w:rPr>
              <w:t>(27.213)</w:t>
            </w:r>
          </w:p>
        </w:tc>
        <w:tc>
          <w:tcPr>
            <w:tcW w:w="1401" w:type="dxa"/>
            <w:vAlign w:val="center"/>
          </w:tcPr>
          <w:p w14:paraId="092254ED" w14:textId="77777777" w:rsidR="00C17D82" w:rsidRPr="00C17D82" w:rsidRDefault="00C17D82" w:rsidP="00B41966">
            <w:pPr>
              <w:jc w:val="center"/>
              <w:rPr>
                <w:rFonts w:ascii="Arial" w:hAnsi="Arial" w:cs="Arial"/>
                <w:szCs w:val="24"/>
              </w:rPr>
            </w:pPr>
            <w:r w:rsidRPr="00C17D82">
              <w:rPr>
                <w:rFonts w:ascii="Arial" w:hAnsi="Arial" w:cs="Arial"/>
                <w:szCs w:val="24"/>
              </w:rPr>
              <w:t>(24.500)</w:t>
            </w:r>
          </w:p>
        </w:tc>
        <w:tc>
          <w:tcPr>
            <w:tcW w:w="1474" w:type="dxa"/>
            <w:vAlign w:val="center"/>
          </w:tcPr>
          <w:p w14:paraId="0520BBE1" w14:textId="77777777" w:rsidR="00C17D82" w:rsidRPr="00C17D82" w:rsidRDefault="00C17D82" w:rsidP="00B41966">
            <w:pPr>
              <w:jc w:val="center"/>
              <w:rPr>
                <w:rFonts w:ascii="Arial" w:hAnsi="Arial" w:cs="Arial"/>
                <w:szCs w:val="24"/>
              </w:rPr>
            </w:pPr>
            <w:r w:rsidRPr="00C17D82">
              <w:rPr>
                <w:rFonts w:ascii="Arial" w:hAnsi="Arial" w:cs="Arial"/>
                <w:szCs w:val="24"/>
              </w:rPr>
              <w:t>(14.239)</w:t>
            </w:r>
          </w:p>
        </w:tc>
        <w:tc>
          <w:tcPr>
            <w:tcW w:w="1417" w:type="dxa"/>
            <w:vAlign w:val="center"/>
          </w:tcPr>
          <w:p w14:paraId="53D4478E" w14:textId="77777777" w:rsidR="00C17D82" w:rsidRPr="00C17D82" w:rsidRDefault="00C17D82" w:rsidP="00B41966">
            <w:pPr>
              <w:jc w:val="center"/>
              <w:rPr>
                <w:rFonts w:ascii="Arial" w:hAnsi="Arial" w:cs="Arial"/>
                <w:szCs w:val="24"/>
              </w:rPr>
            </w:pPr>
            <w:r w:rsidRPr="00C17D82">
              <w:rPr>
                <w:rFonts w:ascii="Arial" w:hAnsi="Arial" w:cs="Arial"/>
                <w:szCs w:val="24"/>
              </w:rPr>
              <w:t>(7.621)</w:t>
            </w:r>
          </w:p>
        </w:tc>
        <w:tc>
          <w:tcPr>
            <w:tcW w:w="1417" w:type="dxa"/>
            <w:vAlign w:val="center"/>
          </w:tcPr>
          <w:p w14:paraId="11CA01DC" w14:textId="77777777" w:rsidR="00C17D82" w:rsidRPr="00C17D82" w:rsidRDefault="00C17D82" w:rsidP="00B41966">
            <w:pPr>
              <w:jc w:val="center"/>
              <w:rPr>
                <w:rFonts w:ascii="Arial" w:hAnsi="Arial" w:cs="Arial"/>
                <w:szCs w:val="24"/>
              </w:rPr>
            </w:pPr>
            <w:r w:rsidRPr="00C17D82">
              <w:rPr>
                <w:rFonts w:ascii="Arial" w:hAnsi="Arial" w:cs="Arial"/>
                <w:szCs w:val="24"/>
              </w:rPr>
              <w:t>(7.621)</w:t>
            </w:r>
          </w:p>
        </w:tc>
      </w:tr>
      <w:tr w:rsidR="00C17D82" w:rsidRPr="00C17D82" w14:paraId="1A322728" w14:textId="77777777" w:rsidTr="00B41966">
        <w:tc>
          <w:tcPr>
            <w:tcW w:w="2697" w:type="dxa"/>
            <w:shd w:val="clear" w:color="auto" w:fill="D9E2F3" w:themeFill="accent1" w:themeFillTint="33"/>
          </w:tcPr>
          <w:p w14:paraId="19E8F430" w14:textId="77777777" w:rsidR="00C17D82" w:rsidRPr="00C17D82" w:rsidRDefault="00C17D82" w:rsidP="00B41966">
            <w:pPr>
              <w:rPr>
                <w:rFonts w:ascii="Arial" w:hAnsi="Arial" w:cs="Arial"/>
                <w:szCs w:val="24"/>
              </w:rPr>
            </w:pPr>
            <w:r w:rsidRPr="00C17D82">
              <w:rPr>
                <w:rFonts w:ascii="Arial" w:hAnsi="Arial" w:cs="Arial"/>
                <w:szCs w:val="24"/>
              </w:rPr>
              <w:t>Borrowing/(Investment) Need</w:t>
            </w:r>
          </w:p>
        </w:tc>
        <w:tc>
          <w:tcPr>
            <w:tcW w:w="1402" w:type="dxa"/>
            <w:shd w:val="clear" w:color="auto" w:fill="D9E2F3" w:themeFill="accent1" w:themeFillTint="33"/>
            <w:vAlign w:val="center"/>
          </w:tcPr>
          <w:p w14:paraId="18EC9BB9" w14:textId="77777777" w:rsidR="00C17D82" w:rsidRPr="00C17D82" w:rsidRDefault="00C17D82" w:rsidP="00B41966">
            <w:pPr>
              <w:jc w:val="center"/>
              <w:rPr>
                <w:rFonts w:ascii="Arial" w:hAnsi="Arial" w:cs="Arial"/>
                <w:szCs w:val="24"/>
              </w:rPr>
            </w:pPr>
            <w:r w:rsidRPr="00C17D82">
              <w:rPr>
                <w:rFonts w:ascii="Arial" w:hAnsi="Arial" w:cs="Arial"/>
                <w:szCs w:val="24"/>
              </w:rPr>
              <w:t>(29.213)</w:t>
            </w:r>
          </w:p>
        </w:tc>
        <w:tc>
          <w:tcPr>
            <w:tcW w:w="1401" w:type="dxa"/>
            <w:shd w:val="clear" w:color="auto" w:fill="D9E2F3" w:themeFill="accent1" w:themeFillTint="33"/>
            <w:vAlign w:val="center"/>
          </w:tcPr>
          <w:p w14:paraId="481ECA38" w14:textId="77777777" w:rsidR="00C17D82" w:rsidRPr="00C17D82" w:rsidRDefault="00C17D82" w:rsidP="00B41966">
            <w:pPr>
              <w:jc w:val="center"/>
              <w:rPr>
                <w:rFonts w:ascii="Arial" w:hAnsi="Arial" w:cs="Arial"/>
                <w:szCs w:val="24"/>
              </w:rPr>
            </w:pPr>
            <w:r w:rsidRPr="00C17D82">
              <w:rPr>
                <w:rFonts w:ascii="Arial" w:hAnsi="Arial" w:cs="Arial"/>
                <w:szCs w:val="24"/>
              </w:rPr>
              <w:t>(26.500)</w:t>
            </w:r>
          </w:p>
        </w:tc>
        <w:tc>
          <w:tcPr>
            <w:tcW w:w="1474" w:type="dxa"/>
            <w:shd w:val="clear" w:color="auto" w:fill="D9E2F3" w:themeFill="accent1" w:themeFillTint="33"/>
            <w:vAlign w:val="center"/>
          </w:tcPr>
          <w:p w14:paraId="6040A128" w14:textId="77777777" w:rsidR="00C17D82" w:rsidRPr="00C17D82" w:rsidRDefault="00C17D82" w:rsidP="00B41966">
            <w:pPr>
              <w:jc w:val="center"/>
              <w:rPr>
                <w:rFonts w:ascii="Arial" w:hAnsi="Arial" w:cs="Arial"/>
                <w:szCs w:val="24"/>
              </w:rPr>
            </w:pPr>
            <w:r w:rsidRPr="00C17D82">
              <w:rPr>
                <w:rFonts w:ascii="Arial" w:hAnsi="Arial" w:cs="Arial"/>
                <w:szCs w:val="24"/>
              </w:rPr>
              <w:t>(16.239)</w:t>
            </w:r>
          </w:p>
        </w:tc>
        <w:tc>
          <w:tcPr>
            <w:tcW w:w="1417" w:type="dxa"/>
            <w:shd w:val="clear" w:color="auto" w:fill="D9E2F3" w:themeFill="accent1" w:themeFillTint="33"/>
            <w:vAlign w:val="center"/>
          </w:tcPr>
          <w:p w14:paraId="2A735B11" w14:textId="77777777" w:rsidR="00C17D82" w:rsidRPr="00C17D82" w:rsidRDefault="00C17D82" w:rsidP="00B41966">
            <w:pPr>
              <w:jc w:val="center"/>
              <w:rPr>
                <w:rFonts w:ascii="Arial" w:hAnsi="Arial" w:cs="Arial"/>
                <w:szCs w:val="24"/>
              </w:rPr>
            </w:pPr>
            <w:r w:rsidRPr="00C17D82">
              <w:rPr>
                <w:rFonts w:ascii="Arial" w:hAnsi="Arial" w:cs="Arial"/>
                <w:szCs w:val="24"/>
              </w:rPr>
              <w:t>(5.443)</w:t>
            </w:r>
          </w:p>
        </w:tc>
        <w:tc>
          <w:tcPr>
            <w:tcW w:w="1417" w:type="dxa"/>
            <w:shd w:val="clear" w:color="auto" w:fill="D9E2F3" w:themeFill="accent1" w:themeFillTint="33"/>
            <w:vAlign w:val="center"/>
          </w:tcPr>
          <w:p w14:paraId="2679655B" w14:textId="77777777" w:rsidR="00C17D82" w:rsidRPr="00C17D82" w:rsidRDefault="00C17D82" w:rsidP="00B41966">
            <w:pPr>
              <w:jc w:val="center"/>
              <w:rPr>
                <w:rFonts w:ascii="Arial" w:hAnsi="Arial" w:cs="Arial"/>
                <w:szCs w:val="24"/>
              </w:rPr>
            </w:pPr>
            <w:r w:rsidRPr="00C17D82">
              <w:rPr>
                <w:rFonts w:ascii="Arial" w:hAnsi="Arial" w:cs="Arial"/>
                <w:szCs w:val="24"/>
              </w:rPr>
              <w:t>21.051</w:t>
            </w:r>
          </w:p>
        </w:tc>
      </w:tr>
    </w:tbl>
    <w:p w14:paraId="1114EDDE" w14:textId="77777777" w:rsidR="00C17D82" w:rsidRPr="00C17D82" w:rsidRDefault="00C17D82" w:rsidP="00B41966">
      <w:pPr>
        <w:rPr>
          <w:rFonts w:ascii="Arial" w:hAnsi="Arial" w:cs="Arial"/>
          <w:szCs w:val="24"/>
        </w:rPr>
      </w:pPr>
    </w:p>
    <w:p w14:paraId="6AF62A4C" w14:textId="77777777" w:rsidR="00C17D82" w:rsidRPr="00C17D82" w:rsidRDefault="00C17D82" w:rsidP="00B41966">
      <w:pPr>
        <w:rPr>
          <w:rFonts w:ascii="Arial" w:hAnsi="Arial" w:cs="Arial"/>
          <w:szCs w:val="24"/>
        </w:rPr>
      </w:pPr>
      <w:r w:rsidRPr="00C17D82">
        <w:rPr>
          <w:rFonts w:ascii="Arial" w:hAnsi="Arial" w:cs="Arial"/>
          <w:szCs w:val="24"/>
        </w:rPr>
        <w:t xml:space="preserve">CIPFA’s Prudential Code for Capital Finance in Local Authorities recommends that the Authority’s total debt should be lower than its highest forecast CFR over the next three years. However, the table above shows that the level of loans was above the CFR at 31/3/24. This was the result of the Authority adopting a policy of setting aside additional Minimum Revenue Provision (MRP) to generate the cash to repay loans either on maturity or as an early repayment. </w:t>
      </w:r>
    </w:p>
    <w:p w14:paraId="00C19ED9" w14:textId="77777777" w:rsidR="00C17D82" w:rsidRPr="00C17D82" w:rsidRDefault="00C17D82" w:rsidP="00B41966">
      <w:pPr>
        <w:rPr>
          <w:rFonts w:ascii="Arial" w:hAnsi="Arial" w:cs="Arial"/>
          <w:szCs w:val="24"/>
        </w:rPr>
      </w:pPr>
    </w:p>
    <w:p w14:paraId="1EF79A6A" w14:textId="77777777" w:rsidR="00C17D82" w:rsidRPr="00C17D82" w:rsidRDefault="00C17D82" w:rsidP="00B41966">
      <w:pPr>
        <w:rPr>
          <w:rFonts w:ascii="Arial" w:hAnsi="Arial" w:cs="Arial"/>
          <w:szCs w:val="24"/>
        </w:rPr>
      </w:pPr>
      <w:r w:rsidRPr="00C17D82">
        <w:rPr>
          <w:rFonts w:ascii="Arial" w:hAnsi="Arial" w:cs="Arial"/>
          <w:szCs w:val="24"/>
        </w:rPr>
        <w:t>The table above indicates that rather than having a need for borrowing it is estimated that the authority has an underlying need to invest until 2025/26 although the available balances are forecast to reduce. Based on the latest capital programme the authority will have a borrowing requirement in 2026/27.</w:t>
      </w:r>
    </w:p>
    <w:p w14:paraId="1BEB951A" w14:textId="77777777" w:rsidR="00C17D82" w:rsidRPr="00C17D82" w:rsidRDefault="00C17D82" w:rsidP="00B41966">
      <w:pPr>
        <w:rPr>
          <w:rFonts w:ascii="Arial" w:hAnsi="Arial" w:cs="Arial"/>
          <w:szCs w:val="24"/>
        </w:rPr>
      </w:pPr>
    </w:p>
    <w:p w14:paraId="37C3B517" w14:textId="77777777" w:rsidR="00C17D82" w:rsidRPr="00C17D82" w:rsidRDefault="00C17D82" w:rsidP="001366E5">
      <w:pPr>
        <w:rPr>
          <w:rFonts w:ascii="Arial" w:hAnsi="Arial" w:cs="Arial"/>
          <w:b/>
          <w:szCs w:val="24"/>
        </w:rPr>
        <w:sectPr w:rsidR="00C17D82" w:rsidRPr="00C17D82" w:rsidSect="00C17D82">
          <w:pgSz w:w="11906" w:h="16838"/>
          <w:pgMar w:top="1440" w:right="1440" w:bottom="1440" w:left="1440" w:header="708" w:footer="708" w:gutter="0"/>
          <w:cols w:space="708"/>
          <w:docGrid w:linePitch="360"/>
        </w:sectPr>
      </w:pPr>
      <w:r w:rsidRPr="00C17D82">
        <w:rPr>
          <w:rFonts w:ascii="Arial" w:hAnsi="Arial" w:cs="Arial"/>
          <w:szCs w:val="24"/>
        </w:rPr>
        <w:lastRenderedPageBreak/>
        <w:t>Although the Authority does not have plans for new borrowing until 2026/27 it does currently hold £2.0m of loans as part of its strategy for funding previous years' capital programmes.</w:t>
      </w:r>
      <w:bookmarkStart w:id="6" w:name="_Hlk92367015"/>
    </w:p>
    <w:p w14:paraId="6A06FCBF" w14:textId="77777777" w:rsidR="00C17D82" w:rsidRPr="00C17D82" w:rsidRDefault="00C17D82" w:rsidP="00B41966">
      <w:pPr>
        <w:rPr>
          <w:rFonts w:ascii="Arial" w:hAnsi="Arial" w:cs="Arial"/>
          <w:b/>
          <w:szCs w:val="24"/>
        </w:rPr>
      </w:pPr>
      <w:r w:rsidRPr="00C17D82">
        <w:rPr>
          <w:rFonts w:ascii="Arial" w:hAnsi="Arial" w:cs="Arial"/>
          <w:b/>
          <w:szCs w:val="24"/>
        </w:rPr>
        <w:lastRenderedPageBreak/>
        <w:t>Liability benchmark</w:t>
      </w:r>
    </w:p>
    <w:p w14:paraId="291B1530" w14:textId="77777777" w:rsidR="00C17D82" w:rsidRPr="00C17D82" w:rsidRDefault="00C17D82" w:rsidP="00865A26">
      <w:pPr>
        <w:rPr>
          <w:rFonts w:ascii="Arial" w:hAnsi="Arial" w:cs="Arial"/>
          <w:b/>
          <w:szCs w:val="24"/>
        </w:rPr>
      </w:pPr>
    </w:p>
    <w:p w14:paraId="0F089833" w14:textId="77777777" w:rsidR="00C17D82" w:rsidRPr="00C17D82" w:rsidRDefault="00C17D82" w:rsidP="00865A26">
      <w:pPr>
        <w:rPr>
          <w:rFonts w:ascii="Arial" w:hAnsi="Arial" w:cs="Arial"/>
          <w:szCs w:val="24"/>
        </w:rPr>
      </w:pPr>
      <w:r w:rsidRPr="00C17D82">
        <w:rPr>
          <w:rFonts w:ascii="Arial" w:hAnsi="Arial" w:cs="Arial"/>
          <w:szCs w:val="24"/>
        </w:rPr>
        <w:t xml:space="preserve">The liability benchmark is an indicator required by the CIPFA Code. It looks to compare the Authority’s actual borrowing requirements against an alternative strategy, a liability benchmark, which shows the minimum level of borrowing. This assumes the same forecasts as the table above, but that cash and investment balances are kept to a minimum level of £10m at each year-end to maintain sufficient liquidity but minimise credit risk. In addition, it reflects the latest Capital Programme information which shows a borrowing requirement from 2026/27 onwards. </w:t>
      </w:r>
    </w:p>
    <w:p w14:paraId="57C3941F" w14:textId="77777777" w:rsidR="00C17D82" w:rsidRPr="00C17D82" w:rsidRDefault="00C17D82" w:rsidP="00865A26">
      <w:pPr>
        <w:rPr>
          <w:rFonts w:ascii="Arial" w:hAnsi="Arial" w:cs="Arial"/>
          <w:szCs w:val="24"/>
        </w:rPr>
      </w:pPr>
    </w:p>
    <w:p w14:paraId="051660ED" w14:textId="77777777" w:rsidR="00C17D82" w:rsidRPr="00C17D82" w:rsidRDefault="00C17D82" w:rsidP="00865A26">
      <w:pPr>
        <w:rPr>
          <w:rFonts w:ascii="Arial" w:hAnsi="Arial" w:cs="Arial"/>
          <w:szCs w:val="24"/>
        </w:rPr>
      </w:pPr>
      <w:r w:rsidRPr="00C17D82">
        <w:rPr>
          <w:rFonts w:ascii="Arial" w:hAnsi="Arial" w:cs="Arial"/>
          <w:noProof/>
          <w:szCs w:val="24"/>
        </w:rPr>
        <w:drawing>
          <wp:inline distT="0" distB="0" distL="0" distR="0" wp14:anchorId="74A18540" wp14:editId="7381CB3B">
            <wp:extent cx="9486900" cy="4191000"/>
            <wp:effectExtent l="0" t="0" r="0" b="0"/>
            <wp:docPr id="2037459868" name="Chart 1" descr="Lancashire Fire and Rescue's liability benchmark graph to 2080. This consists of the Authority's existing loan debt, loan Capital Financing Requirement (CFR), net loan requirement, and liability benchmark.&#10;&#10;The net loan requirement, liability benchmark, and loan CFR all peak in 2030 at £26k, £36k, and £47k respectively then gradually decreasing year on year.">
              <a:extLst xmlns:a="http://schemas.openxmlformats.org/drawingml/2006/main">
                <a:ext uri="{FF2B5EF4-FFF2-40B4-BE49-F238E27FC236}">
                  <a16:creationId xmlns:a16="http://schemas.microsoft.com/office/drawing/2014/main" id="{70F6EC57-487B-4815-9A81-87D8E6D05E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911AA5" w14:textId="77777777" w:rsidR="00C17D82" w:rsidRPr="00C17D82" w:rsidRDefault="00C17D82" w:rsidP="00865A26">
      <w:pPr>
        <w:rPr>
          <w:rFonts w:ascii="Arial" w:hAnsi="Arial" w:cs="Arial"/>
          <w:szCs w:val="24"/>
        </w:rPr>
      </w:pPr>
    </w:p>
    <w:p w14:paraId="47B80EC6" w14:textId="77777777" w:rsidR="00C17D82" w:rsidRPr="00C17D82" w:rsidRDefault="00C17D82" w:rsidP="00865A26">
      <w:pPr>
        <w:rPr>
          <w:rFonts w:ascii="Arial" w:hAnsi="Arial" w:cs="Arial"/>
          <w:szCs w:val="24"/>
        </w:rPr>
      </w:pPr>
      <w:r w:rsidRPr="00C17D82">
        <w:rPr>
          <w:rFonts w:ascii="Arial" w:hAnsi="Arial" w:cs="Arial"/>
          <w:szCs w:val="24"/>
        </w:rPr>
        <w:t>The benchmark shows that from 2026/27 there is likely to be a long-term requirement to borrow but that this does not necessarily have to be at the level of the loans CFR, which represents the maximum borrowing. The borrowing requirement is also reducing over time which may influence the length and type of borrowing to be taken.</w:t>
      </w:r>
      <w:r w:rsidRPr="00C17D82">
        <w:rPr>
          <w:rFonts w:ascii="Arial" w:hAnsi="Arial" w:cs="Arial"/>
          <w:szCs w:val="24"/>
        </w:rPr>
        <w:br w:type="page"/>
      </w:r>
    </w:p>
    <w:p w14:paraId="7B1B8BCE" w14:textId="77777777" w:rsidR="00C17D82" w:rsidRPr="00C17D82" w:rsidRDefault="00C17D82" w:rsidP="00865A26">
      <w:pPr>
        <w:rPr>
          <w:rFonts w:ascii="Arial" w:hAnsi="Arial" w:cs="Arial"/>
          <w:szCs w:val="24"/>
        </w:rPr>
        <w:sectPr w:rsidR="00C17D82" w:rsidRPr="00C17D82" w:rsidSect="00C17D82">
          <w:pgSz w:w="16840" w:h="11900" w:orient="landscape"/>
          <w:pgMar w:top="1226" w:right="892" w:bottom="942" w:left="426" w:header="720" w:footer="526" w:gutter="0"/>
          <w:cols w:space="720"/>
          <w:titlePg/>
          <w:docGrid w:linePitch="326"/>
        </w:sectPr>
      </w:pPr>
    </w:p>
    <w:p w14:paraId="6ACF61C8" w14:textId="77777777" w:rsidR="00C17D82" w:rsidRPr="00C17D82" w:rsidRDefault="00C17D82" w:rsidP="00B41966">
      <w:pPr>
        <w:rPr>
          <w:rFonts w:ascii="Arial" w:hAnsi="Arial" w:cs="Arial"/>
          <w:szCs w:val="24"/>
        </w:rPr>
      </w:pPr>
    </w:p>
    <w:bookmarkEnd w:id="6"/>
    <w:p w14:paraId="30E730EA" w14:textId="77777777" w:rsidR="00C17D82" w:rsidRPr="00C17D82" w:rsidRDefault="00C17D82" w:rsidP="00B41966">
      <w:pPr>
        <w:rPr>
          <w:rFonts w:ascii="Arial" w:hAnsi="Arial" w:cs="Arial"/>
          <w:b/>
          <w:szCs w:val="24"/>
        </w:rPr>
      </w:pPr>
      <w:r w:rsidRPr="00C17D82">
        <w:rPr>
          <w:rFonts w:ascii="Arial" w:hAnsi="Arial" w:cs="Arial"/>
          <w:b/>
          <w:szCs w:val="24"/>
        </w:rPr>
        <w:t xml:space="preserve">Borrowing Strategy </w:t>
      </w:r>
    </w:p>
    <w:p w14:paraId="304C5335" w14:textId="77777777" w:rsidR="00C17D82" w:rsidRPr="00C17D82" w:rsidRDefault="00C17D82" w:rsidP="00B41966">
      <w:pPr>
        <w:rPr>
          <w:rFonts w:ascii="Arial" w:hAnsi="Arial" w:cs="Arial"/>
          <w:szCs w:val="24"/>
        </w:rPr>
      </w:pPr>
    </w:p>
    <w:p w14:paraId="7B20D5B1" w14:textId="77777777" w:rsidR="00C17D82" w:rsidRPr="00C17D82" w:rsidRDefault="00C17D82" w:rsidP="00B41966">
      <w:pPr>
        <w:ind w:left="29" w:right="53"/>
        <w:rPr>
          <w:rFonts w:ascii="Arial" w:hAnsi="Arial" w:cs="Arial"/>
          <w:szCs w:val="24"/>
        </w:rPr>
      </w:pPr>
      <w:r w:rsidRPr="00C17D82">
        <w:rPr>
          <w:rFonts w:ascii="Arial" w:hAnsi="Arial" w:cs="Arial"/>
          <w:szCs w:val="24"/>
        </w:rPr>
        <w:t>The draft Capital Programme implies there may be a requirement to use borrowing to fund the capital programme in the later years. At this stage it is extremely unlikely that borrowing will be required in 2025/26. However, it is still best practice to approve a borrowing strategy and a policy on borrowing in advance of need.  In considering a borrowing strategy the Authority needs to make provision to borrow short term to cover unexpected cash flow shortages or to cover any change in the financing of its Capital Programme.</w:t>
      </w:r>
    </w:p>
    <w:p w14:paraId="35B2E568" w14:textId="77777777" w:rsidR="00C17D82" w:rsidRPr="00C17D82" w:rsidRDefault="00C17D82" w:rsidP="00B41966">
      <w:pPr>
        <w:ind w:left="29" w:right="53"/>
        <w:rPr>
          <w:rFonts w:ascii="Arial" w:hAnsi="Arial" w:cs="Arial"/>
          <w:szCs w:val="24"/>
        </w:rPr>
      </w:pPr>
    </w:p>
    <w:p w14:paraId="2B17953C"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In the past the Authority has raised all its long-term borrowing from the Public Works Loan Board, but if long term borrowing was required other sources of finance, such as local authority loans, and bank loans, would be investigated that may be available at more favourable rates. </w:t>
      </w:r>
    </w:p>
    <w:p w14:paraId="42C4D917" w14:textId="77777777" w:rsidR="00C17D82" w:rsidRPr="00C17D82" w:rsidRDefault="00C17D82" w:rsidP="00B41966">
      <w:pPr>
        <w:ind w:left="29" w:right="53"/>
        <w:rPr>
          <w:rFonts w:ascii="Arial" w:hAnsi="Arial" w:cs="Arial"/>
          <w:szCs w:val="24"/>
        </w:rPr>
      </w:pPr>
    </w:p>
    <w:p w14:paraId="14C92D56" w14:textId="77777777" w:rsidR="00C17D82" w:rsidRPr="00C17D82" w:rsidRDefault="00C17D82" w:rsidP="00B41966">
      <w:pPr>
        <w:ind w:left="29" w:right="53"/>
        <w:rPr>
          <w:rFonts w:ascii="Arial" w:hAnsi="Arial" w:cs="Arial"/>
          <w:szCs w:val="24"/>
        </w:rPr>
      </w:pPr>
      <w:r w:rsidRPr="00C17D82">
        <w:rPr>
          <w:rFonts w:ascii="Arial" w:hAnsi="Arial" w:cs="Arial"/>
          <w:szCs w:val="24"/>
        </w:rPr>
        <w:t>Short-term borrowing if required would most likely be taken from other local authorities.</w:t>
      </w:r>
    </w:p>
    <w:p w14:paraId="04DCF7E4" w14:textId="77777777" w:rsidR="00C17D82" w:rsidRPr="00C17D82" w:rsidRDefault="00C17D82" w:rsidP="00B41966">
      <w:pPr>
        <w:spacing w:line="259" w:lineRule="auto"/>
        <w:ind w:left="34"/>
        <w:rPr>
          <w:rFonts w:ascii="Arial" w:hAnsi="Arial" w:cs="Arial"/>
          <w:szCs w:val="24"/>
        </w:rPr>
      </w:pPr>
    </w:p>
    <w:p w14:paraId="2C1E896C"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Therefore, the approved sources of long-term and short-term borrowing are: </w:t>
      </w:r>
    </w:p>
    <w:p w14:paraId="2A8AB26D" w14:textId="77777777" w:rsidR="00C17D82" w:rsidRPr="00C17D82" w:rsidRDefault="00C17D82" w:rsidP="00B41966">
      <w:pPr>
        <w:spacing w:line="259" w:lineRule="auto"/>
        <w:ind w:left="34"/>
        <w:rPr>
          <w:rFonts w:ascii="Arial" w:hAnsi="Arial" w:cs="Arial"/>
          <w:szCs w:val="24"/>
        </w:rPr>
      </w:pPr>
    </w:p>
    <w:p w14:paraId="25EBD04C" w14:textId="77777777" w:rsidR="00C17D82" w:rsidRPr="00C17D82" w:rsidRDefault="00C17D82" w:rsidP="00C17D82">
      <w:pPr>
        <w:numPr>
          <w:ilvl w:val="0"/>
          <w:numId w:val="6"/>
        </w:numPr>
        <w:spacing w:line="249" w:lineRule="auto"/>
        <w:ind w:right="53" w:hanging="360"/>
        <w:rPr>
          <w:rFonts w:ascii="Arial" w:hAnsi="Arial" w:cs="Arial"/>
          <w:szCs w:val="24"/>
        </w:rPr>
      </w:pPr>
      <w:r w:rsidRPr="00C17D82">
        <w:rPr>
          <w:rFonts w:ascii="Arial" w:hAnsi="Arial" w:cs="Arial"/>
          <w:szCs w:val="24"/>
        </w:rPr>
        <w:t xml:space="preserve">Public Works Loan Board </w:t>
      </w:r>
    </w:p>
    <w:p w14:paraId="62A2BF23" w14:textId="77777777" w:rsidR="00C17D82" w:rsidRPr="00C17D82" w:rsidRDefault="00C17D82" w:rsidP="00C17D82">
      <w:pPr>
        <w:numPr>
          <w:ilvl w:val="0"/>
          <w:numId w:val="6"/>
        </w:numPr>
        <w:spacing w:line="249" w:lineRule="auto"/>
        <w:ind w:right="53" w:hanging="360"/>
        <w:rPr>
          <w:rFonts w:ascii="Arial" w:hAnsi="Arial" w:cs="Arial"/>
          <w:szCs w:val="24"/>
        </w:rPr>
      </w:pPr>
      <w:r w:rsidRPr="00C17D82">
        <w:rPr>
          <w:rFonts w:ascii="Arial" w:hAnsi="Arial" w:cs="Arial"/>
          <w:szCs w:val="24"/>
        </w:rPr>
        <w:t xml:space="preserve">UK local authorities </w:t>
      </w:r>
    </w:p>
    <w:p w14:paraId="188B7F27" w14:textId="77777777" w:rsidR="00C17D82" w:rsidRPr="00C17D82" w:rsidRDefault="00C17D82" w:rsidP="00C17D82">
      <w:pPr>
        <w:numPr>
          <w:ilvl w:val="0"/>
          <w:numId w:val="6"/>
        </w:numPr>
        <w:spacing w:line="249" w:lineRule="auto"/>
        <w:ind w:right="53" w:hanging="360"/>
        <w:rPr>
          <w:rFonts w:ascii="Arial" w:hAnsi="Arial" w:cs="Arial"/>
          <w:szCs w:val="24"/>
        </w:rPr>
      </w:pPr>
      <w:r w:rsidRPr="00C17D82">
        <w:rPr>
          <w:rFonts w:ascii="Arial" w:hAnsi="Arial" w:cs="Arial"/>
          <w:szCs w:val="24"/>
        </w:rPr>
        <w:t xml:space="preserve">any institution approved for investments  </w:t>
      </w:r>
    </w:p>
    <w:p w14:paraId="3A99C20D" w14:textId="77777777" w:rsidR="00C17D82" w:rsidRPr="00C17D82" w:rsidRDefault="00C17D82" w:rsidP="00C17D82">
      <w:pPr>
        <w:numPr>
          <w:ilvl w:val="0"/>
          <w:numId w:val="6"/>
        </w:numPr>
        <w:spacing w:line="249" w:lineRule="auto"/>
        <w:ind w:right="53" w:hanging="360"/>
        <w:rPr>
          <w:rFonts w:ascii="Arial" w:hAnsi="Arial" w:cs="Arial"/>
          <w:szCs w:val="24"/>
        </w:rPr>
      </w:pPr>
      <w:r w:rsidRPr="00C17D82">
        <w:rPr>
          <w:rFonts w:ascii="Arial" w:hAnsi="Arial" w:cs="Arial"/>
          <w:szCs w:val="24"/>
        </w:rPr>
        <w:t xml:space="preserve">any other bank or building society authorised by the Prudential Regulation Authority to operate in the UK </w:t>
      </w:r>
    </w:p>
    <w:p w14:paraId="37B6401E" w14:textId="77777777" w:rsidR="00C17D82" w:rsidRPr="00C17D82" w:rsidRDefault="00C17D82" w:rsidP="00C17D82">
      <w:pPr>
        <w:numPr>
          <w:ilvl w:val="0"/>
          <w:numId w:val="6"/>
        </w:numPr>
        <w:spacing w:line="249" w:lineRule="auto"/>
        <w:ind w:right="53" w:hanging="360"/>
        <w:rPr>
          <w:rFonts w:ascii="Arial" w:hAnsi="Arial" w:cs="Arial"/>
          <w:szCs w:val="24"/>
        </w:rPr>
      </w:pPr>
      <w:r w:rsidRPr="00C17D82">
        <w:rPr>
          <w:rFonts w:ascii="Arial" w:hAnsi="Arial" w:cs="Arial"/>
          <w:szCs w:val="24"/>
        </w:rPr>
        <w:t xml:space="preserve">UK public and private sector pension funds  </w:t>
      </w:r>
    </w:p>
    <w:p w14:paraId="65C69F1B" w14:textId="77777777" w:rsidR="00C17D82" w:rsidRPr="00C17D82" w:rsidRDefault="00C17D82" w:rsidP="00B41966">
      <w:pPr>
        <w:pStyle w:val="Heading1"/>
        <w:spacing w:after="0"/>
        <w:ind w:left="29"/>
        <w:rPr>
          <w:szCs w:val="24"/>
        </w:rPr>
      </w:pPr>
    </w:p>
    <w:p w14:paraId="0FD2B158" w14:textId="77777777" w:rsidR="00C17D82" w:rsidRPr="00C17D82" w:rsidRDefault="00C17D82" w:rsidP="00B41966">
      <w:pPr>
        <w:pStyle w:val="Heading1"/>
        <w:spacing w:after="0"/>
        <w:ind w:left="29"/>
        <w:rPr>
          <w:szCs w:val="24"/>
        </w:rPr>
      </w:pPr>
      <w:r w:rsidRPr="00C17D82">
        <w:rPr>
          <w:szCs w:val="24"/>
        </w:rPr>
        <w:t xml:space="preserve">Policy on Borrowing in Advance of Need </w:t>
      </w:r>
    </w:p>
    <w:p w14:paraId="20EA2AFA" w14:textId="77777777" w:rsidR="00C17D82" w:rsidRPr="00C17D82" w:rsidRDefault="00C17D82" w:rsidP="00B41966">
      <w:pPr>
        <w:spacing w:line="259" w:lineRule="auto"/>
        <w:ind w:left="34"/>
        <w:rPr>
          <w:rFonts w:ascii="Arial" w:hAnsi="Arial" w:cs="Arial"/>
          <w:szCs w:val="24"/>
        </w:rPr>
      </w:pPr>
    </w:p>
    <w:p w14:paraId="527F8087"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In line with the Prudential Code the Authority will not borrow purely to profit from the investment of the extra sums borrowed. However advance borrowing may be taken if it is considered that current rates are more favourable than future rates and that this advantage outweighs the cost of carrying advance borrowing. Any decision to borrow in advance will be considered carefully to ensure value for money can be demonstrated and that the Authority can ensure the security of such funds and relationships. </w:t>
      </w:r>
    </w:p>
    <w:p w14:paraId="00728E5E" w14:textId="77777777" w:rsidR="00C17D82" w:rsidRPr="00C17D82" w:rsidRDefault="00C17D82" w:rsidP="00B41966">
      <w:pPr>
        <w:spacing w:line="259" w:lineRule="auto"/>
        <w:ind w:left="34"/>
        <w:rPr>
          <w:rFonts w:ascii="Arial" w:hAnsi="Arial" w:cs="Arial"/>
          <w:szCs w:val="24"/>
        </w:rPr>
      </w:pPr>
    </w:p>
    <w:p w14:paraId="45CC5F06"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In determining whether borrowing will be undertaken in advance of need the authority </w:t>
      </w:r>
      <w:proofErr w:type="gramStart"/>
      <w:r w:rsidRPr="00C17D82">
        <w:rPr>
          <w:rFonts w:ascii="Arial" w:hAnsi="Arial" w:cs="Arial"/>
          <w:szCs w:val="24"/>
        </w:rPr>
        <w:t>will:-</w:t>
      </w:r>
      <w:proofErr w:type="gramEnd"/>
      <w:r w:rsidRPr="00C17D82">
        <w:rPr>
          <w:rFonts w:ascii="Arial" w:hAnsi="Arial" w:cs="Arial"/>
          <w:szCs w:val="24"/>
        </w:rPr>
        <w:t xml:space="preserve"> </w:t>
      </w:r>
    </w:p>
    <w:p w14:paraId="4C664FD5" w14:textId="77777777" w:rsidR="00C17D82" w:rsidRPr="00C17D82" w:rsidRDefault="00C17D82" w:rsidP="00B41966">
      <w:pPr>
        <w:spacing w:line="259" w:lineRule="auto"/>
        <w:ind w:left="34"/>
        <w:rPr>
          <w:rFonts w:ascii="Arial" w:hAnsi="Arial" w:cs="Arial"/>
          <w:szCs w:val="24"/>
        </w:rPr>
      </w:pPr>
    </w:p>
    <w:p w14:paraId="0C117DD7" w14:textId="77777777" w:rsidR="00C17D82" w:rsidRPr="00C17D82" w:rsidRDefault="00C17D82" w:rsidP="00C17D82">
      <w:pPr>
        <w:numPr>
          <w:ilvl w:val="0"/>
          <w:numId w:val="7"/>
        </w:numPr>
        <w:spacing w:line="249" w:lineRule="auto"/>
        <w:ind w:right="53" w:hanging="360"/>
        <w:rPr>
          <w:rFonts w:ascii="Arial" w:hAnsi="Arial" w:cs="Arial"/>
          <w:szCs w:val="24"/>
        </w:rPr>
      </w:pPr>
      <w:r w:rsidRPr="00C17D82">
        <w:rPr>
          <w:rFonts w:ascii="Arial" w:hAnsi="Arial" w:cs="Arial"/>
          <w:szCs w:val="24"/>
        </w:rPr>
        <w:t xml:space="preserve">Ensure that there is a clear link between the capital programme and the maturity profile of the existing debt portfolio which supports the need to take funding in advance of need. </w:t>
      </w:r>
    </w:p>
    <w:p w14:paraId="16156452" w14:textId="77777777" w:rsidR="00C17D82" w:rsidRPr="00C17D82" w:rsidRDefault="00C17D82" w:rsidP="00C17D82">
      <w:pPr>
        <w:numPr>
          <w:ilvl w:val="0"/>
          <w:numId w:val="7"/>
        </w:numPr>
        <w:spacing w:line="249" w:lineRule="auto"/>
        <w:ind w:right="53" w:hanging="360"/>
        <w:rPr>
          <w:rFonts w:ascii="Arial" w:hAnsi="Arial" w:cs="Arial"/>
          <w:szCs w:val="24"/>
        </w:rPr>
      </w:pPr>
      <w:r w:rsidRPr="00C17D82">
        <w:rPr>
          <w:rFonts w:ascii="Arial" w:hAnsi="Arial" w:cs="Arial"/>
          <w:szCs w:val="24"/>
        </w:rPr>
        <w:t xml:space="preserve">Ensure the on-going revenue liabilities created, and the implications for </w:t>
      </w:r>
      <w:proofErr w:type="gramStart"/>
      <w:r w:rsidRPr="00C17D82">
        <w:rPr>
          <w:rFonts w:ascii="Arial" w:hAnsi="Arial" w:cs="Arial"/>
          <w:szCs w:val="24"/>
        </w:rPr>
        <w:t>future plans</w:t>
      </w:r>
      <w:proofErr w:type="gramEnd"/>
      <w:r w:rsidRPr="00C17D82">
        <w:rPr>
          <w:rFonts w:ascii="Arial" w:hAnsi="Arial" w:cs="Arial"/>
          <w:szCs w:val="24"/>
        </w:rPr>
        <w:t xml:space="preserve"> and budgets have been considered. </w:t>
      </w:r>
    </w:p>
    <w:p w14:paraId="4DB64EA4" w14:textId="77777777" w:rsidR="00C17D82" w:rsidRPr="00C17D82" w:rsidRDefault="00C17D82" w:rsidP="00C17D82">
      <w:pPr>
        <w:numPr>
          <w:ilvl w:val="0"/>
          <w:numId w:val="7"/>
        </w:numPr>
        <w:spacing w:line="249" w:lineRule="auto"/>
        <w:ind w:right="53" w:hanging="360"/>
        <w:rPr>
          <w:rFonts w:ascii="Arial" w:hAnsi="Arial" w:cs="Arial"/>
          <w:szCs w:val="24"/>
        </w:rPr>
      </w:pPr>
      <w:r w:rsidRPr="00C17D82">
        <w:rPr>
          <w:rFonts w:ascii="Arial" w:hAnsi="Arial" w:cs="Arial"/>
          <w:szCs w:val="24"/>
        </w:rPr>
        <w:t xml:space="preserve">Evaluate the economic and market factors that might influence the manner and timing of any decision to borrow. </w:t>
      </w:r>
    </w:p>
    <w:p w14:paraId="65F3D3E6" w14:textId="77777777" w:rsidR="00C17D82" w:rsidRPr="00C17D82" w:rsidRDefault="00C17D82" w:rsidP="00C17D82">
      <w:pPr>
        <w:numPr>
          <w:ilvl w:val="0"/>
          <w:numId w:val="7"/>
        </w:numPr>
        <w:spacing w:line="249" w:lineRule="auto"/>
        <w:ind w:right="53" w:hanging="360"/>
        <w:rPr>
          <w:rFonts w:ascii="Arial" w:hAnsi="Arial" w:cs="Arial"/>
          <w:szCs w:val="24"/>
        </w:rPr>
      </w:pPr>
      <w:r w:rsidRPr="00C17D82">
        <w:rPr>
          <w:rFonts w:ascii="Arial" w:hAnsi="Arial" w:cs="Arial"/>
          <w:szCs w:val="24"/>
        </w:rPr>
        <w:t xml:space="preserve">Consider the merits and demerits of alternative forms of funding. </w:t>
      </w:r>
    </w:p>
    <w:p w14:paraId="56151517" w14:textId="77777777" w:rsidR="00C17D82" w:rsidRPr="00C17D82" w:rsidRDefault="00C17D82" w:rsidP="00C17D82">
      <w:pPr>
        <w:numPr>
          <w:ilvl w:val="0"/>
          <w:numId w:val="7"/>
        </w:numPr>
        <w:spacing w:line="249" w:lineRule="auto"/>
        <w:ind w:right="53" w:hanging="360"/>
        <w:rPr>
          <w:rFonts w:ascii="Arial" w:hAnsi="Arial" w:cs="Arial"/>
          <w:szCs w:val="24"/>
        </w:rPr>
      </w:pPr>
      <w:r w:rsidRPr="00C17D82">
        <w:rPr>
          <w:rFonts w:ascii="Arial" w:hAnsi="Arial" w:cs="Arial"/>
          <w:szCs w:val="24"/>
        </w:rPr>
        <w:lastRenderedPageBreak/>
        <w:t>Consider the alternative interest rate bases available, the most appropriate periods to fund and repayment profiles to use.</w:t>
      </w:r>
      <w:r w:rsidRPr="00C17D82">
        <w:rPr>
          <w:rFonts w:ascii="Arial" w:hAnsi="Arial" w:cs="Arial"/>
          <w:szCs w:val="24"/>
        </w:rPr>
        <w:br w:type="page"/>
      </w:r>
    </w:p>
    <w:p w14:paraId="01D6FAD6" w14:textId="77777777" w:rsidR="00C17D82" w:rsidRPr="00C17D82" w:rsidRDefault="00C17D82" w:rsidP="00B41966">
      <w:pPr>
        <w:spacing w:line="259" w:lineRule="auto"/>
        <w:ind w:left="754" w:hanging="754"/>
        <w:rPr>
          <w:rFonts w:ascii="Arial" w:hAnsi="Arial" w:cs="Arial"/>
          <w:b/>
          <w:szCs w:val="24"/>
        </w:rPr>
      </w:pPr>
      <w:r w:rsidRPr="00C17D82">
        <w:rPr>
          <w:rFonts w:ascii="Arial" w:hAnsi="Arial" w:cs="Arial"/>
          <w:b/>
          <w:szCs w:val="24"/>
        </w:rPr>
        <w:lastRenderedPageBreak/>
        <w:t xml:space="preserve">Debt Restructuring </w:t>
      </w:r>
    </w:p>
    <w:p w14:paraId="2F61914D" w14:textId="77777777" w:rsidR="00C17D82" w:rsidRPr="00C17D82" w:rsidRDefault="00C17D82" w:rsidP="00B41966">
      <w:pPr>
        <w:spacing w:line="259" w:lineRule="auto"/>
        <w:ind w:left="754" w:hanging="754"/>
        <w:rPr>
          <w:rFonts w:ascii="Arial" w:hAnsi="Arial" w:cs="Arial"/>
          <w:b/>
          <w:szCs w:val="24"/>
        </w:rPr>
      </w:pPr>
    </w:p>
    <w:p w14:paraId="4D0FFB3C" w14:textId="77777777" w:rsidR="00C17D82" w:rsidRPr="00C17D82" w:rsidRDefault="00C17D82" w:rsidP="00B41966">
      <w:pPr>
        <w:rPr>
          <w:rFonts w:ascii="Arial" w:hAnsi="Arial" w:cs="Arial"/>
          <w:szCs w:val="24"/>
        </w:rPr>
      </w:pPr>
      <w:r w:rsidRPr="00C17D82">
        <w:rPr>
          <w:rFonts w:ascii="Arial" w:hAnsi="Arial" w:cs="Arial"/>
          <w:szCs w:val="24"/>
        </w:rPr>
        <w:t xml:space="preserve">The Authority’s debt has arisen because of prior years' capital investment decisions. It has not taken any new borrowing out since 2007 as it has been utilising cash balances to pay off debt as it matures, or when deemed appropriate with the authority making early payment of debt. The anticipated holding of debt </w:t>
      </w:r>
      <w:proofErr w:type="gramStart"/>
      <w:r w:rsidRPr="00C17D82">
        <w:rPr>
          <w:rFonts w:ascii="Arial" w:hAnsi="Arial" w:cs="Arial"/>
          <w:szCs w:val="24"/>
        </w:rPr>
        <w:t>at</w:t>
      </w:r>
      <w:proofErr w:type="gramEnd"/>
      <w:r w:rsidRPr="00C17D82">
        <w:rPr>
          <w:rFonts w:ascii="Arial" w:hAnsi="Arial" w:cs="Arial"/>
          <w:szCs w:val="24"/>
        </w:rPr>
        <w:t xml:space="preserve"> 31 March 2025 is £2.0m. All the debt is from the Public Works Loans Board (PWLB) and is all at fixed rates of interest and is repayable on maturity. The table below shows the maturity profile and interest rate applicable on </w:t>
      </w:r>
      <w:proofErr w:type="gramStart"/>
      <w:r w:rsidRPr="00C17D82">
        <w:rPr>
          <w:rFonts w:ascii="Arial" w:hAnsi="Arial" w:cs="Arial"/>
          <w:szCs w:val="24"/>
        </w:rPr>
        <w:t>these:-</w:t>
      </w:r>
      <w:proofErr w:type="gramEnd"/>
    </w:p>
    <w:p w14:paraId="7926097B" w14:textId="77777777" w:rsidR="00C17D82" w:rsidRPr="00C17D82" w:rsidRDefault="00C17D82" w:rsidP="00B41966">
      <w:pPr>
        <w:rPr>
          <w:rFonts w:ascii="Arial" w:hAnsi="Arial" w:cs="Arial"/>
          <w:szCs w:val="24"/>
        </w:rPr>
      </w:pPr>
    </w:p>
    <w:p w14:paraId="4346A7F9" w14:textId="77777777" w:rsidR="00C17D82" w:rsidRPr="00C17D82" w:rsidRDefault="00C17D82" w:rsidP="00B41966">
      <w:pPr>
        <w:keepNext/>
        <w:rPr>
          <w:rFonts w:ascii="Arial" w:eastAsia="Calibri" w:hAnsi="Arial" w:cs="Arial"/>
          <w:i/>
          <w:iCs/>
          <w:color w:val="44546A"/>
          <w:szCs w:val="24"/>
        </w:rPr>
      </w:pPr>
      <w:r w:rsidRPr="00C17D82">
        <w:rPr>
          <w:rFonts w:ascii="Arial" w:eastAsia="Calibri" w:hAnsi="Arial" w:cs="Arial"/>
          <w:i/>
          <w:iCs/>
          <w:color w:val="44546A"/>
          <w:szCs w:val="24"/>
        </w:rPr>
        <w:t>Table 4 Outstanding Loans</w:t>
      </w:r>
    </w:p>
    <w:tbl>
      <w:tblPr>
        <w:tblStyle w:val="TableGrid"/>
        <w:tblW w:w="0" w:type="auto"/>
        <w:tblInd w:w="108" w:type="dxa"/>
        <w:tblLook w:val="04A0" w:firstRow="1" w:lastRow="0" w:firstColumn="1" w:lastColumn="0" w:noHBand="0" w:noVBand="1"/>
      </w:tblPr>
      <w:tblGrid>
        <w:gridCol w:w="1695"/>
        <w:gridCol w:w="2161"/>
        <w:gridCol w:w="1673"/>
      </w:tblGrid>
      <w:tr w:rsidR="00C17D82" w:rsidRPr="00C17D82" w14:paraId="1767BC5B" w14:textId="77777777" w:rsidTr="00ED103E">
        <w:tc>
          <w:tcPr>
            <w:tcW w:w="1695" w:type="dxa"/>
          </w:tcPr>
          <w:p w14:paraId="08A6D1B4" w14:textId="77777777" w:rsidR="00C17D82" w:rsidRPr="00C17D82" w:rsidRDefault="00C17D82" w:rsidP="00B41966">
            <w:pPr>
              <w:rPr>
                <w:rFonts w:ascii="Arial" w:hAnsi="Arial" w:cs="Arial"/>
                <w:noProof/>
                <w:szCs w:val="24"/>
              </w:rPr>
            </w:pPr>
            <w:r w:rsidRPr="00C17D82">
              <w:rPr>
                <w:rFonts w:ascii="Arial" w:hAnsi="Arial" w:cs="Arial"/>
                <w:noProof/>
                <w:szCs w:val="24"/>
              </w:rPr>
              <w:t xml:space="preserve">Loan Amount </w:t>
            </w:r>
          </w:p>
        </w:tc>
        <w:tc>
          <w:tcPr>
            <w:tcW w:w="2161" w:type="dxa"/>
          </w:tcPr>
          <w:p w14:paraId="02C79C7E" w14:textId="77777777" w:rsidR="00C17D82" w:rsidRPr="00C17D82" w:rsidRDefault="00C17D82" w:rsidP="00B41966">
            <w:pPr>
              <w:rPr>
                <w:rFonts w:ascii="Arial" w:hAnsi="Arial" w:cs="Arial"/>
                <w:noProof/>
                <w:szCs w:val="24"/>
              </w:rPr>
            </w:pPr>
            <w:r w:rsidRPr="00C17D82">
              <w:rPr>
                <w:rFonts w:ascii="Arial" w:hAnsi="Arial" w:cs="Arial"/>
                <w:noProof/>
                <w:szCs w:val="24"/>
              </w:rPr>
              <w:t>Maturity Date</w:t>
            </w:r>
          </w:p>
        </w:tc>
        <w:tc>
          <w:tcPr>
            <w:tcW w:w="1673" w:type="dxa"/>
          </w:tcPr>
          <w:p w14:paraId="3ECB46CB" w14:textId="77777777" w:rsidR="00C17D82" w:rsidRPr="00C17D82" w:rsidRDefault="00C17D82" w:rsidP="00B41966">
            <w:pPr>
              <w:rPr>
                <w:rFonts w:ascii="Arial" w:hAnsi="Arial" w:cs="Arial"/>
                <w:noProof/>
                <w:szCs w:val="24"/>
              </w:rPr>
            </w:pPr>
            <w:r w:rsidRPr="00C17D82">
              <w:rPr>
                <w:rFonts w:ascii="Arial" w:hAnsi="Arial" w:cs="Arial"/>
                <w:noProof/>
                <w:szCs w:val="24"/>
              </w:rPr>
              <w:t>Interest rate</w:t>
            </w:r>
          </w:p>
        </w:tc>
      </w:tr>
      <w:tr w:rsidR="00C17D82" w:rsidRPr="00C17D82" w14:paraId="3F05F995" w14:textId="77777777" w:rsidTr="00ED103E">
        <w:tc>
          <w:tcPr>
            <w:tcW w:w="1695" w:type="dxa"/>
          </w:tcPr>
          <w:p w14:paraId="01B1BB0A" w14:textId="77777777" w:rsidR="00C17D82" w:rsidRPr="00C17D82" w:rsidRDefault="00C17D82" w:rsidP="00B41966">
            <w:pPr>
              <w:rPr>
                <w:rFonts w:ascii="Arial" w:hAnsi="Arial" w:cs="Arial"/>
                <w:noProof/>
                <w:szCs w:val="24"/>
              </w:rPr>
            </w:pPr>
            <w:r w:rsidRPr="00C17D82">
              <w:rPr>
                <w:rFonts w:ascii="Arial" w:hAnsi="Arial" w:cs="Arial"/>
                <w:noProof/>
                <w:szCs w:val="24"/>
              </w:rPr>
              <w:t>£650k</w:t>
            </w:r>
          </w:p>
        </w:tc>
        <w:tc>
          <w:tcPr>
            <w:tcW w:w="2161" w:type="dxa"/>
          </w:tcPr>
          <w:p w14:paraId="1A612928" w14:textId="77777777" w:rsidR="00C17D82" w:rsidRPr="00C17D82" w:rsidRDefault="00C17D82" w:rsidP="00B41966">
            <w:pPr>
              <w:rPr>
                <w:rFonts w:ascii="Arial" w:hAnsi="Arial" w:cs="Arial"/>
                <w:noProof/>
                <w:szCs w:val="24"/>
              </w:rPr>
            </w:pPr>
            <w:r w:rsidRPr="00C17D82">
              <w:rPr>
                <w:rFonts w:ascii="Arial" w:hAnsi="Arial" w:cs="Arial"/>
                <w:noProof/>
                <w:szCs w:val="24"/>
              </w:rPr>
              <w:t>December 2035</w:t>
            </w:r>
          </w:p>
        </w:tc>
        <w:tc>
          <w:tcPr>
            <w:tcW w:w="1673" w:type="dxa"/>
          </w:tcPr>
          <w:p w14:paraId="1C7491B1" w14:textId="77777777" w:rsidR="00C17D82" w:rsidRPr="00C17D82" w:rsidRDefault="00C17D82" w:rsidP="00B41966">
            <w:pPr>
              <w:jc w:val="center"/>
              <w:rPr>
                <w:rFonts w:ascii="Arial" w:hAnsi="Arial" w:cs="Arial"/>
                <w:noProof/>
                <w:szCs w:val="24"/>
              </w:rPr>
            </w:pPr>
            <w:r w:rsidRPr="00C17D82">
              <w:rPr>
                <w:rFonts w:ascii="Arial" w:hAnsi="Arial" w:cs="Arial"/>
                <w:noProof/>
                <w:szCs w:val="24"/>
              </w:rPr>
              <w:t>4.49%</w:t>
            </w:r>
          </w:p>
        </w:tc>
      </w:tr>
      <w:tr w:rsidR="00C17D82" w:rsidRPr="00C17D82" w14:paraId="5812F1C8" w14:textId="77777777" w:rsidTr="00ED103E">
        <w:tc>
          <w:tcPr>
            <w:tcW w:w="1695" w:type="dxa"/>
          </w:tcPr>
          <w:p w14:paraId="6344B181" w14:textId="77777777" w:rsidR="00C17D82" w:rsidRPr="00C17D82" w:rsidRDefault="00C17D82" w:rsidP="00B41966">
            <w:pPr>
              <w:rPr>
                <w:rFonts w:ascii="Arial" w:hAnsi="Arial" w:cs="Arial"/>
                <w:noProof/>
                <w:szCs w:val="24"/>
              </w:rPr>
            </w:pPr>
            <w:r w:rsidRPr="00C17D82">
              <w:rPr>
                <w:rFonts w:ascii="Arial" w:hAnsi="Arial" w:cs="Arial"/>
                <w:noProof/>
                <w:szCs w:val="24"/>
              </w:rPr>
              <w:t>£650k</w:t>
            </w:r>
          </w:p>
        </w:tc>
        <w:tc>
          <w:tcPr>
            <w:tcW w:w="2161" w:type="dxa"/>
          </w:tcPr>
          <w:p w14:paraId="5D5A7CAD" w14:textId="77777777" w:rsidR="00C17D82" w:rsidRPr="00C17D82" w:rsidRDefault="00C17D82" w:rsidP="00B41966">
            <w:pPr>
              <w:rPr>
                <w:rFonts w:ascii="Arial" w:hAnsi="Arial" w:cs="Arial"/>
                <w:noProof/>
                <w:szCs w:val="24"/>
              </w:rPr>
            </w:pPr>
            <w:r w:rsidRPr="00C17D82">
              <w:rPr>
                <w:rFonts w:ascii="Arial" w:hAnsi="Arial" w:cs="Arial"/>
                <w:noProof/>
                <w:szCs w:val="24"/>
              </w:rPr>
              <w:t>June 2036</w:t>
            </w:r>
          </w:p>
        </w:tc>
        <w:tc>
          <w:tcPr>
            <w:tcW w:w="1673" w:type="dxa"/>
          </w:tcPr>
          <w:p w14:paraId="736DD861" w14:textId="77777777" w:rsidR="00C17D82" w:rsidRPr="00C17D82" w:rsidRDefault="00C17D82" w:rsidP="00B41966">
            <w:pPr>
              <w:jc w:val="center"/>
              <w:rPr>
                <w:rFonts w:ascii="Arial" w:hAnsi="Arial" w:cs="Arial"/>
                <w:noProof/>
                <w:szCs w:val="24"/>
              </w:rPr>
            </w:pPr>
            <w:r w:rsidRPr="00C17D82">
              <w:rPr>
                <w:rFonts w:ascii="Arial" w:hAnsi="Arial" w:cs="Arial"/>
                <w:noProof/>
                <w:szCs w:val="24"/>
              </w:rPr>
              <w:t>4.49%</w:t>
            </w:r>
          </w:p>
        </w:tc>
      </w:tr>
      <w:tr w:rsidR="00C17D82" w:rsidRPr="00C17D82" w14:paraId="4955BF3D" w14:textId="77777777" w:rsidTr="00ED103E">
        <w:tc>
          <w:tcPr>
            <w:tcW w:w="1695" w:type="dxa"/>
          </w:tcPr>
          <w:p w14:paraId="69D258E6" w14:textId="77777777" w:rsidR="00C17D82" w:rsidRPr="00C17D82" w:rsidRDefault="00C17D82" w:rsidP="00B41966">
            <w:pPr>
              <w:rPr>
                <w:rFonts w:ascii="Arial" w:hAnsi="Arial" w:cs="Arial"/>
                <w:noProof/>
                <w:szCs w:val="24"/>
              </w:rPr>
            </w:pPr>
            <w:r w:rsidRPr="00C17D82">
              <w:rPr>
                <w:rFonts w:ascii="Arial" w:hAnsi="Arial" w:cs="Arial"/>
                <w:noProof/>
                <w:szCs w:val="24"/>
              </w:rPr>
              <w:t>£700k</w:t>
            </w:r>
          </w:p>
        </w:tc>
        <w:tc>
          <w:tcPr>
            <w:tcW w:w="2161" w:type="dxa"/>
          </w:tcPr>
          <w:p w14:paraId="45A96830" w14:textId="77777777" w:rsidR="00C17D82" w:rsidRPr="00C17D82" w:rsidRDefault="00C17D82" w:rsidP="00B41966">
            <w:pPr>
              <w:rPr>
                <w:rFonts w:ascii="Arial" w:hAnsi="Arial" w:cs="Arial"/>
                <w:noProof/>
                <w:szCs w:val="24"/>
              </w:rPr>
            </w:pPr>
            <w:r w:rsidRPr="00C17D82">
              <w:rPr>
                <w:rFonts w:ascii="Arial" w:hAnsi="Arial" w:cs="Arial"/>
                <w:noProof/>
                <w:szCs w:val="24"/>
              </w:rPr>
              <w:t>June 2037</w:t>
            </w:r>
          </w:p>
        </w:tc>
        <w:tc>
          <w:tcPr>
            <w:tcW w:w="1673" w:type="dxa"/>
          </w:tcPr>
          <w:p w14:paraId="0F0EE437" w14:textId="77777777" w:rsidR="00C17D82" w:rsidRPr="00C17D82" w:rsidRDefault="00C17D82" w:rsidP="00B41966">
            <w:pPr>
              <w:jc w:val="center"/>
              <w:rPr>
                <w:rFonts w:ascii="Arial" w:hAnsi="Arial" w:cs="Arial"/>
                <w:noProof/>
                <w:szCs w:val="24"/>
              </w:rPr>
            </w:pPr>
            <w:r w:rsidRPr="00C17D82">
              <w:rPr>
                <w:rFonts w:ascii="Arial" w:hAnsi="Arial" w:cs="Arial"/>
                <w:noProof/>
                <w:szCs w:val="24"/>
              </w:rPr>
              <w:t>4.48%</w:t>
            </w:r>
          </w:p>
        </w:tc>
      </w:tr>
    </w:tbl>
    <w:p w14:paraId="799655E8" w14:textId="77777777" w:rsidR="00C17D82" w:rsidRPr="00C17D82" w:rsidRDefault="00C17D82" w:rsidP="00B41966">
      <w:pPr>
        <w:rPr>
          <w:rFonts w:ascii="Arial" w:hAnsi="Arial" w:cs="Arial"/>
          <w:szCs w:val="24"/>
        </w:rPr>
      </w:pPr>
    </w:p>
    <w:p w14:paraId="176AA1D1" w14:textId="77777777" w:rsidR="00C17D82" w:rsidRPr="00C17D82" w:rsidRDefault="00C17D82" w:rsidP="00B41966">
      <w:pPr>
        <w:rPr>
          <w:rFonts w:ascii="Arial" w:hAnsi="Arial" w:cs="Arial"/>
          <w:szCs w:val="24"/>
        </w:rPr>
      </w:pPr>
      <w:r w:rsidRPr="00C17D82">
        <w:rPr>
          <w:rFonts w:ascii="Arial" w:hAnsi="Arial" w:cs="Arial"/>
          <w:szCs w:val="24"/>
        </w:rPr>
        <w:t>(Note, this debt was taken out in 2007 when the base rate was 5.75% and when the Authority was earning 5.84% return on its investments.)</w:t>
      </w:r>
    </w:p>
    <w:p w14:paraId="70CE7E34" w14:textId="77777777" w:rsidR="00C17D82" w:rsidRPr="00C17D82" w:rsidRDefault="00C17D82" w:rsidP="00B41966">
      <w:pPr>
        <w:rPr>
          <w:rFonts w:ascii="Arial" w:hAnsi="Arial" w:cs="Arial"/>
          <w:szCs w:val="24"/>
        </w:rPr>
      </w:pPr>
    </w:p>
    <w:p w14:paraId="3CCC8255" w14:textId="77777777" w:rsidR="00C17D82" w:rsidRPr="00C17D82" w:rsidRDefault="00C17D82" w:rsidP="00B41966">
      <w:pPr>
        <w:rPr>
          <w:rFonts w:ascii="Arial" w:hAnsi="Arial" w:cs="Arial"/>
          <w:szCs w:val="24"/>
        </w:rPr>
      </w:pPr>
      <w:r w:rsidRPr="00C17D82">
        <w:rPr>
          <w:rFonts w:ascii="Arial" w:hAnsi="Arial" w:cs="Arial"/>
          <w:szCs w:val="24"/>
        </w:rPr>
        <w:t xml:space="preserve">If the loans were to be repaid early there would be an early repayment (premium) charge.  Previous reports on treasury management activities have reported that the premium and the potential loss of investment income have been greater than the savings made on the interest payments therefore it has not been considered financially beneficial to repay the loans especially with the potential for increased interest rates. However, </w:t>
      </w:r>
      <w:proofErr w:type="gramStart"/>
      <w:r w:rsidRPr="00C17D82">
        <w:rPr>
          <w:rFonts w:ascii="Arial" w:hAnsi="Arial" w:cs="Arial"/>
          <w:szCs w:val="24"/>
        </w:rPr>
        <w:t>at</w:t>
      </w:r>
      <w:proofErr w:type="gramEnd"/>
      <w:r w:rsidRPr="00C17D82">
        <w:rPr>
          <w:rFonts w:ascii="Arial" w:hAnsi="Arial" w:cs="Arial"/>
          <w:szCs w:val="24"/>
        </w:rPr>
        <w:t xml:space="preserve"> 31 December the Authority would save £10k in interest, split over 10-years, if the loans were to be repaid early. However, with the Authority budgeting a borrowing requirement to fund the capital programme from 2026/27, the additional interest on new loans would outweigh the £10k saving achieved from early repayment.</w:t>
      </w:r>
    </w:p>
    <w:p w14:paraId="0CB0D105" w14:textId="77777777" w:rsidR="00C17D82" w:rsidRPr="00C17D82" w:rsidRDefault="00C17D82" w:rsidP="00B41966">
      <w:pPr>
        <w:rPr>
          <w:rFonts w:ascii="Arial" w:hAnsi="Arial" w:cs="Arial"/>
          <w:szCs w:val="24"/>
          <w:highlight w:val="yellow"/>
        </w:rPr>
      </w:pPr>
    </w:p>
    <w:p w14:paraId="764F73FF" w14:textId="77777777" w:rsidR="00C17D82" w:rsidRPr="00C17D82" w:rsidRDefault="00C17D82" w:rsidP="00B41966">
      <w:pPr>
        <w:pStyle w:val="Heading1"/>
        <w:spacing w:after="0"/>
        <w:ind w:left="29"/>
        <w:rPr>
          <w:szCs w:val="24"/>
        </w:rPr>
      </w:pPr>
      <w:r w:rsidRPr="00C17D82">
        <w:rPr>
          <w:szCs w:val="24"/>
        </w:rPr>
        <w:t xml:space="preserve">Investment Strategy </w:t>
      </w:r>
    </w:p>
    <w:p w14:paraId="6121ECE7" w14:textId="77777777" w:rsidR="00C17D82" w:rsidRPr="00C17D82" w:rsidRDefault="00C17D82" w:rsidP="00B41966">
      <w:pPr>
        <w:spacing w:line="259" w:lineRule="auto"/>
        <w:ind w:left="34"/>
        <w:rPr>
          <w:rFonts w:ascii="Arial" w:hAnsi="Arial" w:cs="Arial"/>
          <w:szCs w:val="24"/>
        </w:rPr>
      </w:pPr>
    </w:p>
    <w:p w14:paraId="6D8A5014" w14:textId="77777777" w:rsidR="00C17D82" w:rsidRPr="00C17D82" w:rsidRDefault="00C17D82" w:rsidP="00B41966">
      <w:pPr>
        <w:ind w:left="29" w:right="53"/>
        <w:rPr>
          <w:rFonts w:ascii="Arial" w:hAnsi="Arial" w:cs="Arial"/>
          <w:szCs w:val="24"/>
        </w:rPr>
      </w:pPr>
      <w:proofErr w:type="gramStart"/>
      <w:r w:rsidRPr="00C17D82">
        <w:rPr>
          <w:rFonts w:ascii="Arial" w:hAnsi="Arial" w:cs="Arial"/>
          <w:szCs w:val="24"/>
        </w:rPr>
        <w:t>At</w:t>
      </w:r>
      <w:proofErr w:type="gramEnd"/>
      <w:r w:rsidRPr="00C17D82">
        <w:rPr>
          <w:rFonts w:ascii="Arial" w:hAnsi="Arial" w:cs="Arial"/>
          <w:szCs w:val="24"/>
        </w:rPr>
        <w:t xml:space="preserve"> 31</w:t>
      </w:r>
      <w:r w:rsidRPr="00C17D82">
        <w:rPr>
          <w:rFonts w:ascii="Arial" w:hAnsi="Arial" w:cs="Arial"/>
          <w:szCs w:val="24"/>
          <w:vertAlign w:val="superscript"/>
        </w:rPr>
        <w:t>st</w:t>
      </w:r>
      <w:r w:rsidRPr="00C17D82">
        <w:rPr>
          <w:rFonts w:ascii="Arial" w:hAnsi="Arial" w:cs="Arial"/>
          <w:szCs w:val="24"/>
        </w:rPr>
        <w:t xml:space="preserve"> December 2024 the Authority held £46.863m invested funds, representing income received in advance of expenditure plus existing balances and reserves.  During the year the Authority’s investment balance has ranged between £60m and £27m. The variation arises principally due to the timing of the receipt of government grants. It is anticipated that there will be reduced cash levels in the forthcoming year, due to a drawdown in reserves to finance capital expenditure. </w:t>
      </w:r>
    </w:p>
    <w:p w14:paraId="6E2EFA43" w14:textId="77777777" w:rsidR="00C17D82" w:rsidRPr="00C17D82" w:rsidRDefault="00C17D82" w:rsidP="00B41966">
      <w:pPr>
        <w:ind w:left="29" w:right="53"/>
        <w:rPr>
          <w:rFonts w:ascii="Arial" w:hAnsi="Arial" w:cs="Arial"/>
          <w:szCs w:val="24"/>
        </w:rPr>
      </w:pPr>
    </w:p>
    <w:p w14:paraId="1B43C4DE" w14:textId="77777777" w:rsidR="00C17D82" w:rsidRPr="00C17D82" w:rsidRDefault="00C17D82" w:rsidP="00B41966">
      <w:pPr>
        <w:ind w:left="29" w:right="53"/>
        <w:rPr>
          <w:rFonts w:ascii="Arial" w:hAnsi="Arial" w:cs="Arial"/>
          <w:szCs w:val="24"/>
        </w:rPr>
      </w:pPr>
      <w:r w:rsidRPr="00C17D82">
        <w:rPr>
          <w:rFonts w:ascii="Arial" w:hAnsi="Arial" w:cs="Arial"/>
          <w:szCs w:val="24"/>
        </w:rPr>
        <w:t>Both the CIPFA Code and government guidance require the Authority to invest its funds prudently, and to have regard to the security and liquidity of its investments before seeking the highest rate of return, or yield. The Authority’s objective when investing money is to strike an appropriate balance between risk and return, minimising the risk of incurring losses from defaults and the risk of receiving unsuitably low investment income.</w:t>
      </w:r>
    </w:p>
    <w:p w14:paraId="11E43B1D" w14:textId="77777777" w:rsidR="00C17D82" w:rsidRPr="00C17D82" w:rsidRDefault="00C17D82" w:rsidP="00B41966">
      <w:pPr>
        <w:spacing w:line="259" w:lineRule="auto"/>
        <w:ind w:left="34"/>
        <w:rPr>
          <w:rFonts w:ascii="Arial" w:hAnsi="Arial" w:cs="Arial"/>
          <w:szCs w:val="24"/>
        </w:rPr>
      </w:pPr>
    </w:p>
    <w:p w14:paraId="7BBC7F6E" w14:textId="77777777" w:rsidR="00C17D82" w:rsidRPr="00C17D82" w:rsidRDefault="00C17D82" w:rsidP="00B41966">
      <w:pPr>
        <w:ind w:left="29" w:right="53"/>
        <w:rPr>
          <w:rFonts w:ascii="Arial" w:hAnsi="Arial" w:cs="Arial"/>
          <w:szCs w:val="24"/>
        </w:rPr>
      </w:pPr>
      <w:r w:rsidRPr="00C17D82">
        <w:rPr>
          <w:rFonts w:ascii="Arial" w:hAnsi="Arial" w:cs="Arial"/>
          <w:szCs w:val="24"/>
        </w:rPr>
        <w:t>Therefore, in line with the guidance the Treasury Management Strategy is developed to ensure the Fire Authority will only use very high-quality counterparties for investments.</w:t>
      </w:r>
    </w:p>
    <w:p w14:paraId="09718C23" w14:textId="77777777" w:rsidR="00C17D82" w:rsidRPr="00C17D82" w:rsidRDefault="00C17D82" w:rsidP="00B41966">
      <w:pPr>
        <w:ind w:left="29" w:right="53"/>
        <w:rPr>
          <w:rFonts w:ascii="Arial" w:hAnsi="Arial" w:cs="Arial"/>
          <w:szCs w:val="24"/>
        </w:rPr>
      </w:pPr>
    </w:p>
    <w:p w14:paraId="6419C0DA" w14:textId="77777777" w:rsidR="00C17D82" w:rsidRPr="00C17D82" w:rsidRDefault="00C17D82" w:rsidP="00865A26">
      <w:pPr>
        <w:ind w:left="29" w:right="53"/>
        <w:rPr>
          <w:rFonts w:ascii="Arial" w:hAnsi="Arial" w:cs="Arial"/>
          <w:szCs w:val="24"/>
        </w:rPr>
      </w:pPr>
      <w:r w:rsidRPr="00C17D82">
        <w:rPr>
          <w:rFonts w:ascii="Arial" w:hAnsi="Arial" w:cs="Arial"/>
          <w:szCs w:val="24"/>
        </w:rPr>
        <w:lastRenderedPageBreak/>
        <w:t>The Authority may invest its surplus funds with any of the counterparties in the table below, subject to the cash and time limits shown.</w:t>
      </w:r>
      <w:r w:rsidRPr="00C17D82">
        <w:rPr>
          <w:rFonts w:ascii="Arial" w:hAnsi="Arial" w:cs="Arial"/>
          <w:szCs w:val="24"/>
        </w:rPr>
        <w:br w:type="page"/>
      </w:r>
    </w:p>
    <w:p w14:paraId="4B08567E" w14:textId="77777777" w:rsidR="00C17D82" w:rsidRPr="00C17D82" w:rsidRDefault="00C17D82" w:rsidP="00C60E35">
      <w:pPr>
        <w:ind w:right="53"/>
        <w:rPr>
          <w:rFonts w:ascii="Arial" w:hAnsi="Arial" w:cs="Arial"/>
          <w:szCs w:val="24"/>
        </w:rPr>
      </w:pPr>
    </w:p>
    <w:p w14:paraId="19EAFDD0" w14:textId="77777777" w:rsidR="00C17D82" w:rsidRPr="00C17D82" w:rsidRDefault="00C17D82" w:rsidP="00B41966">
      <w:pPr>
        <w:spacing w:line="259" w:lineRule="auto"/>
        <w:rPr>
          <w:rFonts w:ascii="Arial" w:eastAsia="Calibri" w:hAnsi="Arial" w:cs="Arial"/>
          <w:i/>
          <w:iCs/>
          <w:color w:val="44546A"/>
          <w:szCs w:val="24"/>
        </w:rPr>
      </w:pPr>
      <w:r w:rsidRPr="00C17D82">
        <w:rPr>
          <w:rFonts w:ascii="Arial" w:eastAsia="Calibri" w:hAnsi="Arial" w:cs="Arial"/>
          <w:i/>
          <w:iCs/>
          <w:color w:val="44546A"/>
          <w:szCs w:val="24"/>
        </w:rPr>
        <w:t>Table 5 Investment Counterparties</w:t>
      </w:r>
    </w:p>
    <w:tbl>
      <w:tblPr>
        <w:tblStyle w:val="TableGrid"/>
        <w:tblW w:w="0" w:type="auto"/>
        <w:tblInd w:w="34" w:type="dxa"/>
        <w:tblLook w:val="04A0" w:firstRow="1" w:lastRow="0" w:firstColumn="1" w:lastColumn="0" w:noHBand="0" w:noVBand="1"/>
      </w:tblPr>
      <w:tblGrid>
        <w:gridCol w:w="5790"/>
        <w:gridCol w:w="1644"/>
        <w:gridCol w:w="1548"/>
      </w:tblGrid>
      <w:tr w:rsidR="00C17D82" w:rsidRPr="00C17D82" w14:paraId="00E75F8B" w14:textId="77777777" w:rsidTr="00B41966">
        <w:tc>
          <w:tcPr>
            <w:tcW w:w="6340" w:type="dxa"/>
          </w:tcPr>
          <w:p w14:paraId="6717C676" w14:textId="77777777" w:rsidR="00C17D82" w:rsidRPr="00C17D82" w:rsidRDefault="00C17D82" w:rsidP="001366E5">
            <w:pPr>
              <w:spacing w:line="259" w:lineRule="auto"/>
              <w:rPr>
                <w:rFonts w:ascii="Arial" w:hAnsi="Arial" w:cs="Arial"/>
                <w:bCs/>
                <w:szCs w:val="24"/>
              </w:rPr>
            </w:pPr>
            <w:r w:rsidRPr="00C17D82">
              <w:rPr>
                <w:rFonts w:ascii="Arial" w:hAnsi="Arial" w:cs="Arial"/>
                <w:bCs/>
                <w:szCs w:val="24"/>
              </w:rPr>
              <w:t>Counterparty</w:t>
            </w:r>
          </w:p>
        </w:tc>
        <w:tc>
          <w:tcPr>
            <w:tcW w:w="1701" w:type="dxa"/>
          </w:tcPr>
          <w:p w14:paraId="16259C06" w14:textId="77777777" w:rsidR="00C17D82" w:rsidRPr="00C17D82" w:rsidRDefault="00C17D82" w:rsidP="001366E5">
            <w:pPr>
              <w:spacing w:line="259" w:lineRule="auto"/>
              <w:rPr>
                <w:rFonts w:ascii="Arial" w:hAnsi="Arial" w:cs="Arial"/>
                <w:bCs/>
                <w:szCs w:val="24"/>
              </w:rPr>
            </w:pPr>
            <w:r w:rsidRPr="00C17D82">
              <w:rPr>
                <w:rFonts w:ascii="Arial" w:hAnsi="Arial" w:cs="Arial"/>
                <w:bCs/>
                <w:szCs w:val="24"/>
              </w:rPr>
              <w:t>Cash Limit</w:t>
            </w:r>
          </w:p>
        </w:tc>
        <w:tc>
          <w:tcPr>
            <w:tcW w:w="1647" w:type="dxa"/>
          </w:tcPr>
          <w:p w14:paraId="3BDF4F06" w14:textId="77777777" w:rsidR="00C17D82" w:rsidRPr="00C17D82" w:rsidRDefault="00C17D82" w:rsidP="001366E5">
            <w:pPr>
              <w:spacing w:line="259" w:lineRule="auto"/>
              <w:rPr>
                <w:rFonts w:ascii="Arial" w:hAnsi="Arial" w:cs="Arial"/>
                <w:bCs/>
                <w:szCs w:val="24"/>
              </w:rPr>
            </w:pPr>
            <w:r w:rsidRPr="00C17D82">
              <w:rPr>
                <w:rFonts w:ascii="Arial" w:hAnsi="Arial" w:cs="Arial"/>
                <w:bCs/>
                <w:szCs w:val="24"/>
              </w:rPr>
              <w:t>Time Limit</w:t>
            </w:r>
          </w:p>
        </w:tc>
      </w:tr>
      <w:tr w:rsidR="00C17D82" w:rsidRPr="00C17D82" w14:paraId="1E0D490E" w14:textId="77777777" w:rsidTr="00B41966">
        <w:tc>
          <w:tcPr>
            <w:tcW w:w="6340" w:type="dxa"/>
            <w:vAlign w:val="center"/>
          </w:tcPr>
          <w:p w14:paraId="4748FA1D"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Banks and other organisations and securities whose lowest published long-term credit rating from Fitch, Moody’s and Standard &amp; Poor’s is a minimum of AA-</w:t>
            </w:r>
          </w:p>
        </w:tc>
        <w:tc>
          <w:tcPr>
            <w:tcW w:w="1701" w:type="dxa"/>
            <w:vAlign w:val="center"/>
          </w:tcPr>
          <w:p w14:paraId="55B0013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£5m each</w:t>
            </w:r>
          </w:p>
        </w:tc>
        <w:tc>
          <w:tcPr>
            <w:tcW w:w="1647" w:type="dxa"/>
            <w:vAlign w:val="center"/>
          </w:tcPr>
          <w:p w14:paraId="5C2BF971"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5 years</w:t>
            </w:r>
          </w:p>
        </w:tc>
      </w:tr>
      <w:tr w:rsidR="00C17D82" w:rsidRPr="00C17D82" w14:paraId="672DAB8F" w14:textId="77777777" w:rsidTr="00B41966">
        <w:tc>
          <w:tcPr>
            <w:tcW w:w="6340" w:type="dxa"/>
            <w:vAlign w:val="center"/>
          </w:tcPr>
          <w:p w14:paraId="7EB8723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Call accounts with banks and other organisations with minimum A- credit rating</w:t>
            </w:r>
          </w:p>
        </w:tc>
        <w:tc>
          <w:tcPr>
            <w:tcW w:w="1701" w:type="dxa"/>
            <w:vAlign w:val="center"/>
          </w:tcPr>
          <w:p w14:paraId="05031A9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£10m</w:t>
            </w:r>
          </w:p>
        </w:tc>
        <w:tc>
          <w:tcPr>
            <w:tcW w:w="1647" w:type="dxa"/>
            <w:vAlign w:val="center"/>
          </w:tcPr>
          <w:p w14:paraId="63203F6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Next day</w:t>
            </w:r>
          </w:p>
        </w:tc>
      </w:tr>
      <w:tr w:rsidR="00C17D82" w:rsidRPr="00C17D82" w14:paraId="5FB95681" w14:textId="77777777" w:rsidTr="00B41966">
        <w:tc>
          <w:tcPr>
            <w:tcW w:w="6340" w:type="dxa"/>
            <w:vAlign w:val="center"/>
          </w:tcPr>
          <w:p w14:paraId="5E1B75EC"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Call account with the Debt Management Office</w:t>
            </w:r>
          </w:p>
        </w:tc>
        <w:tc>
          <w:tcPr>
            <w:tcW w:w="1701" w:type="dxa"/>
            <w:vAlign w:val="center"/>
          </w:tcPr>
          <w:p w14:paraId="5E87CAEE"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Unlimited</w:t>
            </w:r>
          </w:p>
        </w:tc>
        <w:tc>
          <w:tcPr>
            <w:tcW w:w="1647" w:type="dxa"/>
            <w:vAlign w:val="center"/>
          </w:tcPr>
          <w:p w14:paraId="1A80F164"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Next day</w:t>
            </w:r>
          </w:p>
        </w:tc>
      </w:tr>
      <w:tr w:rsidR="00C17D82" w:rsidRPr="00C17D82" w14:paraId="00466472" w14:textId="77777777" w:rsidTr="00B41966">
        <w:tc>
          <w:tcPr>
            <w:tcW w:w="6340" w:type="dxa"/>
            <w:vAlign w:val="center"/>
          </w:tcPr>
          <w:p w14:paraId="6438702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UK Central Government (irrespective of credit rating)</w:t>
            </w:r>
          </w:p>
        </w:tc>
        <w:tc>
          <w:tcPr>
            <w:tcW w:w="1701" w:type="dxa"/>
            <w:vAlign w:val="center"/>
          </w:tcPr>
          <w:p w14:paraId="6433411D"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Unlimited</w:t>
            </w:r>
          </w:p>
        </w:tc>
        <w:tc>
          <w:tcPr>
            <w:tcW w:w="1647" w:type="dxa"/>
            <w:vAlign w:val="center"/>
          </w:tcPr>
          <w:p w14:paraId="1D55D12D"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50 years</w:t>
            </w:r>
          </w:p>
        </w:tc>
      </w:tr>
      <w:tr w:rsidR="00C17D82" w:rsidRPr="00C17D82" w14:paraId="29159DCE" w14:textId="77777777" w:rsidTr="00B41966">
        <w:tc>
          <w:tcPr>
            <w:tcW w:w="6340" w:type="dxa"/>
            <w:vAlign w:val="center"/>
          </w:tcPr>
          <w:p w14:paraId="27882CA0"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UK Local Authorities (irrespective of credit rating)</w:t>
            </w:r>
          </w:p>
        </w:tc>
        <w:tc>
          <w:tcPr>
            <w:tcW w:w="1701" w:type="dxa"/>
            <w:vAlign w:val="center"/>
          </w:tcPr>
          <w:p w14:paraId="2E24CD58"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£5m each</w:t>
            </w:r>
          </w:p>
        </w:tc>
        <w:tc>
          <w:tcPr>
            <w:tcW w:w="1647" w:type="dxa"/>
            <w:vAlign w:val="center"/>
          </w:tcPr>
          <w:p w14:paraId="54E67B50"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10 years</w:t>
            </w:r>
          </w:p>
        </w:tc>
      </w:tr>
      <w:tr w:rsidR="00C17D82" w:rsidRPr="00C17D82" w14:paraId="6E92EFFF" w14:textId="77777777" w:rsidTr="00B41966">
        <w:tc>
          <w:tcPr>
            <w:tcW w:w="6340" w:type="dxa"/>
            <w:vAlign w:val="center"/>
          </w:tcPr>
          <w:p w14:paraId="3D53B75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Secured bond funds AA rating and WAL not more than three years</w:t>
            </w:r>
          </w:p>
        </w:tc>
        <w:tc>
          <w:tcPr>
            <w:tcW w:w="1701" w:type="dxa"/>
            <w:vAlign w:val="center"/>
          </w:tcPr>
          <w:p w14:paraId="4FAD2D5E"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£5m each</w:t>
            </w:r>
          </w:p>
        </w:tc>
        <w:tc>
          <w:tcPr>
            <w:tcW w:w="1647" w:type="dxa"/>
            <w:vAlign w:val="center"/>
          </w:tcPr>
          <w:p w14:paraId="41B241CB"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N/A</w:t>
            </w:r>
          </w:p>
        </w:tc>
      </w:tr>
      <w:tr w:rsidR="00C17D82" w:rsidRPr="00C17D82" w14:paraId="3DE6A61A" w14:textId="77777777" w:rsidTr="00B41966">
        <w:tc>
          <w:tcPr>
            <w:tcW w:w="6340" w:type="dxa"/>
            <w:vAlign w:val="center"/>
          </w:tcPr>
          <w:p w14:paraId="160DEF05"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Secured bond funds AAA rated and WAL not more than five years</w:t>
            </w:r>
          </w:p>
        </w:tc>
        <w:tc>
          <w:tcPr>
            <w:tcW w:w="1701" w:type="dxa"/>
            <w:vAlign w:val="center"/>
          </w:tcPr>
          <w:p w14:paraId="2F973D27"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£m each</w:t>
            </w:r>
          </w:p>
        </w:tc>
        <w:tc>
          <w:tcPr>
            <w:tcW w:w="1647" w:type="dxa"/>
            <w:vAlign w:val="center"/>
          </w:tcPr>
          <w:p w14:paraId="5811CCB2"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N/A</w:t>
            </w:r>
          </w:p>
        </w:tc>
      </w:tr>
    </w:tbl>
    <w:p w14:paraId="547EFA54" w14:textId="77777777" w:rsidR="00C17D82" w:rsidRPr="00C17D82" w:rsidRDefault="00C17D82" w:rsidP="001366E5">
      <w:pPr>
        <w:spacing w:line="259" w:lineRule="auto"/>
        <w:ind w:left="34"/>
        <w:rPr>
          <w:rFonts w:ascii="Arial" w:hAnsi="Arial" w:cs="Arial"/>
          <w:b/>
          <w:szCs w:val="24"/>
        </w:rPr>
      </w:pPr>
    </w:p>
    <w:p w14:paraId="26563BEA" w14:textId="77777777" w:rsidR="00C17D82" w:rsidRPr="00C17D82" w:rsidRDefault="00C17D82" w:rsidP="00B41966">
      <w:pPr>
        <w:ind w:left="29" w:right="53"/>
        <w:rPr>
          <w:rFonts w:ascii="Arial" w:hAnsi="Arial" w:cs="Arial"/>
          <w:szCs w:val="24"/>
        </w:rPr>
      </w:pPr>
      <w:r w:rsidRPr="00C17D82">
        <w:rPr>
          <w:rFonts w:ascii="Arial" w:hAnsi="Arial" w:cs="Arial"/>
          <w:szCs w:val="24"/>
        </w:rPr>
        <w:t>Allowable bond funds are defined by credit rating and weighted average life (WAL). Investing in senior secured bonds backed by collateral provides a protection against bail-in. Although the average life of the securities within the fund will be either 3 or 5 years, funds can be redeemed within 2 days of request but in general these should be seen as longer-term investments.</w:t>
      </w:r>
    </w:p>
    <w:p w14:paraId="554539DA" w14:textId="77777777" w:rsidR="00C17D82" w:rsidRPr="00C17D82" w:rsidRDefault="00C17D82" w:rsidP="00B41966">
      <w:pPr>
        <w:ind w:left="29" w:right="53"/>
        <w:rPr>
          <w:rFonts w:ascii="Arial" w:hAnsi="Arial" w:cs="Arial"/>
          <w:szCs w:val="24"/>
        </w:rPr>
      </w:pPr>
    </w:p>
    <w:p w14:paraId="5BC942BA"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Authority currently has access to a call (instant access) account </w:t>
      </w:r>
      <w:proofErr w:type="gramStart"/>
      <w:r w:rsidRPr="00C17D82">
        <w:rPr>
          <w:rFonts w:ascii="Arial" w:hAnsi="Arial" w:cs="Arial"/>
          <w:szCs w:val="24"/>
        </w:rPr>
        <w:t>with  the</w:t>
      </w:r>
      <w:proofErr w:type="gramEnd"/>
      <w:r w:rsidRPr="00C17D82">
        <w:rPr>
          <w:rFonts w:ascii="Arial" w:hAnsi="Arial" w:cs="Arial"/>
          <w:szCs w:val="24"/>
        </w:rPr>
        <w:t xml:space="preserve"> Debt Management Office, which pays slightly lower than bank base rate, this is 4.70 </w:t>
      </w:r>
      <w:proofErr w:type="gramStart"/>
      <w:r w:rsidRPr="00C17D82">
        <w:rPr>
          <w:rFonts w:ascii="Arial" w:hAnsi="Arial" w:cs="Arial"/>
          <w:szCs w:val="24"/>
        </w:rPr>
        <w:t>at</w:t>
      </w:r>
      <w:proofErr w:type="gramEnd"/>
      <w:r w:rsidRPr="00C17D82">
        <w:rPr>
          <w:rFonts w:ascii="Arial" w:hAnsi="Arial" w:cs="Arial"/>
          <w:szCs w:val="24"/>
        </w:rPr>
        <w:t xml:space="preserve"> 31 December%. Each working day the balance on the Authority's current account is invested to ensure that the interest received on surplus balances is maximised.</w:t>
      </w:r>
    </w:p>
    <w:p w14:paraId="5311ADF0" w14:textId="77777777" w:rsidR="00C17D82" w:rsidRPr="00C17D82" w:rsidRDefault="00C17D82" w:rsidP="00B41966">
      <w:pPr>
        <w:ind w:left="29" w:right="53"/>
        <w:rPr>
          <w:rFonts w:ascii="Arial" w:hAnsi="Arial" w:cs="Arial"/>
          <w:szCs w:val="24"/>
        </w:rPr>
      </w:pPr>
    </w:p>
    <w:p w14:paraId="684ABE41"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 xml:space="preserve">Regarding the risk of investing with another local authority, only a few authorities have their own credit rating, but those that do are the same or one notch below the UK Government reflecting the fact that they are quasi-Government institutions. Overall, credit ratings are seen as unnecessary by the sector because the statutory and prudential framework within which the authorities operate is amongst the strongest in the world. In addition, any lender to a local authority has protection, under statute, by way of a first charge on the revenues of that authority. No local authority has ever defaulted to date, and this also may be an indication of security. However, when the UK credit rating by the rating agencies has been downgraded those local authorities with a rating saw a reduction in their ratings. Therefore, consideration has been given to reducing the risk associated with the investment with other local authorities. </w:t>
      </w:r>
    </w:p>
    <w:p w14:paraId="1671BD4D" w14:textId="77777777" w:rsidR="00C17D82" w:rsidRPr="00C17D82" w:rsidRDefault="00C17D82" w:rsidP="00B41966">
      <w:pPr>
        <w:rPr>
          <w:rFonts w:ascii="Arial" w:hAnsi="Arial" w:cs="Arial"/>
          <w:szCs w:val="24"/>
        </w:rPr>
      </w:pPr>
    </w:p>
    <w:p w14:paraId="2477E5DA" w14:textId="77777777" w:rsidR="00C17D82" w:rsidRPr="00C17D82" w:rsidRDefault="00C17D82" w:rsidP="00B41966">
      <w:pPr>
        <w:keepNext/>
        <w:rPr>
          <w:rFonts w:ascii="Arial" w:eastAsia="Calibri" w:hAnsi="Arial" w:cs="Arial"/>
          <w:i/>
          <w:iCs/>
          <w:color w:val="44546A"/>
          <w:szCs w:val="24"/>
        </w:rPr>
      </w:pPr>
      <w:r w:rsidRPr="00C17D82">
        <w:rPr>
          <w:rFonts w:ascii="Arial" w:eastAsia="Calibri" w:hAnsi="Arial" w:cs="Arial"/>
          <w:i/>
          <w:iCs/>
          <w:color w:val="44546A"/>
          <w:szCs w:val="24"/>
        </w:rPr>
        <w:t>Table 6 Investment Limits with Local Authorities</w:t>
      </w:r>
    </w:p>
    <w:tbl>
      <w:tblPr>
        <w:tblStyle w:val="TableGrid1"/>
        <w:tblW w:w="0" w:type="auto"/>
        <w:tblLook w:val="04A0" w:firstRow="1" w:lastRow="0" w:firstColumn="1" w:lastColumn="0" w:noHBand="0" w:noVBand="1"/>
      </w:tblPr>
      <w:tblGrid>
        <w:gridCol w:w="2253"/>
        <w:gridCol w:w="2254"/>
        <w:gridCol w:w="2254"/>
        <w:gridCol w:w="2255"/>
      </w:tblGrid>
      <w:tr w:rsidR="00C17D82" w:rsidRPr="00C17D82" w14:paraId="3F90AA4B" w14:textId="77777777" w:rsidTr="00DC3A6D">
        <w:tc>
          <w:tcPr>
            <w:tcW w:w="2254" w:type="dxa"/>
          </w:tcPr>
          <w:p w14:paraId="26B99C7C" w14:textId="77777777" w:rsidR="00C17D82" w:rsidRPr="00C17D82" w:rsidRDefault="00C17D82" w:rsidP="00B41966">
            <w:pPr>
              <w:rPr>
                <w:rFonts w:ascii="Arial" w:hAnsi="Arial" w:cs="Arial"/>
                <w:szCs w:val="24"/>
              </w:rPr>
            </w:pPr>
            <w:r w:rsidRPr="00C17D82">
              <w:rPr>
                <w:rFonts w:ascii="Arial" w:hAnsi="Arial" w:cs="Arial"/>
                <w:szCs w:val="24"/>
              </w:rPr>
              <w:t>Investment Period</w:t>
            </w:r>
          </w:p>
        </w:tc>
        <w:tc>
          <w:tcPr>
            <w:tcW w:w="2254" w:type="dxa"/>
          </w:tcPr>
          <w:p w14:paraId="39B5150B" w14:textId="77777777" w:rsidR="00C17D82" w:rsidRPr="00C17D82" w:rsidRDefault="00C17D82" w:rsidP="00B41966">
            <w:pPr>
              <w:jc w:val="center"/>
              <w:rPr>
                <w:rFonts w:ascii="Arial" w:hAnsi="Arial" w:cs="Arial"/>
                <w:szCs w:val="24"/>
              </w:rPr>
            </w:pPr>
            <w:r w:rsidRPr="00C17D82">
              <w:rPr>
                <w:rFonts w:ascii="Arial" w:hAnsi="Arial" w:cs="Arial"/>
                <w:szCs w:val="24"/>
              </w:rPr>
              <w:t>Maximum Individual Investment (£m)</w:t>
            </w:r>
          </w:p>
        </w:tc>
        <w:tc>
          <w:tcPr>
            <w:tcW w:w="2254" w:type="dxa"/>
          </w:tcPr>
          <w:p w14:paraId="72F51239" w14:textId="77777777" w:rsidR="00C17D82" w:rsidRPr="00C17D82" w:rsidRDefault="00C17D82" w:rsidP="00B41966">
            <w:pPr>
              <w:jc w:val="center"/>
              <w:rPr>
                <w:rFonts w:ascii="Arial" w:hAnsi="Arial" w:cs="Arial"/>
                <w:szCs w:val="24"/>
              </w:rPr>
            </w:pPr>
            <w:r w:rsidRPr="00C17D82">
              <w:rPr>
                <w:rFonts w:ascii="Arial" w:hAnsi="Arial" w:cs="Arial"/>
                <w:szCs w:val="24"/>
              </w:rPr>
              <w:t>Maximum Total Investment (£m)</w:t>
            </w:r>
          </w:p>
        </w:tc>
        <w:tc>
          <w:tcPr>
            <w:tcW w:w="2255" w:type="dxa"/>
          </w:tcPr>
          <w:p w14:paraId="3EC8FCA2" w14:textId="77777777" w:rsidR="00C17D82" w:rsidRPr="00C17D82" w:rsidRDefault="00C17D82" w:rsidP="00B41966">
            <w:pPr>
              <w:jc w:val="center"/>
              <w:rPr>
                <w:rFonts w:ascii="Arial" w:hAnsi="Arial" w:cs="Arial"/>
                <w:szCs w:val="24"/>
              </w:rPr>
            </w:pPr>
            <w:r w:rsidRPr="00C17D82">
              <w:rPr>
                <w:rFonts w:ascii="Arial" w:hAnsi="Arial" w:cs="Arial"/>
                <w:szCs w:val="24"/>
              </w:rPr>
              <w:t>Maximum Period</w:t>
            </w:r>
          </w:p>
        </w:tc>
      </w:tr>
      <w:tr w:rsidR="00C17D82" w:rsidRPr="00C17D82" w14:paraId="39A373DD" w14:textId="77777777" w:rsidTr="00DC3A6D">
        <w:tc>
          <w:tcPr>
            <w:tcW w:w="2254" w:type="dxa"/>
          </w:tcPr>
          <w:p w14:paraId="2BE1D81D" w14:textId="77777777" w:rsidR="00C17D82" w:rsidRPr="00C17D82" w:rsidRDefault="00C17D82" w:rsidP="00B41966">
            <w:pPr>
              <w:rPr>
                <w:rFonts w:ascii="Arial" w:hAnsi="Arial" w:cs="Arial"/>
                <w:szCs w:val="24"/>
              </w:rPr>
            </w:pPr>
            <w:r w:rsidRPr="00C17D82">
              <w:rPr>
                <w:rFonts w:ascii="Arial" w:hAnsi="Arial" w:cs="Arial"/>
                <w:szCs w:val="24"/>
              </w:rPr>
              <w:t>Up to 2 years</w:t>
            </w:r>
          </w:p>
        </w:tc>
        <w:tc>
          <w:tcPr>
            <w:tcW w:w="2254" w:type="dxa"/>
          </w:tcPr>
          <w:p w14:paraId="122C9459" w14:textId="77777777" w:rsidR="00C17D82" w:rsidRPr="00C17D82" w:rsidRDefault="00C17D82" w:rsidP="00B41966">
            <w:pPr>
              <w:jc w:val="center"/>
              <w:rPr>
                <w:rFonts w:ascii="Arial" w:hAnsi="Arial" w:cs="Arial"/>
                <w:szCs w:val="24"/>
              </w:rPr>
            </w:pPr>
            <w:r w:rsidRPr="00C17D82">
              <w:rPr>
                <w:rFonts w:ascii="Arial" w:hAnsi="Arial" w:cs="Arial"/>
                <w:szCs w:val="24"/>
              </w:rPr>
              <w:t>5</w:t>
            </w:r>
          </w:p>
        </w:tc>
        <w:tc>
          <w:tcPr>
            <w:tcW w:w="2254" w:type="dxa"/>
          </w:tcPr>
          <w:p w14:paraId="5343DC91" w14:textId="77777777" w:rsidR="00C17D82" w:rsidRPr="00C17D82" w:rsidRDefault="00C17D82" w:rsidP="00B41966">
            <w:pPr>
              <w:jc w:val="center"/>
              <w:rPr>
                <w:rFonts w:ascii="Arial" w:hAnsi="Arial" w:cs="Arial"/>
                <w:szCs w:val="24"/>
              </w:rPr>
            </w:pPr>
            <w:r w:rsidRPr="00C17D82">
              <w:rPr>
                <w:rFonts w:ascii="Arial" w:hAnsi="Arial" w:cs="Arial"/>
                <w:szCs w:val="24"/>
              </w:rPr>
              <w:t>40</w:t>
            </w:r>
          </w:p>
        </w:tc>
        <w:tc>
          <w:tcPr>
            <w:tcW w:w="2255" w:type="dxa"/>
          </w:tcPr>
          <w:p w14:paraId="6D719664" w14:textId="77777777" w:rsidR="00C17D82" w:rsidRPr="00C17D82" w:rsidRDefault="00C17D82" w:rsidP="00B41966">
            <w:pPr>
              <w:jc w:val="center"/>
              <w:rPr>
                <w:rFonts w:ascii="Arial" w:hAnsi="Arial" w:cs="Arial"/>
                <w:szCs w:val="24"/>
              </w:rPr>
            </w:pPr>
            <w:r w:rsidRPr="00C17D82">
              <w:rPr>
                <w:rFonts w:ascii="Arial" w:hAnsi="Arial" w:cs="Arial"/>
                <w:szCs w:val="24"/>
              </w:rPr>
              <w:t>2 years</w:t>
            </w:r>
          </w:p>
        </w:tc>
      </w:tr>
      <w:tr w:rsidR="00C17D82" w:rsidRPr="00C17D82" w14:paraId="79D4B0F9" w14:textId="77777777" w:rsidTr="00DC3A6D">
        <w:tc>
          <w:tcPr>
            <w:tcW w:w="2254" w:type="dxa"/>
          </w:tcPr>
          <w:p w14:paraId="4EA0B0BD" w14:textId="77777777" w:rsidR="00C17D82" w:rsidRPr="00C17D82" w:rsidRDefault="00C17D82" w:rsidP="00B41966">
            <w:pPr>
              <w:rPr>
                <w:rFonts w:ascii="Arial" w:hAnsi="Arial" w:cs="Arial"/>
                <w:szCs w:val="24"/>
              </w:rPr>
            </w:pPr>
            <w:r w:rsidRPr="00C17D82">
              <w:rPr>
                <w:rFonts w:ascii="Arial" w:hAnsi="Arial" w:cs="Arial"/>
                <w:szCs w:val="24"/>
              </w:rPr>
              <w:lastRenderedPageBreak/>
              <w:t>Over 2 years</w:t>
            </w:r>
          </w:p>
        </w:tc>
        <w:tc>
          <w:tcPr>
            <w:tcW w:w="2254" w:type="dxa"/>
          </w:tcPr>
          <w:p w14:paraId="05A91922" w14:textId="77777777" w:rsidR="00C17D82" w:rsidRPr="00C17D82" w:rsidRDefault="00C17D82" w:rsidP="00B41966">
            <w:pPr>
              <w:jc w:val="center"/>
              <w:rPr>
                <w:rFonts w:ascii="Arial" w:hAnsi="Arial" w:cs="Arial"/>
                <w:szCs w:val="24"/>
              </w:rPr>
            </w:pPr>
            <w:r w:rsidRPr="00C17D82">
              <w:rPr>
                <w:rFonts w:ascii="Arial" w:hAnsi="Arial" w:cs="Arial"/>
                <w:szCs w:val="24"/>
              </w:rPr>
              <w:t>5</w:t>
            </w:r>
          </w:p>
        </w:tc>
        <w:tc>
          <w:tcPr>
            <w:tcW w:w="2254" w:type="dxa"/>
          </w:tcPr>
          <w:p w14:paraId="4335D1FE" w14:textId="77777777" w:rsidR="00C17D82" w:rsidRPr="00C17D82" w:rsidRDefault="00C17D82" w:rsidP="00B41966">
            <w:pPr>
              <w:jc w:val="center"/>
              <w:rPr>
                <w:rFonts w:ascii="Arial" w:hAnsi="Arial" w:cs="Arial"/>
                <w:szCs w:val="24"/>
              </w:rPr>
            </w:pPr>
            <w:r w:rsidRPr="00C17D82">
              <w:rPr>
                <w:rFonts w:ascii="Arial" w:hAnsi="Arial" w:cs="Arial"/>
                <w:szCs w:val="24"/>
              </w:rPr>
              <w:t>25</w:t>
            </w:r>
          </w:p>
        </w:tc>
        <w:tc>
          <w:tcPr>
            <w:tcW w:w="2255" w:type="dxa"/>
          </w:tcPr>
          <w:p w14:paraId="02C5D04C" w14:textId="77777777" w:rsidR="00C17D82" w:rsidRPr="00C17D82" w:rsidRDefault="00C17D82" w:rsidP="00B41966">
            <w:pPr>
              <w:jc w:val="center"/>
              <w:rPr>
                <w:rFonts w:ascii="Arial" w:hAnsi="Arial" w:cs="Arial"/>
                <w:szCs w:val="24"/>
              </w:rPr>
            </w:pPr>
            <w:r w:rsidRPr="00C17D82">
              <w:rPr>
                <w:rFonts w:ascii="Arial" w:hAnsi="Arial" w:cs="Arial"/>
                <w:szCs w:val="24"/>
              </w:rPr>
              <w:t>10 years</w:t>
            </w:r>
          </w:p>
        </w:tc>
      </w:tr>
    </w:tbl>
    <w:p w14:paraId="6F963798" w14:textId="77777777" w:rsidR="00C17D82" w:rsidRPr="00C17D82" w:rsidRDefault="00C17D82" w:rsidP="00B41966">
      <w:pPr>
        <w:spacing w:line="259" w:lineRule="auto"/>
        <w:rPr>
          <w:rFonts w:ascii="Arial" w:hAnsi="Arial" w:cs="Arial"/>
          <w:szCs w:val="24"/>
          <w:highlight w:val="yellow"/>
        </w:rPr>
      </w:pPr>
    </w:p>
    <w:p w14:paraId="70DFABCA" w14:textId="77777777" w:rsidR="00C17D82" w:rsidRPr="00C17D82" w:rsidRDefault="00C17D82" w:rsidP="00D676BF">
      <w:pPr>
        <w:ind w:left="34" w:right="53"/>
        <w:rPr>
          <w:rFonts w:ascii="Arial" w:hAnsi="Arial" w:cs="Arial"/>
          <w:szCs w:val="24"/>
        </w:rPr>
      </w:pPr>
      <w:r w:rsidRPr="00C17D82">
        <w:rPr>
          <w:rFonts w:ascii="Arial" w:hAnsi="Arial" w:cs="Arial"/>
          <w:szCs w:val="24"/>
        </w:rPr>
        <w:t>The call account with LCC has been replaced by a call account with the Debt Management Office, therefore all Local Authority investments are within the above limits.</w:t>
      </w:r>
    </w:p>
    <w:p w14:paraId="4FCE6209" w14:textId="77777777" w:rsidR="00C17D82" w:rsidRPr="00C17D82" w:rsidRDefault="00C17D82" w:rsidP="00D676BF">
      <w:pPr>
        <w:ind w:left="34" w:right="53"/>
        <w:rPr>
          <w:rFonts w:ascii="Arial" w:hAnsi="Arial" w:cs="Arial"/>
          <w:szCs w:val="24"/>
        </w:rPr>
      </w:pPr>
    </w:p>
    <w:p w14:paraId="3B93E4A3" w14:textId="77777777" w:rsidR="00C17D82" w:rsidRPr="00C17D82" w:rsidRDefault="00C17D82" w:rsidP="00B41966">
      <w:pPr>
        <w:ind w:left="34" w:right="53"/>
        <w:rPr>
          <w:rFonts w:ascii="Arial" w:hAnsi="Arial" w:cs="Arial"/>
          <w:szCs w:val="24"/>
        </w:rPr>
      </w:pPr>
      <w:r w:rsidRPr="00C17D82">
        <w:rPr>
          <w:rFonts w:ascii="Arial" w:hAnsi="Arial" w:cs="Arial"/>
          <w:szCs w:val="24"/>
        </w:rPr>
        <w:t xml:space="preserve">In respect of banks taxpayers will no longer bail-out failed banks instead the required funds will be paid by equity investors and depositors. Local authorities' deposits will be at risk and consequently although currently available within the policy it is unlikely that long term unsecured term deposits will be used at the present time. </w:t>
      </w:r>
    </w:p>
    <w:p w14:paraId="33B7143D" w14:textId="77777777" w:rsidR="00C17D82" w:rsidRPr="00C17D82" w:rsidRDefault="00C17D82" w:rsidP="00B41966">
      <w:pPr>
        <w:ind w:left="29" w:right="53"/>
        <w:rPr>
          <w:rFonts w:ascii="Arial" w:hAnsi="Arial" w:cs="Arial"/>
          <w:szCs w:val="24"/>
        </w:rPr>
      </w:pPr>
    </w:p>
    <w:p w14:paraId="11902588"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Currently all the Authority's fixed investments are with other local authorities. To enhance the interest earned the following investments are already impacting 2025/26</w:t>
      </w:r>
    </w:p>
    <w:p w14:paraId="61FC7CD0" w14:textId="77777777" w:rsidR="00C17D82" w:rsidRPr="00C17D82" w:rsidRDefault="00C17D82" w:rsidP="00B41966">
      <w:pPr>
        <w:spacing w:line="259" w:lineRule="auto"/>
        <w:ind w:left="34"/>
        <w:rPr>
          <w:rFonts w:ascii="Arial" w:hAnsi="Arial" w:cs="Arial"/>
          <w:szCs w:val="24"/>
        </w:rPr>
      </w:pPr>
    </w:p>
    <w:p w14:paraId="2E4D306C" w14:textId="77777777" w:rsidR="00C17D82" w:rsidRPr="00C17D82" w:rsidRDefault="00C17D82" w:rsidP="00B41966">
      <w:pPr>
        <w:keepNext/>
        <w:rPr>
          <w:rFonts w:ascii="Arial" w:eastAsia="Calibri" w:hAnsi="Arial" w:cs="Arial"/>
          <w:i/>
          <w:iCs/>
          <w:color w:val="44546A"/>
          <w:szCs w:val="24"/>
        </w:rPr>
      </w:pPr>
      <w:r w:rsidRPr="00C17D82">
        <w:rPr>
          <w:rFonts w:ascii="Arial" w:eastAsia="Calibri" w:hAnsi="Arial" w:cs="Arial"/>
          <w:i/>
          <w:iCs/>
          <w:color w:val="44546A"/>
          <w:szCs w:val="24"/>
        </w:rPr>
        <w:t>Table 7 Current Investments</w:t>
      </w:r>
    </w:p>
    <w:tbl>
      <w:tblPr>
        <w:tblStyle w:val="TableGrid"/>
        <w:tblW w:w="9072" w:type="dxa"/>
        <w:tblInd w:w="44" w:type="dxa"/>
        <w:tblLook w:val="04A0" w:firstRow="1" w:lastRow="0" w:firstColumn="1" w:lastColumn="0" w:noHBand="0" w:noVBand="1"/>
      </w:tblPr>
      <w:tblGrid>
        <w:gridCol w:w="1843"/>
        <w:gridCol w:w="1843"/>
        <w:gridCol w:w="1843"/>
        <w:gridCol w:w="1417"/>
        <w:gridCol w:w="2126"/>
      </w:tblGrid>
      <w:tr w:rsidR="00C17D82" w:rsidRPr="00C17D82" w14:paraId="561EDEE6" w14:textId="77777777" w:rsidTr="00777C40">
        <w:tc>
          <w:tcPr>
            <w:tcW w:w="1843" w:type="dxa"/>
          </w:tcPr>
          <w:p w14:paraId="6247788C"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Start Date</w:t>
            </w:r>
          </w:p>
        </w:tc>
        <w:tc>
          <w:tcPr>
            <w:tcW w:w="1843" w:type="dxa"/>
          </w:tcPr>
          <w:p w14:paraId="6AE8807A"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End Date</w:t>
            </w:r>
          </w:p>
        </w:tc>
        <w:tc>
          <w:tcPr>
            <w:tcW w:w="1843" w:type="dxa"/>
          </w:tcPr>
          <w:p w14:paraId="7495BE8E"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Principal</w:t>
            </w:r>
          </w:p>
        </w:tc>
        <w:tc>
          <w:tcPr>
            <w:tcW w:w="1417" w:type="dxa"/>
          </w:tcPr>
          <w:p w14:paraId="2FBC3FB4"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Rate</w:t>
            </w:r>
          </w:p>
        </w:tc>
        <w:tc>
          <w:tcPr>
            <w:tcW w:w="2126" w:type="dxa"/>
          </w:tcPr>
          <w:p w14:paraId="63E4A871"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Interest 25/26</w:t>
            </w:r>
          </w:p>
        </w:tc>
      </w:tr>
      <w:tr w:rsidR="00C17D82" w:rsidRPr="00C17D82" w14:paraId="3D2B0B65" w14:textId="77777777" w:rsidTr="00777C40">
        <w:tc>
          <w:tcPr>
            <w:tcW w:w="1843" w:type="dxa"/>
          </w:tcPr>
          <w:p w14:paraId="795A1450"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29/08/2024</w:t>
            </w:r>
          </w:p>
        </w:tc>
        <w:tc>
          <w:tcPr>
            <w:tcW w:w="1843" w:type="dxa"/>
          </w:tcPr>
          <w:p w14:paraId="0FCA3D72"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28/08/2025</w:t>
            </w:r>
          </w:p>
        </w:tc>
        <w:tc>
          <w:tcPr>
            <w:tcW w:w="1843" w:type="dxa"/>
          </w:tcPr>
          <w:p w14:paraId="5CA405F8"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£5,000,000</w:t>
            </w:r>
          </w:p>
        </w:tc>
        <w:tc>
          <w:tcPr>
            <w:tcW w:w="1417" w:type="dxa"/>
          </w:tcPr>
          <w:p w14:paraId="1B85E6D8"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4.80%</w:t>
            </w:r>
          </w:p>
        </w:tc>
        <w:tc>
          <w:tcPr>
            <w:tcW w:w="2126" w:type="dxa"/>
          </w:tcPr>
          <w:p w14:paraId="7AF5A795"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£97,973</w:t>
            </w:r>
          </w:p>
        </w:tc>
      </w:tr>
      <w:tr w:rsidR="00C17D82" w:rsidRPr="00C17D82" w14:paraId="5FB0E06A" w14:textId="77777777" w:rsidTr="00777C40">
        <w:tc>
          <w:tcPr>
            <w:tcW w:w="1843" w:type="dxa"/>
          </w:tcPr>
          <w:p w14:paraId="3760FCBB"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02/10/2024</w:t>
            </w:r>
          </w:p>
        </w:tc>
        <w:tc>
          <w:tcPr>
            <w:tcW w:w="1843" w:type="dxa"/>
          </w:tcPr>
          <w:p w14:paraId="1ECC6003"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01/10/2025</w:t>
            </w:r>
          </w:p>
        </w:tc>
        <w:tc>
          <w:tcPr>
            <w:tcW w:w="1843" w:type="dxa"/>
          </w:tcPr>
          <w:p w14:paraId="218C10E8"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£5,000,000</w:t>
            </w:r>
          </w:p>
        </w:tc>
        <w:tc>
          <w:tcPr>
            <w:tcW w:w="1417" w:type="dxa"/>
          </w:tcPr>
          <w:p w14:paraId="15716881"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4.70%</w:t>
            </w:r>
          </w:p>
        </w:tc>
        <w:tc>
          <w:tcPr>
            <w:tcW w:w="2126" w:type="dxa"/>
          </w:tcPr>
          <w:p w14:paraId="3AC2D6A2"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£117,822</w:t>
            </w:r>
          </w:p>
        </w:tc>
      </w:tr>
    </w:tbl>
    <w:p w14:paraId="1F9E1B00" w14:textId="77777777" w:rsidR="00C17D82" w:rsidRPr="00C17D82" w:rsidRDefault="00C17D82" w:rsidP="001366E5">
      <w:pPr>
        <w:spacing w:line="259" w:lineRule="auto"/>
        <w:ind w:left="34"/>
        <w:rPr>
          <w:rFonts w:ascii="Arial" w:hAnsi="Arial" w:cs="Arial"/>
          <w:szCs w:val="24"/>
          <w:highlight w:val="yellow"/>
        </w:rPr>
      </w:pPr>
    </w:p>
    <w:p w14:paraId="0F7E9656"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The Authority has the below future deals which impact 2025/26 which have yet to commence</w:t>
      </w:r>
    </w:p>
    <w:p w14:paraId="065A11BA" w14:textId="77777777" w:rsidR="00C17D82" w:rsidRPr="00C17D82" w:rsidRDefault="00C17D82" w:rsidP="00B41966">
      <w:pPr>
        <w:ind w:right="53"/>
        <w:rPr>
          <w:rFonts w:ascii="Arial" w:hAnsi="Arial" w:cs="Arial"/>
          <w:color w:val="000000" w:themeColor="text1"/>
          <w:szCs w:val="24"/>
        </w:rPr>
      </w:pPr>
    </w:p>
    <w:tbl>
      <w:tblPr>
        <w:tblStyle w:val="TableGrid"/>
        <w:tblW w:w="9072" w:type="dxa"/>
        <w:tblInd w:w="44" w:type="dxa"/>
        <w:tblLook w:val="04A0" w:firstRow="1" w:lastRow="0" w:firstColumn="1" w:lastColumn="0" w:noHBand="0" w:noVBand="1"/>
      </w:tblPr>
      <w:tblGrid>
        <w:gridCol w:w="1843"/>
        <w:gridCol w:w="1843"/>
        <w:gridCol w:w="1843"/>
        <w:gridCol w:w="1417"/>
        <w:gridCol w:w="2126"/>
      </w:tblGrid>
      <w:tr w:rsidR="00C17D82" w:rsidRPr="00C17D82" w14:paraId="23CE880A" w14:textId="77777777" w:rsidTr="00B41966">
        <w:tc>
          <w:tcPr>
            <w:tcW w:w="1843" w:type="dxa"/>
          </w:tcPr>
          <w:p w14:paraId="4866ADB0"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Start Date</w:t>
            </w:r>
          </w:p>
        </w:tc>
        <w:tc>
          <w:tcPr>
            <w:tcW w:w="1843" w:type="dxa"/>
          </w:tcPr>
          <w:p w14:paraId="26221DB8"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End Date</w:t>
            </w:r>
          </w:p>
        </w:tc>
        <w:tc>
          <w:tcPr>
            <w:tcW w:w="1843" w:type="dxa"/>
          </w:tcPr>
          <w:p w14:paraId="05DADB16"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Principal</w:t>
            </w:r>
          </w:p>
        </w:tc>
        <w:tc>
          <w:tcPr>
            <w:tcW w:w="1417" w:type="dxa"/>
          </w:tcPr>
          <w:p w14:paraId="38139A28"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Rate</w:t>
            </w:r>
          </w:p>
        </w:tc>
        <w:tc>
          <w:tcPr>
            <w:tcW w:w="2126" w:type="dxa"/>
          </w:tcPr>
          <w:p w14:paraId="630DCF17"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Interest 25/26</w:t>
            </w:r>
          </w:p>
        </w:tc>
      </w:tr>
      <w:tr w:rsidR="00C17D82" w:rsidRPr="00C17D82" w14:paraId="1AE0A65B" w14:textId="77777777" w:rsidTr="00B41966">
        <w:tc>
          <w:tcPr>
            <w:tcW w:w="1843" w:type="dxa"/>
          </w:tcPr>
          <w:p w14:paraId="4545A393"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03/02/2025</w:t>
            </w:r>
          </w:p>
        </w:tc>
        <w:tc>
          <w:tcPr>
            <w:tcW w:w="1843" w:type="dxa"/>
          </w:tcPr>
          <w:p w14:paraId="1BA1243C"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30/09/2025</w:t>
            </w:r>
          </w:p>
        </w:tc>
        <w:tc>
          <w:tcPr>
            <w:tcW w:w="1843" w:type="dxa"/>
          </w:tcPr>
          <w:p w14:paraId="0FF7BF82"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£5,000,000</w:t>
            </w:r>
          </w:p>
        </w:tc>
        <w:tc>
          <w:tcPr>
            <w:tcW w:w="1417" w:type="dxa"/>
          </w:tcPr>
          <w:p w14:paraId="2E7A8A10"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5.65%</w:t>
            </w:r>
          </w:p>
        </w:tc>
        <w:tc>
          <w:tcPr>
            <w:tcW w:w="2126" w:type="dxa"/>
          </w:tcPr>
          <w:p w14:paraId="2E0F4541"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£140,863</w:t>
            </w:r>
          </w:p>
        </w:tc>
      </w:tr>
      <w:tr w:rsidR="00C17D82" w:rsidRPr="00C17D82" w14:paraId="52A0B740" w14:textId="77777777" w:rsidTr="00B41966">
        <w:tc>
          <w:tcPr>
            <w:tcW w:w="1843" w:type="dxa"/>
          </w:tcPr>
          <w:p w14:paraId="375ABF6F"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19/02/2025</w:t>
            </w:r>
          </w:p>
        </w:tc>
        <w:tc>
          <w:tcPr>
            <w:tcW w:w="1843" w:type="dxa"/>
          </w:tcPr>
          <w:p w14:paraId="2F6EDF04"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18/02/2026</w:t>
            </w:r>
          </w:p>
        </w:tc>
        <w:tc>
          <w:tcPr>
            <w:tcW w:w="1843" w:type="dxa"/>
          </w:tcPr>
          <w:p w14:paraId="4B6E6030"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£5,000,000</w:t>
            </w:r>
          </w:p>
        </w:tc>
        <w:tc>
          <w:tcPr>
            <w:tcW w:w="1417" w:type="dxa"/>
          </w:tcPr>
          <w:p w14:paraId="646CF311"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5.50%</w:t>
            </w:r>
          </w:p>
        </w:tc>
        <w:tc>
          <w:tcPr>
            <w:tcW w:w="2126" w:type="dxa"/>
          </w:tcPr>
          <w:p w14:paraId="42B5C704"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£243,356</w:t>
            </w:r>
          </w:p>
        </w:tc>
      </w:tr>
    </w:tbl>
    <w:p w14:paraId="7AA2E112" w14:textId="77777777" w:rsidR="00C17D82" w:rsidRPr="00C17D82" w:rsidRDefault="00C17D82" w:rsidP="00B41966">
      <w:pPr>
        <w:ind w:right="53"/>
        <w:rPr>
          <w:rFonts w:ascii="Arial" w:hAnsi="Arial" w:cs="Arial"/>
          <w:color w:val="000000" w:themeColor="text1"/>
          <w:szCs w:val="24"/>
        </w:rPr>
      </w:pPr>
    </w:p>
    <w:p w14:paraId="55A1730A" w14:textId="77777777" w:rsidR="00C17D82" w:rsidRPr="00C17D82" w:rsidRDefault="00C17D82" w:rsidP="00B41966">
      <w:pPr>
        <w:ind w:right="53"/>
        <w:rPr>
          <w:rFonts w:ascii="Arial" w:hAnsi="Arial" w:cs="Arial"/>
          <w:color w:val="000000" w:themeColor="text1"/>
          <w:szCs w:val="24"/>
        </w:rPr>
      </w:pPr>
      <w:r w:rsidRPr="00C17D82">
        <w:rPr>
          <w:rFonts w:ascii="Arial" w:hAnsi="Arial" w:cs="Arial"/>
          <w:color w:val="000000" w:themeColor="text1"/>
          <w:szCs w:val="24"/>
        </w:rPr>
        <w:t>Consideration is given fixing further investments if the maturity fits with estimated cash flows and the rate is attractive. This will continue to be reviewed. Suggested rates payable by other local authorities indicated:</w:t>
      </w:r>
    </w:p>
    <w:p w14:paraId="2DC71815" w14:textId="77777777" w:rsidR="00C17D82" w:rsidRPr="00C17D82" w:rsidRDefault="00C17D82" w:rsidP="00B41966">
      <w:pPr>
        <w:ind w:left="29" w:right="53"/>
        <w:rPr>
          <w:rFonts w:ascii="Arial" w:hAnsi="Arial" w:cs="Arial"/>
          <w:color w:val="000000" w:themeColor="text1"/>
          <w:szCs w:val="24"/>
          <w:highlight w:val="yellow"/>
        </w:rPr>
      </w:pPr>
    </w:p>
    <w:p w14:paraId="49F3A21D" w14:textId="77777777" w:rsidR="00C17D82" w:rsidRPr="00C17D82" w:rsidRDefault="00C17D82" w:rsidP="00B41966">
      <w:pPr>
        <w:keepNext/>
        <w:rPr>
          <w:rFonts w:ascii="Arial" w:eastAsia="Calibri" w:hAnsi="Arial" w:cs="Arial"/>
          <w:i/>
          <w:iCs/>
          <w:color w:val="44546A"/>
          <w:szCs w:val="24"/>
        </w:rPr>
      </w:pPr>
      <w:r w:rsidRPr="00C17D82">
        <w:rPr>
          <w:rFonts w:ascii="Arial" w:eastAsia="Calibri" w:hAnsi="Arial" w:cs="Arial"/>
          <w:i/>
          <w:iCs/>
          <w:color w:val="44546A"/>
          <w:szCs w:val="24"/>
        </w:rPr>
        <w:t>Table 8 Indicative Interest Rates on Investments with other Local Authorities</w:t>
      </w:r>
    </w:p>
    <w:tbl>
      <w:tblPr>
        <w:tblStyle w:val="TableGrid"/>
        <w:tblW w:w="0" w:type="auto"/>
        <w:tblInd w:w="29" w:type="dxa"/>
        <w:tblLook w:val="04A0" w:firstRow="1" w:lastRow="0" w:firstColumn="1" w:lastColumn="0" w:noHBand="0" w:noVBand="1"/>
      </w:tblPr>
      <w:tblGrid>
        <w:gridCol w:w="4847"/>
        <w:gridCol w:w="1871"/>
      </w:tblGrid>
      <w:tr w:rsidR="00C17D82" w:rsidRPr="00C17D82" w14:paraId="5B384727" w14:textId="77777777" w:rsidTr="006F6063">
        <w:tc>
          <w:tcPr>
            <w:tcW w:w="4847" w:type="dxa"/>
          </w:tcPr>
          <w:p w14:paraId="229F0D20" w14:textId="77777777" w:rsidR="00C17D82" w:rsidRPr="00C17D82" w:rsidRDefault="00C17D82" w:rsidP="001366E5">
            <w:pPr>
              <w:ind w:right="53"/>
              <w:rPr>
                <w:rFonts w:ascii="Arial" w:hAnsi="Arial" w:cs="Arial"/>
                <w:szCs w:val="24"/>
              </w:rPr>
            </w:pPr>
            <w:r w:rsidRPr="00C17D82">
              <w:rPr>
                <w:rFonts w:ascii="Arial" w:hAnsi="Arial" w:cs="Arial"/>
                <w:szCs w:val="24"/>
              </w:rPr>
              <w:t>Investment length</w:t>
            </w:r>
          </w:p>
        </w:tc>
        <w:tc>
          <w:tcPr>
            <w:tcW w:w="1871" w:type="dxa"/>
          </w:tcPr>
          <w:p w14:paraId="4AC74F41" w14:textId="77777777" w:rsidR="00C17D82" w:rsidRPr="00C17D82" w:rsidRDefault="00C17D82" w:rsidP="001366E5">
            <w:pPr>
              <w:ind w:right="53"/>
              <w:jc w:val="center"/>
              <w:rPr>
                <w:rFonts w:ascii="Arial" w:hAnsi="Arial" w:cs="Arial"/>
                <w:szCs w:val="24"/>
              </w:rPr>
            </w:pPr>
            <w:r w:rsidRPr="00C17D82">
              <w:rPr>
                <w:rFonts w:ascii="Arial" w:hAnsi="Arial" w:cs="Arial"/>
                <w:szCs w:val="24"/>
              </w:rPr>
              <w:t>Interest Rates</w:t>
            </w:r>
          </w:p>
        </w:tc>
      </w:tr>
      <w:tr w:rsidR="00C17D82" w:rsidRPr="00C17D82" w14:paraId="54EF86F1" w14:textId="77777777" w:rsidTr="006F6063">
        <w:tc>
          <w:tcPr>
            <w:tcW w:w="4847" w:type="dxa"/>
          </w:tcPr>
          <w:p w14:paraId="190E9B81" w14:textId="77777777" w:rsidR="00C17D82" w:rsidRPr="00C17D82" w:rsidRDefault="00C17D82" w:rsidP="00B41966">
            <w:pPr>
              <w:ind w:right="53"/>
              <w:rPr>
                <w:rFonts w:ascii="Arial" w:hAnsi="Arial" w:cs="Arial"/>
                <w:szCs w:val="24"/>
              </w:rPr>
            </w:pPr>
            <w:r w:rsidRPr="00C17D82">
              <w:rPr>
                <w:rFonts w:ascii="Arial" w:hAnsi="Arial" w:cs="Arial"/>
                <w:szCs w:val="24"/>
              </w:rPr>
              <w:t>3-month investment</w:t>
            </w:r>
          </w:p>
        </w:tc>
        <w:tc>
          <w:tcPr>
            <w:tcW w:w="1871" w:type="dxa"/>
          </w:tcPr>
          <w:p w14:paraId="607072C3" w14:textId="77777777" w:rsidR="00C17D82" w:rsidRPr="00C17D82" w:rsidRDefault="00C17D82" w:rsidP="00B41966">
            <w:pPr>
              <w:ind w:right="53"/>
              <w:jc w:val="center"/>
              <w:rPr>
                <w:rFonts w:ascii="Arial" w:hAnsi="Arial" w:cs="Arial"/>
                <w:szCs w:val="24"/>
              </w:rPr>
            </w:pPr>
            <w:r w:rsidRPr="00C17D82">
              <w:rPr>
                <w:rFonts w:ascii="Arial" w:hAnsi="Arial" w:cs="Arial"/>
                <w:szCs w:val="24"/>
              </w:rPr>
              <w:t>5.55 – 5.75%</w:t>
            </w:r>
          </w:p>
        </w:tc>
      </w:tr>
      <w:tr w:rsidR="00C17D82" w:rsidRPr="00C17D82" w14:paraId="478386C7" w14:textId="77777777" w:rsidTr="006F6063">
        <w:tc>
          <w:tcPr>
            <w:tcW w:w="4847" w:type="dxa"/>
          </w:tcPr>
          <w:p w14:paraId="0418BF2B" w14:textId="77777777" w:rsidR="00C17D82" w:rsidRPr="00C17D82" w:rsidRDefault="00C17D82" w:rsidP="00B41966">
            <w:pPr>
              <w:ind w:right="53"/>
              <w:rPr>
                <w:rFonts w:ascii="Arial" w:hAnsi="Arial" w:cs="Arial"/>
                <w:szCs w:val="24"/>
              </w:rPr>
            </w:pPr>
            <w:r w:rsidRPr="00C17D82">
              <w:rPr>
                <w:rFonts w:ascii="Arial" w:hAnsi="Arial" w:cs="Arial"/>
                <w:szCs w:val="24"/>
              </w:rPr>
              <w:t>6-month investment</w:t>
            </w:r>
          </w:p>
        </w:tc>
        <w:tc>
          <w:tcPr>
            <w:tcW w:w="1871" w:type="dxa"/>
          </w:tcPr>
          <w:p w14:paraId="446A9283" w14:textId="77777777" w:rsidR="00C17D82" w:rsidRPr="00C17D82" w:rsidRDefault="00C17D82" w:rsidP="00B41966">
            <w:pPr>
              <w:ind w:right="53"/>
              <w:jc w:val="center"/>
              <w:rPr>
                <w:rFonts w:ascii="Arial" w:hAnsi="Arial" w:cs="Arial"/>
                <w:szCs w:val="24"/>
              </w:rPr>
            </w:pPr>
            <w:r w:rsidRPr="00C17D82">
              <w:rPr>
                <w:rFonts w:ascii="Arial" w:hAnsi="Arial" w:cs="Arial"/>
                <w:szCs w:val="24"/>
              </w:rPr>
              <w:t>5.50 – 5.70%</w:t>
            </w:r>
          </w:p>
        </w:tc>
      </w:tr>
      <w:tr w:rsidR="00C17D82" w:rsidRPr="00C17D82" w14:paraId="59046A66" w14:textId="77777777" w:rsidTr="006F6063">
        <w:tc>
          <w:tcPr>
            <w:tcW w:w="4847" w:type="dxa"/>
          </w:tcPr>
          <w:p w14:paraId="1BD65C4F" w14:textId="77777777" w:rsidR="00C17D82" w:rsidRPr="00C17D82" w:rsidRDefault="00C17D82" w:rsidP="00B41966">
            <w:pPr>
              <w:ind w:right="53"/>
              <w:rPr>
                <w:rFonts w:ascii="Arial" w:hAnsi="Arial" w:cs="Arial"/>
                <w:szCs w:val="24"/>
              </w:rPr>
            </w:pPr>
            <w:r w:rsidRPr="00C17D82">
              <w:rPr>
                <w:rFonts w:ascii="Arial" w:hAnsi="Arial" w:cs="Arial"/>
                <w:szCs w:val="24"/>
              </w:rPr>
              <w:t>12-month investment</w:t>
            </w:r>
          </w:p>
        </w:tc>
        <w:tc>
          <w:tcPr>
            <w:tcW w:w="1871" w:type="dxa"/>
          </w:tcPr>
          <w:p w14:paraId="099FF847" w14:textId="77777777" w:rsidR="00C17D82" w:rsidRPr="00C17D82" w:rsidRDefault="00C17D82" w:rsidP="00B41966">
            <w:pPr>
              <w:ind w:right="53"/>
              <w:jc w:val="center"/>
              <w:rPr>
                <w:rFonts w:ascii="Arial" w:hAnsi="Arial" w:cs="Arial"/>
                <w:szCs w:val="24"/>
              </w:rPr>
            </w:pPr>
            <w:r w:rsidRPr="00C17D82">
              <w:rPr>
                <w:rFonts w:ascii="Arial" w:hAnsi="Arial" w:cs="Arial"/>
                <w:szCs w:val="24"/>
              </w:rPr>
              <w:t>5.30 – 5.60%</w:t>
            </w:r>
          </w:p>
        </w:tc>
      </w:tr>
      <w:tr w:rsidR="00C17D82" w:rsidRPr="00C17D82" w14:paraId="25AFF2C5" w14:textId="77777777" w:rsidTr="006F6063">
        <w:tc>
          <w:tcPr>
            <w:tcW w:w="4847" w:type="dxa"/>
          </w:tcPr>
          <w:p w14:paraId="1972A426" w14:textId="77777777" w:rsidR="00C17D82" w:rsidRPr="00C17D82" w:rsidRDefault="00C17D82" w:rsidP="00B41966">
            <w:pPr>
              <w:ind w:right="53"/>
              <w:rPr>
                <w:rFonts w:ascii="Arial" w:hAnsi="Arial" w:cs="Arial"/>
                <w:szCs w:val="24"/>
              </w:rPr>
            </w:pPr>
            <w:r w:rsidRPr="00C17D82">
              <w:rPr>
                <w:rFonts w:ascii="Arial" w:hAnsi="Arial" w:cs="Arial"/>
                <w:szCs w:val="24"/>
              </w:rPr>
              <w:t>3-year investment</w:t>
            </w:r>
          </w:p>
        </w:tc>
        <w:tc>
          <w:tcPr>
            <w:tcW w:w="1871" w:type="dxa"/>
          </w:tcPr>
          <w:p w14:paraId="5E0FF828" w14:textId="77777777" w:rsidR="00C17D82" w:rsidRPr="00C17D82" w:rsidRDefault="00C17D82" w:rsidP="00B41966">
            <w:pPr>
              <w:ind w:right="53"/>
              <w:jc w:val="center"/>
              <w:rPr>
                <w:rFonts w:ascii="Arial" w:hAnsi="Arial" w:cs="Arial"/>
                <w:szCs w:val="24"/>
              </w:rPr>
            </w:pPr>
            <w:r w:rsidRPr="00C17D82">
              <w:rPr>
                <w:rFonts w:ascii="Arial" w:hAnsi="Arial" w:cs="Arial"/>
                <w:szCs w:val="24"/>
              </w:rPr>
              <w:t>4.80 - 5.00%</w:t>
            </w:r>
          </w:p>
        </w:tc>
      </w:tr>
      <w:tr w:rsidR="00C17D82" w:rsidRPr="00C17D82" w14:paraId="023E2BF3" w14:textId="77777777" w:rsidTr="006F6063">
        <w:tc>
          <w:tcPr>
            <w:tcW w:w="4847" w:type="dxa"/>
          </w:tcPr>
          <w:p w14:paraId="6A013A0B" w14:textId="77777777" w:rsidR="00C17D82" w:rsidRPr="00C17D82" w:rsidRDefault="00C17D82" w:rsidP="00B41966">
            <w:pPr>
              <w:ind w:right="53"/>
              <w:rPr>
                <w:rFonts w:ascii="Arial" w:hAnsi="Arial" w:cs="Arial"/>
                <w:szCs w:val="24"/>
              </w:rPr>
            </w:pPr>
            <w:r w:rsidRPr="00C17D82">
              <w:rPr>
                <w:rFonts w:ascii="Arial" w:hAnsi="Arial" w:cs="Arial"/>
                <w:szCs w:val="24"/>
              </w:rPr>
              <w:t>4-year investment</w:t>
            </w:r>
          </w:p>
        </w:tc>
        <w:tc>
          <w:tcPr>
            <w:tcW w:w="1871" w:type="dxa"/>
          </w:tcPr>
          <w:p w14:paraId="4C1CA6F7" w14:textId="77777777" w:rsidR="00C17D82" w:rsidRPr="00C17D82" w:rsidRDefault="00C17D82" w:rsidP="00B41966">
            <w:pPr>
              <w:ind w:right="53"/>
              <w:jc w:val="center"/>
              <w:rPr>
                <w:rFonts w:ascii="Arial" w:hAnsi="Arial" w:cs="Arial"/>
                <w:szCs w:val="24"/>
              </w:rPr>
            </w:pPr>
            <w:r w:rsidRPr="00C17D82">
              <w:rPr>
                <w:rFonts w:ascii="Arial" w:hAnsi="Arial" w:cs="Arial"/>
                <w:szCs w:val="24"/>
              </w:rPr>
              <w:t>4.70 - 4.90%</w:t>
            </w:r>
          </w:p>
        </w:tc>
      </w:tr>
    </w:tbl>
    <w:p w14:paraId="2628B111" w14:textId="77777777" w:rsidR="00C17D82" w:rsidRPr="00C17D82" w:rsidRDefault="00C17D82" w:rsidP="00B41966">
      <w:pPr>
        <w:ind w:left="29" w:right="53"/>
        <w:rPr>
          <w:rFonts w:ascii="Arial" w:hAnsi="Arial" w:cs="Arial"/>
          <w:szCs w:val="24"/>
          <w:highlight w:val="yellow"/>
        </w:rPr>
      </w:pPr>
    </w:p>
    <w:p w14:paraId="021D9DF7" w14:textId="77777777" w:rsidR="00C17D82" w:rsidRPr="00C17D82" w:rsidRDefault="00C17D82" w:rsidP="00B41966">
      <w:pPr>
        <w:ind w:left="29" w:right="53"/>
        <w:rPr>
          <w:rFonts w:ascii="Arial" w:hAnsi="Arial" w:cs="Arial"/>
          <w:szCs w:val="24"/>
        </w:rPr>
      </w:pPr>
      <w:bookmarkStart w:id="7" w:name="_Hlk126909566"/>
      <w:r w:rsidRPr="00C17D82">
        <w:rPr>
          <w:rFonts w:ascii="Arial" w:hAnsi="Arial" w:cs="Arial"/>
          <w:szCs w:val="24"/>
        </w:rPr>
        <w:t xml:space="preserve">The overall combined amount of interest earned on fixed/call account balances as </w:t>
      </w:r>
      <w:proofErr w:type="gramStart"/>
      <w:r w:rsidRPr="00C17D82">
        <w:rPr>
          <w:rFonts w:ascii="Arial" w:hAnsi="Arial" w:cs="Arial"/>
          <w:szCs w:val="24"/>
        </w:rPr>
        <w:t>at</w:t>
      </w:r>
      <w:proofErr w:type="gramEnd"/>
      <w:r w:rsidRPr="00C17D82">
        <w:rPr>
          <w:rFonts w:ascii="Arial" w:hAnsi="Arial" w:cs="Arial"/>
          <w:szCs w:val="24"/>
        </w:rPr>
        <w:t xml:space="preserve"> 31st December 2024 is £1.712m on an average balance of £43.932m at an annualised rate of 5.17%. This is more than the benchmark 7-day SONIA rate which averages a yield of 5.01 over the same period.</w:t>
      </w:r>
    </w:p>
    <w:bookmarkEnd w:id="7"/>
    <w:p w14:paraId="4541CD78" w14:textId="77777777" w:rsidR="00C17D82" w:rsidRPr="00C17D82" w:rsidRDefault="00C17D82" w:rsidP="00B41966">
      <w:pPr>
        <w:ind w:left="29" w:right="53"/>
        <w:rPr>
          <w:rFonts w:ascii="Arial" w:hAnsi="Arial" w:cs="Arial"/>
          <w:szCs w:val="24"/>
          <w:highlight w:val="yellow"/>
        </w:rPr>
      </w:pPr>
    </w:p>
    <w:p w14:paraId="08744C0B"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In addition to the above the authority uses NatWest for its operational banking. Balances retained in NatWest are very low, usually less than £5,000. However, if required monies are retained at NatWest this would be in addition to the limits set out above. </w:t>
      </w:r>
    </w:p>
    <w:p w14:paraId="7095E523" w14:textId="77777777" w:rsidR="00C17D82" w:rsidRPr="00C17D82" w:rsidRDefault="00C17D82" w:rsidP="00B41966">
      <w:pPr>
        <w:spacing w:line="259" w:lineRule="auto"/>
        <w:ind w:left="34"/>
        <w:rPr>
          <w:rFonts w:ascii="Arial" w:hAnsi="Arial" w:cs="Arial"/>
          <w:szCs w:val="24"/>
          <w:highlight w:val="yellow"/>
        </w:rPr>
      </w:pPr>
    </w:p>
    <w:p w14:paraId="418450D2" w14:textId="77777777" w:rsidR="00C17D82" w:rsidRPr="00C17D82" w:rsidRDefault="00C17D82" w:rsidP="00B41966">
      <w:pPr>
        <w:spacing w:line="259" w:lineRule="auto"/>
        <w:ind w:left="34"/>
        <w:rPr>
          <w:rFonts w:ascii="Arial" w:hAnsi="Arial" w:cs="Arial"/>
          <w:szCs w:val="24"/>
        </w:rPr>
      </w:pPr>
      <w:r w:rsidRPr="00C17D82">
        <w:rPr>
          <w:rFonts w:ascii="Arial" w:hAnsi="Arial" w:cs="Arial"/>
          <w:b/>
          <w:szCs w:val="24"/>
        </w:rPr>
        <w:t xml:space="preserve">Minimum Revenue Provision (MRP) </w:t>
      </w:r>
    </w:p>
    <w:p w14:paraId="0C1D71B7" w14:textId="77777777" w:rsidR="00C17D82" w:rsidRPr="00C17D82" w:rsidRDefault="00C17D82" w:rsidP="00B41966">
      <w:pPr>
        <w:spacing w:line="259" w:lineRule="auto"/>
        <w:ind w:left="34"/>
        <w:rPr>
          <w:rFonts w:ascii="Arial" w:hAnsi="Arial" w:cs="Arial"/>
          <w:szCs w:val="24"/>
        </w:rPr>
      </w:pPr>
    </w:p>
    <w:p w14:paraId="60A042C2"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Under Local Authority Accounting arrangements, the Authority is required to set aside a sum of money each year to reduce the overall level of debt. This sum is known as the minimum revenue provision (MRP). </w:t>
      </w:r>
    </w:p>
    <w:p w14:paraId="7F2DFF0A" w14:textId="77777777" w:rsidR="00C17D82" w:rsidRPr="00C17D82" w:rsidRDefault="00C17D82" w:rsidP="00B41966">
      <w:pPr>
        <w:spacing w:line="259" w:lineRule="auto"/>
        <w:ind w:left="34"/>
        <w:rPr>
          <w:rFonts w:ascii="Arial" w:hAnsi="Arial" w:cs="Arial"/>
          <w:szCs w:val="24"/>
        </w:rPr>
      </w:pPr>
    </w:p>
    <w:p w14:paraId="229E186C"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Authority will assess their MRP for 2025/26 in accordance with guidance issued by the Secretary of State under section 21(1A) of the Local Government Act 2003. </w:t>
      </w:r>
      <w:r w:rsidRPr="00C17D82">
        <w:rPr>
          <w:rFonts w:ascii="Arial" w:hAnsi="Arial" w:cs="Arial"/>
          <w:i/>
          <w:szCs w:val="24"/>
        </w:rPr>
        <w:t xml:space="preserve"> </w:t>
      </w:r>
    </w:p>
    <w:p w14:paraId="261BAF64" w14:textId="77777777" w:rsidR="00C17D82" w:rsidRPr="00C17D82" w:rsidRDefault="00C17D82" w:rsidP="001366E5">
      <w:pPr>
        <w:spacing w:line="259" w:lineRule="auto"/>
        <w:ind w:left="34"/>
        <w:rPr>
          <w:rFonts w:ascii="Arial" w:hAnsi="Arial" w:cs="Arial"/>
          <w:szCs w:val="24"/>
        </w:rPr>
      </w:pPr>
    </w:p>
    <w:p w14:paraId="0F246619"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The Authority made a voluntary MRP in 2019/20 and it is anticipated that the MRP on loans will be nil in 2025/26, this will be the case until capital expenditure is financed by borrowing.</w:t>
      </w:r>
    </w:p>
    <w:p w14:paraId="026D8D99" w14:textId="77777777" w:rsidR="00C17D82" w:rsidRPr="00C17D82" w:rsidRDefault="00C17D82" w:rsidP="00B41966">
      <w:pPr>
        <w:spacing w:line="259" w:lineRule="auto"/>
        <w:rPr>
          <w:rFonts w:ascii="Arial" w:hAnsi="Arial" w:cs="Arial"/>
          <w:szCs w:val="24"/>
        </w:rPr>
      </w:pPr>
    </w:p>
    <w:p w14:paraId="3FDDE91E"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 xml:space="preserve">Whilst the Authority has no unsupported borrowing, nor has any plans to take out </w:t>
      </w:r>
      <w:commentRangeStart w:id="8"/>
      <w:commentRangeStart w:id="9"/>
      <w:r w:rsidRPr="00C17D82">
        <w:rPr>
          <w:rFonts w:ascii="Arial" w:hAnsi="Arial" w:cs="Arial"/>
          <w:szCs w:val="24"/>
        </w:rPr>
        <w:t>any</w:t>
      </w:r>
      <w:commentRangeEnd w:id="8"/>
      <w:r w:rsidRPr="00C17D82">
        <w:rPr>
          <w:rStyle w:val="CommentReference"/>
          <w:rFonts w:ascii="Arial" w:hAnsi="Arial" w:cs="Arial"/>
          <w:sz w:val="24"/>
          <w:szCs w:val="24"/>
        </w:rPr>
        <w:commentReference w:id="8"/>
      </w:r>
      <w:commentRangeEnd w:id="9"/>
      <w:r w:rsidRPr="00C17D82">
        <w:rPr>
          <w:rStyle w:val="CommentReference"/>
          <w:rFonts w:ascii="Arial" w:hAnsi="Arial" w:cs="Arial"/>
          <w:sz w:val="24"/>
          <w:szCs w:val="24"/>
        </w:rPr>
        <w:commentReference w:id="9"/>
      </w:r>
      <w:r w:rsidRPr="00C17D82">
        <w:rPr>
          <w:rFonts w:ascii="Arial" w:hAnsi="Arial" w:cs="Arial"/>
          <w:szCs w:val="24"/>
        </w:rPr>
        <w:t xml:space="preserve"> unsupported borrowing in 2025/26 it is prudent to approve a policy relating to the MRP that would apply if circumstances change. As such in accordance with guidelines, the MRP on any future unsupported borrowing will be calculated using the Asset Life Method. This will be based on a straightforward </w:t>
      </w:r>
      <w:proofErr w:type="gramStart"/>
      <w:r w:rsidRPr="00C17D82">
        <w:rPr>
          <w:rFonts w:ascii="Arial" w:hAnsi="Arial" w:cs="Arial"/>
          <w:szCs w:val="24"/>
        </w:rPr>
        <w:t>straight line</w:t>
      </w:r>
      <w:proofErr w:type="gramEnd"/>
      <w:r w:rsidRPr="00C17D82">
        <w:rPr>
          <w:rFonts w:ascii="Arial" w:hAnsi="Arial" w:cs="Arial"/>
          <w:szCs w:val="24"/>
        </w:rPr>
        <w:t xml:space="preserve"> calculation to set an equal charge to revenue over the estimated life of the asset. Estimated life periods will be determined under delegated powers. To the extent that expenditure is not on the creation of an asset and is of a type that is subject to estimated life periods that are referred to in the guidance, these periods will generally be adopted by the Authority.  However, the Authority reserves the right to determine useful life periods and prudent MRP in exceptional circumstances where the recommendations of the guidance would not be appropriate.  </w:t>
      </w:r>
    </w:p>
    <w:p w14:paraId="3F450921" w14:textId="77777777" w:rsidR="00C17D82" w:rsidRPr="00C17D82" w:rsidRDefault="00C17D82" w:rsidP="00B41966">
      <w:pPr>
        <w:spacing w:line="259" w:lineRule="auto"/>
        <w:ind w:left="34"/>
        <w:rPr>
          <w:rFonts w:ascii="Arial" w:hAnsi="Arial" w:cs="Arial"/>
          <w:szCs w:val="24"/>
        </w:rPr>
      </w:pPr>
    </w:p>
    <w:p w14:paraId="567C10AD"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As some types of capital expenditure incurred by the Authority are not capable of being related to an individual asset, asset lives will be assessed on a basis which most reasonably reflects the anticipated period of benefit that arises from the expenditure.  Also, whatever type of expenditure is involved, it will be grouped together in a manner which reflects the nature of the main component of expenditure and will only be divided up in cases where there are two or more major components with substantially different useful economic lives. </w:t>
      </w:r>
    </w:p>
    <w:p w14:paraId="7098A6F2" w14:textId="77777777" w:rsidR="00C17D82" w:rsidRPr="00C17D82" w:rsidRDefault="00C17D82" w:rsidP="00B41966">
      <w:pPr>
        <w:spacing w:line="259" w:lineRule="auto"/>
        <w:ind w:left="34"/>
        <w:rPr>
          <w:rFonts w:ascii="Arial" w:hAnsi="Arial" w:cs="Arial"/>
          <w:szCs w:val="24"/>
        </w:rPr>
      </w:pPr>
    </w:p>
    <w:p w14:paraId="2B49738C"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Assets held under a PFI contracts and finance leases form part of the Balance Sheet. This has increased the overall capital financing requirement and results in an MRP charge being required. The government guidance permits a prudent MRP to equate to the amount charged to revenue under the contract to repay the liability. In terms of the PFI schemes this charge forms part of the payment due to the PFI contractor.</w:t>
      </w:r>
    </w:p>
    <w:p w14:paraId="3BE28F69" w14:textId="77777777" w:rsidR="00C17D82" w:rsidRPr="00C17D82" w:rsidRDefault="00C17D82" w:rsidP="00B41966">
      <w:pPr>
        <w:spacing w:line="259" w:lineRule="auto"/>
        <w:ind w:left="34"/>
        <w:rPr>
          <w:rFonts w:ascii="Arial" w:hAnsi="Arial" w:cs="Arial"/>
          <w:szCs w:val="24"/>
          <w:highlight w:val="yellow"/>
        </w:rPr>
      </w:pPr>
    </w:p>
    <w:p w14:paraId="7DA488E8" w14:textId="77777777" w:rsidR="00C17D82" w:rsidRPr="00C17D82" w:rsidRDefault="00C17D82" w:rsidP="00B41966">
      <w:pPr>
        <w:spacing w:line="259" w:lineRule="auto"/>
        <w:ind w:left="34"/>
        <w:rPr>
          <w:rFonts w:ascii="Arial" w:hAnsi="Arial" w:cs="Arial"/>
          <w:b/>
          <w:bCs/>
          <w:szCs w:val="24"/>
        </w:rPr>
      </w:pPr>
      <w:r w:rsidRPr="00C17D82">
        <w:rPr>
          <w:rFonts w:ascii="Arial" w:hAnsi="Arial" w:cs="Arial"/>
          <w:b/>
          <w:bCs/>
          <w:szCs w:val="24"/>
        </w:rPr>
        <w:t>Revenue Budget</w:t>
      </w:r>
    </w:p>
    <w:p w14:paraId="2C251D59" w14:textId="77777777" w:rsidR="00C17D82" w:rsidRPr="00C17D82" w:rsidRDefault="00C17D82" w:rsidP="00B41966">
      <w:pPr>
        <w:spacing w:line="259" w:lineRule="auto"/>
        <w:ind w:left="34"/>
        <w:rPr>
          <w:rFonts w:ascii="Arial" w:hAnsi="Arial" w:cs="Arial"/>
          <w:szCs w:val="24"/>
        </w:rPr>
      </w:pPr>
    </w:p>
    <w:p w14:paraId="26E3BCEB"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 xml:space="preserve">The capital financing budget currently shows that income received exceeds expenditure. This excludes the PFI and Finance lease payments, which are included </w:t>
      </w:r>
      <w:r w:rsidRPr="00C17D82">
        <w:rPr>
          <w:rFonts w:ascii="Arial" w:hAnsi="Arial" w:cs="Arial"/>
          <w:szCs w:val="24"/>
        </w:rPr>
        <w:lastRenderedPageBreak/>
        <w:t xml:space="preserve">in other budgets. Based on the Strategy outlined above then the proposed budget for capital financing </w:t>
      </w:r>
      <w:proofErr w:type="gramStart"/>
      <w:r w:rsidRPr="00C17D82">
        <w:rPr>
          <w:rFonts w:ascii="Arial" w:hAnsi="Arial" w:cs="Arial"/>
          <w:szCs w:val="24"/>
        </w:rPr>
        <w:t>are</w:t>
      </w:r>
      <w:proofErr w:type="gramEnd"/>
      <w:r w:rsidRPr="00C17D82">
        <w:rPr>
          <w:rFonts w:ascii="Arial" w:hAnsi="Arial" w:cs="Arial"/>
          <w:szCs w:val="24"/>
        </w:rPr>
        <w:t>:</w:t>
      </w:r>
    </w:p>
    <w:p w14:paraId="09D35832" w14:textId="77777777" w:rsidR="00C17D82" w:rsidRPr="00C17D82" w:rsidRDefault="00C17D82" w:rsidP="00B41966">
      <w:pPr>
        <w:spacing w:line="259" w:lineRule="auto"/>
        <w:ind w:left="34"/>
        <w:rPr>
          <w:rFonts w:ascii="Arial" w:hAnsi="Arial" w:cs="Arial"/>
          <w:szCs w:val="24"/>
        </w:rPr>
      </w:pPr>
    </w:p>
    <w:p w14:paraId="0BEB1AF5" w14:textId="77777777" w:rsidR="00C17D82" w:rsidRPr="00C17D82" w:rsidRDefault="00C17D82" w:rsidP="00B41966">
      <w:pPr>
        <w:keepNext/>
        <w:rPr>
          <w:rFonts w:ascii="Arial" w:eastAsia="Calibri" w:hAnsi="Arial" w:cs="Arial"/>
          <w:i/>
          <w:iCs/>
          <w:color w:val="44546A"/>
          <w:szCs w:val="24"/>
        </w:rPr>
      </w:pPr>
      <w:bookmarkStart w:id="10" w:name="_Hlk153870171"/>
      <w:r w:rsidRPr="00C17D82">
        <w:rPr>
          <w:rFonts w:ascii="Arial" w:eastAsia="Calibri" w:hAnsi="Arial" w:cs="Arial"/>
          <w:i/>
          <w:iCs/>
          <w:color w:val="44546A"/>
          <w:szCs w:val="24"/>
        </w:rPr>
        <w:t>Table 9 Capital Financing Charges Included in Revenue Budget</w:t>
      </w:r>
    </w:p>
    <w:tbl>
      <w:tblPr>
        <w:tblStyle w:val="TableGrid"/>
        <w:tblW w:w="0" w:type="auto"/>
        <w:tblInd w:w="34" w:type="dxa"/>
        <w:tblLayout w:type="fixed"/>
        <w:tblLook w:val="04A0" w:firstRow="1" w:lastRow="0" w:firstColumn="1" w:lastColumn="0" w:noHBand="0" w:noVBand="1"/>
      </w:tblPr>
      <w:tblGrid>
        <w:gridCol w:w="2088"/>
        <w:gridCol w:w="1559"/>
        <w:gridCol w:w="1559"/>
        <w:gridCol w:w="1560"/>
        <w:gridCol w:w="1560"/>
      </w:tblGrid>
      <w:tr w:rsidR="00C17D82" w:rsidRPr="00C17D82" w14:paraId="6AADE5E5" w14:textId="77777777" w:rsidTr="7AE8B05E">
        <w:tc>
          <w:tcPr>
            <w:tcW w:w="2088" w:type="dxa"/>
          </w:tcPr>
          <w:p w14:paraId="5575E399" w14:textId="77777777" w:rsidR="00C17D82" w:rsidRPr="00C17D82" w:rsidRDefault="00C17D82" w:rsidP="001366E5">
            <w:pPr>
              <w:spacing w:line="259" w:lineRule="auto"/>
              <w:rPr>
                <w:rFonts w:ascii="Arial" w:hAnsi="Arial" w:cs="Arial"/>
                <w:szCs w:val="24"/>
              </w:rPr>
            </w:pPr>
          </w:p>
        </w:tc>
        <w:tc>
          <w:tcPr>
            <w:tcW w:w="1559" w:type="dxa"/>
          </w:tcPr>
          <w:p w14:paraId="26A94012"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2024/25</w:t>
            </w:r>
          </w:p>
          <w:p w14:paraId="460BC410"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£m</w:t>
            </w:r>
          </w:p>
        </w:tc>
        <w:tc>
          <w:tcPr>
            <w:tcW w:w="1559" w:type="dxa"/>
          </w:tcPr>
          <w:p w14:paraId="4C6D6544"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2025/26</w:t>
            </w:r>
          </w:p>
          <w:p w14:paraId="1BD2B82C"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£m</w:t>
            </w:r>
          </w:p>
        </w:tc>
        <w:tc>
          <w:tcPr>
            <w:tcW w:w="1560" w:type="dxa"/>
          </w:tcPr>
          <w:p w14:paraId="7DF03AFC"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2026/27</w:t>
            </w:r>
          </w:p>
          <w:p w14:paraId="0413CEEF"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£m</w:t>
            </w:r>
          </w:p>
        </w:tc>
        <w:tc>
          <w:tcPr>
            <w:tcW w:w="1560" w:type="dxa"/>
          </w:tcPr>
          <w:p w14:paraId="06F66432"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2027/28</w:t>
            </w:r>
          </w:p>
          <w:p w14:paraId="356E7C93"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£m</w:t>
            </w:r>
          </w:p>
        </w:tc>
      </w:tr>
      <w:tr w:rsidR="00C17D82" w:rsidRPr="00C17D82" w14:paraId="7493901D" w14:textId="77777777" w:rsidTr="7AE8B05E">
        <w:tc>
          <w:tcPr>
            <w:tcW w:w="2088" w:type="dxa"/>
          </w:tcPr>
          <w:p w14:paraId="2C5981DF"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Interest payable</w:t>
            </w:r>
          </w:p>
        </w:tc>
        <w:tc>
          <w:tcPr>
            <w:tcW w:w="1559" w:type="dxa"/>
          </w:tcPr>
          <w:p w14:paraId="00D80F46"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0.090</w:t>
            </w:r>
          </w:p>
        </w:tc>
        <w:tc>
          <w:tcPr>
            <w:tcW w:w="1559" w:type="dxa"/>
          </w:tcPr>
          <w:p w14:paraId="7BCE99F0"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0.090</w:t>
            </w:r>
          </w:p>
        </w:tc>
        <w:tc>
          <w:tcPr>
            <w:tcW w:w="1560" w:type="dxa"/>
          </w:tcPr>
          <w:p w14:paraId="3FF47E28"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0.204</w:t>
            </w:r>
          </w:p>
        </w:tc>
        <w:tc>
          <w:tcPr>
            <w:tcW w:w="1560" w:type="dxa"/>
          </w:tcPr>
          <w:p w14:paraId="21988E30"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1.600</w:t>
            </w:r>
          </w:p>
        </w:tc>
      </w:tr>
      <w:tr w:rsidR="00C17D82" w:rsidRPr="00C17D82" w14:paraId="4C3B6C2D" w14:textId="77777777" w:rsidTr="7AE8B05E">
        <w:tc>
          <w:tcPr>
            <w:tcW w:w="2088" w:type="dxa"/>
          </w:tcPr>
          <w:p w14:paraId="5C0CB014"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MRP</w:t>
            </w:r>
          </w:p>
        </w:tc>
        <w:tc>
          <w:tcPr>
            <w:tcW w:w="1559" w:type="dxa"/>
          </w:tcPr>
          <w:p w14:paraId="6DCBDFBB"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0.000</w:t>
            </w:r>
          </w:p>
        </w:tc>
        <w:tc>
          <w:tcPr>
            <w:tcW w:w="1559" w:type="dxa"/>
          </w:tcPr>
          <w:p w14:paraId="4152FB6D"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0.000</w:t>
            </w:r>
          </w:p>
        </w:tc>
        <w:tc>
          <w:tcPr>
            <w:tcW w:w="1560" w:type="dxa"/>
          </w:tcPr>
          <w:p w14:paraId="27844D0E"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0.000</w:t>
            </w:r>
          </w:p>
        </w:tc>
        <w:tc>
          <w:tcPr>
            <w:tcW w:w="1560" w:type="dxa"/>
          </w:tcPr>
          <w:p w14:paraId="198CDE5E"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0.084</w:t>
            </w:r>
          </w:p>
        </w:tc>
      </w:tr>
      <w:tr w:rsidR="00C17D82" w:rsidRPr="00C17D82" w14:paraId="48B867C4" w14:textId="77777777" w:rsidTr="7AE8B05E">
        <w:tc>
          <w:tcPr>
            <w:tcW w:w="2088" w:type="dxa"/>
          </w:tcPr>
          <w:p w14:paraId="1EB1E4C0"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Interest receivable</w:t>
            </w:r>
          </w:p>
        </w:tc>
        <w:tc>
          <w:tcPr>
            <w:tcW w:w="1559" w:type="dxa"/>
          </w:tcPr>
          <w:p w14:paraId="29A14A88"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(1.050)</w:t>
            </w:r>
          </w:p>
        </w:tc>
        <w:tc>
          <w:tcPr>
            <w:tcW w:w="1559" w:type="dxa"/>
          </w:tcPr>
          <w:p w14:paraId="2BB50066"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(1.385)</w:t>
            </w:r>
          </w:p>
        </w:tc>
        <w:tc>
          <w:tcPr>
            <w:tcW w:w="1560" w:type="dxa"/>
          </w:tcPr>
          <w:p w14:paraId="59DD1D59"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(0.875)</w:t>
            </w:r>
          </w:p>
        </w:tc>
        <w:tc>
          <w:tcPr>
            <w:tcW w:w="1560" w:type="dxa"/>
          </w:tcPr>
          <w:p w14:paraId="12BBC670"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(0.675)</w:t>
            </w:r>
          </w:p>
        </w:tc>
      </w:tr>
      <w:tr w:rsidR="00C17D82" w:rsidRPr="00C17D82" w14:paraId="59518167" w14:textId="77777777" w:rsidTr="7AE8B05E">
        <w:tc>
          <w:tcPr>
            <w:tcW w:w="2088" w:type="dxa"/>
          </w:tcPr>
          <w:p w14:paraId="6571A311"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Net budget</w:t>
            </w:r>
          </w:p>
        </w:tc>
        <w:tc>
          <w:tcPr>
            <w:tcW w:w="1559" w:type="dxa"/>
          </w:tcPr>
          <w:p w14:paraId="5389AD59"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(0.960)</w:t>
            </w:r>
          </w:p>
        </w:tc>
        <w:tc>
          <w:tcPr>
            <w:tcW w:w="1559" w:type="dxa"/>
          </w:tcPr>
          <w:p w14:paraId="63CC17EE"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(1.295)</w:t>
            </w:r>
          </w:p>
        </w:tc>
        <w:tc>
          <w:tcPr>
            <w:tcW w:w="1560" w:type="dxa"/>
          </w:tcPr>
          <w:p w14:paraId="27BEF52E" w14:textId="77777777" w:rsidR="00C17D82" w:rsidRPr="00C17D82" w:rsidRDefault="00C17D82" w:rsidP="007456FC">
            <w:pPr>
              <w:spacing w:line="259" w:lineRule="auto"/>
              <w:jc w:val="center"/>
              <w:rPr>
                <w:rFonts w:ascii="Arial" w:hAnsi="Arial" w:cs="Arial"/>
                <w:szCs w:val="24"/>
              </w:rPr>
            </w:pPr>
            <w:r w:rsidRPr="00C17D82">
              <w:rPr>
                <w:rFonts w:ascii="Arial" w:hAnsi="Arial" w:cs="Arial"/>
                <w:szCs w:val="24"/>
              </w:rPr>
              <w:t>(0.671)</w:t>
            </w:r>
          </w:p>
        </w:tc>
        <w:tc>
          <w:tcPr>
            <w:tcW w:w="1560" w:type="dxa"/>
          </w:tcPr>
          <w:p w14:paraId="63D0B8E1"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1.009</w:t>
            </w:r>
          </w:p>
        </w:tc>
      </w:tr>
      <w:bookmarkEnd w:id="10"/>
    </w:tbl>
    <w:p w14:paraId="26DE3B50" w14:textId="77777777" w:rsidR="00C17D82" w:rsidRPr="00C17D82" w:rsidRDefault="00C17D82" w:rsidP="001366E5">
      <w:pPr>
        <w:spacing w:line="259" w:lineRule="auto"/>
        <w:ind w:left="34"/>
        <w:rPr>
          <w:rFonts w:ascii="Arial" w:hAnsi="Arial" w:cs="Arial"/>
          <w:szCs w:val="24"/>
          <w:highlight w:val="yellow"/>
        </w:rPr>
      </w:pPr>
    </w:p>
    <w:p w14:paraId="36963F4F" w14:textId="77777777" w:rsidR="00C17D82" w:rsidRPr="00C17D82" w:rsidRDefault="00C17D82" w:rsidP="00B41966">
      <w:pPr>
        <w:spacing w:line="250" w:lineRule="auto"/>
        <w:ind w:left="29"/>
        <w:rPr>
          <w:rFonts w:ascii="Arial" w:hAnsi="Arial" w:cs="Arial"/>
          <w:szCs w:val="24"/>
        </w:rPr>
      </w:pPr>
      <w:r w:rsidRPr="00C17D82">
        <w:rPr>
          <w:rFonts w:ascii="Arial" w:hAnsi="Arial" w:cs="Arial"/>
          <w:b/>
          <w:szCs w:val="24"/>
        </w:rPr>
        <w:t xml:space="preserve">Prudential Indicators for 2024/25 to 2027/28 in respect of the Combined Fire Authority's Treasury Management Activities. </w:t>
      </w:r>
    </w:p>
    <w:p w14:paraId="3D078BF9" w14:textId="77777777" w:rsidR="00C17D82" w:rsidRPr="00C17D82" w:rsidRDefault="00C17D82" w:rsidP="00B41966">
      <w:pPr>
        <w:spacing w:line="259" w:lineRule="auto"/>
        <w:ind w:left="34"/>
        <w:rPr>
          <w:rFonts w:ascii="Arial" w:hAnsi="Arial" w:cs="Arial"/>
          <w:szCs w:val="24"/>
        </w:rPr>
      </w:pPr>
    </w:p>
    <w:p w14:paraId="659193DD"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In accordance with its statutory duty and with the requirements of the Prudential Code for Capital Finance and the CIPFA Code for Treasury Management, the Combined Fire Authority produces each year a set of prudential indicators which regulate and control its treasury management activities. </w:t>
      </w:r>
    </w:p>
    <w:p w14:paraId="1CE27F45" w14:textId="77777777" w:rsidR="00C17D82" w:rsidRPr="00C17D82" w:rsidRDefault="00C17D82" w:rsidP="00B41966">
      <w:pPr>
        <w:spacing w:line="259" w:lineRule="auto"/>
        <w:ind w:left="34"/>
        <w:rPr>
          <w:rFonts w:ascii="Arial" w:hAnsi="Arial" w:cs="Arial"/>
          <w:szCs w:val="24"/>
        </w:rPr>
      </w:pPr>
    </w:p>
    <w:p w14:paraId="383948D1"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following table sets out the debt and investment-related indicators which provide the framework for the Authority’s proposed borrowing and lending activities over the coming three years.  These indicators will also be approved by members as part of the Capital Programme approval process along with other capital expenditure-related indicators but need to be reaffirmed and approved as part of this Treasury Management Strategy. </w:t>
      </w:r>
    </w:p>
    <w:p w14:paraId="08AB5019" w14:textId="77777777" w:rsidR="00C17D82" w:rsidRPr="00C17D82" w:rsidRDefault="00C17D82" w:rsidP="00B41966">
      <w:pPr>
        <w:spacing w:line="259" w:lineRule="auto"/>
        <w:ind w:left="34"/>
        <w:rPr>
          <w:rFonts w:ascii="Arial" w:hAnsi="Arial" w:cs="Arial"/>
          <w:szCs w:val="24"/>
        </w:rPr>
      </w:pPr>
    </w:p>
    <w:p w14:paraId="2F2C7E37" w14:textId="77777777" w:rsidR="00C17D82" w:rsidRPr="00C17D82" w:rsidRDefault="00C17D82" w:rsidP="00B41966">
      <w:pPr>
        <w:ind w:left="29" w:right="53"/>
        <w:rPr>
          <w:rFonts w:ascii="Arial" w:hAnsi="Arial" w:cs="Arial"/>
          <w:szCs w:val="24"/>
        </w:rPr>
      </w:pPr>
      <w:r w:rsidRPr="00C17D82">
        <w:rPr>
          <w:rFonts w:ascii="Arial" w:hAnsi="Arial" w:cs="Arial"/>
          <w:szCs w:val="24"/>
        </w:rPr>
        <w:t>It should be noted that contained within the external debt limits, there are allowances for outstanding liabilities in respect of the PFI schemes and leases. However, accounting standards are changing in relation to recording leases. In effect more leases are likely to be included on the balance sheet and therefore will be included against the other long term liabilities indicators. At this stage work is on-going to quantify the impact of the change and therefore the other long term liabilities limits may be subject to change.</w:t>
      </w:r>
    </w:p>
    <w:p w14:paraId="58F2C11F" w14:textId="77777777" w:rsidR="00C17D82" w:rsidRPr="00C17D82" w:rsidRDefault="00C17D82" w:rsidP="00B41966">
      <w:pPr>
        <w:pStyle w:val="Heading1"/>
        <w:spacing w:after="0"/>
        <w:ind w:left="0" w:firstLine="0"/>
        <w:jc w:val="both"/>
        <w:rPr>
          <w:szCs w:val="24"/>
        </w:rPr>
      </w:pPr>
    </w:p>
    <w:p w14:paraId="73E7A47D" w14:textId="77777777" w:rsidR="00C17D82" w:rsidRPr="00C17D82" w:rsidRDefault="00C17D82" w:rsidP="00B41966">
      <w:pPr>
        <w:pStyle w:val="Heading1"/>
        <w:spacing w:after="0"/>
        <w:ind w:left="0" w:firstLine="0"/>
        <w:rPr>
          <w:szCs w:val="24"/>
        </w:rPr>
      </w:pPr>
      <w:r w:rsidRPr="00C17D82">
        <w:rPr>
          <w:szCs w:val="24"/>
        </w:rPr>
        <w:t xml:space="preserve">Treasury Management Prudential Indicators </w:t>
      </w:r>
    </w:p>
    <w:p w14:paraId="189E54A3" w14:textId="77777777" w:rsidR="00C17D82" w:rsidRPr="00C17D82" w:rsidRDefault="00C17D82" w:rsidP="001366E5">
      <w:pPr>
        <w:spacing w:line="259" w:lineRule="auto"/>
        <w:ind w:left="34" w:right="309"/>
        <w:rPr>
          <w:rFonts w:ascii="Arial" w:hAnsi="Arial" w:cs="Arial"/>
          <w:szCs w:val="24"/>
        </w:rPr>
      </w:pPr>
      <w:r w:rsidRPr="00C17D82">
        <w:rPr>
          <w:rFonts w:ascii="Arial" w:hAnsi="Arial" w:cs="Arial"/>
          <w:szCs w:val="24"/>
        </w:rPr>
        <w:t xml:space="preserve"> </w:t>
      </w:r>
    </w:p>
    <w:tbl>
      <w:tblPr>
        <w:tblW w:w="9628" w:type="dxa"/>
        <w:tblInd w:w="108" w:type="dxa"/>
        <w:tblLayout w:type="fixed"/>
        <w:tblLook w:val="0000" w:firstRow="0" w:lastRow="0" w:firstColumn="0" w:lastColumn="0" w:noHBand="0" w:noVBand="0"/>
      </w:tblPr>
      <w:tblGrid>
        <w:gridCol w:w="4854"/>
        <w:gridCol w:w="1193"/>
        <w:gridCol w:w="1194"/>
        <w:gridCol w:w="1193"/>
        <w:gridCol w:w="1194"/>
      </w:tblGrid>
      <w:tr w:rsidR="00C17D82" w:rsidRPr="00C17D82" w14:paraId="33CA477C" w14:textId="77777777" w:rsidTr="7AE8B05E">
        <w:tc>
          <w:tcPr>
            <w:tcW w:w="4854" w:type="dxa"/>
          </w:tcPr>
          <w:p w14:paraId="0D21A332" w14:textId="77777777" w:rsidR="00C17D82" w:rsidRPr="00C17D82" w:rsidRDefault="00C17D82" w:rsidP="00B41966">
            <w:pPr>
              <w:pStyle w:val="Heading1"/>
              <w:spacing w:after="0"/>
              <w:jc w:val="both"/>
              <w:rPr>
                <w:szCs w:val="24"/>
              </w:rPr>
            </w:pPr>
          </w:p>
        </w:tc>
        <w:tc>
          <w:tcPr>
            <w:tcW w:w="1193" w:type="dxa"/>
            <w:vAlign w:val="center"/>
          </w:tcPr>
          <w:p w14:paraId="5E7E6E8F" w14:textId="77777777" w:rsidR="00C17D82" w:rsidRPr="00C17D82" w:rsidRDefault="00C17D82" w:rsidP="00B41966">
            <w:pPr>
              <w:jc w:val="center"/>
              <w:rPr>
                <w:rFonts w:ascii="Arial" w:hAnsi="Arial" w:cs="Arial"/>
                <w:bCs/>
                <w:szCs w:val="24"/>
              </w:rPr>
            </w:pPr>
            <w:r w:rsidRPr="00C17D82">
              <w:rPr>
                <w:rFonts w:ascii="Arial" w:hAnsi="Arial" w:cs="Arial"/>
                <w:bCs/>
                <w:szCs w:val="24"/>
              </w:rPr>
              <w:t>2024/25</w:t>
            </w:r>
          </w:p>
          <w:p w14:paraId="33644309" w14:textId="77777777" w:rsidR="00C17D82" w:rsidRPr="00C17D82" w:rsidRDefault="00C17D82" w:rsidP="00B41966">
            <w:pPr>
              <w:jc w:val="center"/>
              <w:rPr>
                <w:rFonts w:ascii="Arial" w:hAnsi="Arial" w:cs="Arial"/>
                <w:bCs/>
                <w:szCs w:val="24"/>
              </w:rPr>
            </w:pPr>
            <w:r w:rsidRPr="00C17D82">
              <w:rPr>
                <w:rFonts w:ascii="Arial" w:hAnsi="Arial" w:cs="Arial"/>
                <w:bCs/>
                <w:szCs w:val="24"/>
              </w:rPr>
              <w:t>£m</w:t>
            </w:r>
          </w:p>
        </w:tc>
        <w:tc>
          <w:tcPr>
            <w:tcW w:w="1194" w:type="dxa"/>
            <w:vAlign w:val="center"/>
          </w:tcPr>
          <w:p w14:paraId="286C7701" w14:textId="77777777" w:rsidR="00C17D82" w:rsidRPr="00C17D82" w:rsidRDefault="00C17D82" w:rsidP="00B41966">
            <w:pPr>
              <w:jc w:val="center"/>
              <w:rPr>
                <w:rFonts w:ascii="Arial" w:hAnsi="Arial" w:cs="Arial"/>
                <w:bCs/>
                <w:szCs w:val="24"/>
              </w:rPr>
            </w:pPr>
            <w:r w:rsidRPr="00C17D82">
              <w:rPr>
                <w:rFonts w:ascii="Arial" w:hAnsi="Arial" w:cs="Arial"/>
                <w:bCs/>
                <w:szCs w:val="24"/>
              </w:rPr>
              <w:t>2025/26</w:t>
            </w:r>
          </w:p>
          <w:p w14:paraId="641E26D2" w14:textId="77777777" w:rsidR="00C17D82" w:rsidRPr="00C17D82" w:rsidRDefault="00C17D82" w:rsidP="00B41966">
            <w:pPr>
              <w:jc w:val="center"/>
              <w:rPr>
                <w:rFonts w:ascii="Arial" w:hAnsi="Arial" w:cs="Arial"/>
                <w:bCs/>
                <w:szCs w:val="24"/>
              </w:rPr>
            </w:pPr>
            <w:r w:rsidRPr="00C17D82">
              <w:rPr>
                <w:rFonts w:ascii="Arial" w:hAnsi="Arial" w:cs="Arial"/>
                <w:bCs/>
                <w:szCs w:val="24"/>
              </w:rPr>
              <w:t>£m</w:t>
            </w:r>
          </w:p>
        </w:tc>
        <w:tc>
          <w:tcPr>
            <w:tcW w:w="1193" w:type="dxa"/>
            <w:vAlign w:val="center"/>
          </w:tcPr>
          <w:p w14:paraId="73C42EBC" w14:textId="77777777" w:rsidR="00C17D82" w:rsidRPr="00C17D82" w:rsidRDefault="00C17D82" w:rsidP="00B41966">
            <w:pPr>
              <w:jc w:val="center"/>
              <w:rPr>
                <w:rFonts w:ascii="Arial" w:hAnsi="Arial" w:cs="Arial"/>
                <w:bCs/>
                <w:szCs w:val="24"/>
              </w:rPr>
            </w:pPr>
            <w:r w:rsidRPr="00C17D82">
              <w:rPr>
                <w:rFonts w:ascii="Arial" w:hAnsi="Arial" w:cs="Arial"/>
                <w:bCs/>
                <w:szCs w:val="24"/>
              </w:rPr>
              <w:t>2026/27</w:t>
            </w:r>
          </w:p>
          <w:p w14:paraId="4841EA71" w14:textId="77777777" w:rsidR="00C17D82" w:rsidRPr="00C17D82" w:rsidRDefault="00C17D82" w:rsidP="00B41966">
            <w:pPr>
              <w:jc w:val="center"/>
              <w:rPr>
                <w:rFonts w:ascii="Arial" w:hAnsi="Arial" w:cs="Arial"/>
                <w:bCs/>
                <w:szCs w:val="24"/>
              </w:rPr>
            </w:pPr>
            <w:r w:rsidRPr="00C17D82">
              <w:rPr>
                <w:rFonts w:ascii="Arial" w:hAnsi="Arial" w:cs="Arial"/>
                <w:bCs/>
                <w:szCs w:val="24"/>
              </w:rPr>
              <w:t>£m</w:t>
            </w:r>
          </w:p>
        </w:tc>
        <w:tc>
          <w:tcPr>
            <w:tcW w:w="1194" w:type="dxa"/>
            <w:vAlign w:val="center"/>
          </w:tcPr>
          <w:p w14:paraId="23CBCC8A" w14:textId="77777777" w:rsidR="00C17D82" w:rsidRPr="00C17D82" w:rsidRDefault="00C17D82" w:rsidP="00B41966">
            <w:pPr>
              <w:jc w:val="center"/>
              <w:rPr>
                <w:rFonts w:ascii="Arial" w:hAnsi="Arial" w:cs="Arial"/>
                <w:bCs/>
                <w:szCs w:val="24"/>
              </w:rPr>
            </w:pPr>
            <w:r w:rsidRPr="00C17D82">
              <w:rPr>
                <w:rFonts w:ascii="Arial" w:hAnsi="Arial" w:cs="Arial"/>
                <w:bCs/>
                <w:szCs w:val="24"/>
              </w:rPr>
              <w:t>2027/28</w:t>
            </w:r>
          </w:p>
          <w:p w14:paraId="5C729BA7" w14:textId="77777777" w:rsidR="00C17D82" w:rsidRPr="00C17D82" w:rsidRDefault="00C17D82" w:rsidP="00B41966">
            <w:pPr>
              <w:jc w:val="center"/>
              <w:rPr>
                <w:rFonts w:ascii="Arial" w:hAnsi="Arial" w:cs="Arial"/>
                <w:bCs/>
                <w:szCs w:val="24"/>
              </w:rPr>
            </w:pPr>
            <w:r w:rsidRPr="00C17D82">
              <w:rPr>
                <w:rFonts w:ascii="Arial" w:hAnsi="Arial" w:cs="Arial"/>
                <w:bCs/>
                <w:szCs w:val="24"/>
              </w:rPr>
              <w:t>£m</w:t>
            </w:r>
          </w:p>
        </w:tc>
      </w:tr>
      <w:tr w:rsidR="00C17D82" w:rsidRPr="00C17D82" w14:paraId="2DC7FA1A" w14:textId="77777777" w:rsidTr="7AE8B05E">
        <w:trPr>
          <w:cantSplit/>
        </w:trPr>
        <w:tc>
          <w:tcPr>
            <w:tcW w:w="4854" w:type="dxa"/>
          </w:tcPr>
          <w:p w14:paraId="72253683" w14:textId="77777777" w:rsidR="00C17D82" w:rsidRPr="00C17D82" w:rsidRDefault="00C17D82" w:rsidP="00C17D82">
            <w:pPr>
              <w:numPr>
                <w:ilvl w:val="0"/>
                <w:numId w:val="14"/>
              </w:numPr>
              <w:tabs>
                <w:tab w:val="clear" w:pos="720"/>
                <w:tab w:val="num" w:pos="342"/>
              </w:tabs>
              <w:ind w:left="342" w:hanging="342"/>
              <w:rPr>
                <w:rFonts w:ascii="Arial" w:hAnsi="Arial" w:cs="Arial"/>
                <w:b/>
                <w:szCs w:val="24"/>
              </w:rPr>
            </w:pPr>
            <w:r w:rsidRPr="00C17D82">
              <w:rPr>
                <w:rFonts w:ascii="Arial" w:hAnsi="Arial" w:cs="Arial"/>
                <w:b/>
                <w:szCs w:val="24"/>
              </w:rPr>
              <w:t>Adoption of the Revised CIPFA Code of Practice on Treasury Management (2011)</w:t>
            </w:r>
          </w:p>
        </w:tc>
        <w:tc>
          <w:tcPr>
            <w:tcW w:w="4774" w:type="dxa"/>
            <w:gridSpan w:val="4"/>
            <w:vAlign w:val="center"/>
          </w:tcPr>
          <w:p w14:paraId="18A930F6" w14:textId="77777777" w:rsidR="00C17D82" w:rsidRPr="00C17D82" w:rsidRDefault="00C17D82" w:rsidP="00B41966">
            <w:pPr>
              <w:jc w:val="center"/>
              <w:rPr>
                <w:rFonts w:ascii="Arial" w:hAnsi="Arial" w:cs="Arial"/>
                <w:szCs w:val="24"/>
              </w:rPr>
            </w:pPr>
            <w:r w:rsidRPr="00C17D82">
              <w:rPr>
                <w:rFonts w:ascii="Arial" w:hAnsi="Arial" w:cs="Arial"/>
                <w:szCs w:val="24"/>
              </w:rPr>
              <w:t>Adopted for all years</w:t>
            </w:r>
          </w:p>
        </w:tc>
      </w:tr>
      <w:tr w:rsidR="00C17D82" w:rsidRPr="00C17D82" w14:paraId="73435FB7" w14:textId="77777777" w:rsidTr="7AE8B05E">
        <w:tc>
          <w:tcPr>
            <w:tcW w:w="4854" w:type="dxa"/>
          </w:tcPr>
          <w:p w14:paraId="6BD27BC7" w14:textId="77777777" w:rsidR="00C17D82" w:rsidRPr="00C17D82" w:rsidRDefault="00C17D82" w:rsidP="00C17D82">
            <w:pPr>
              <w:numPr>
                <w:ilvl w:val="0"/>
                <w:numId w:val="14"/>
              </w:numPr>
              <w:tabs>
                <w:tab w:val="clear" w:pos="720"/>
                <w:tab w:val="num" w:pos="342"/>
              </w:tabs>
              <w:ind w:left="342" w:hanging="342"/>
              <w:rPr>
                <w:rFonts w:ascii="Arial" w:hAnsi="Arial" w:cs="Arial"/>
                <w:b/>
                <w:szCs w:val="24"/>
              </w:rPr>
            </w:pPr>
            <w:r w:rsidRPr="00C17D82">
              <w:rPr>
                <w:rFonts w:ascii="Arial" w:hAnsi="Arial" w:cs="Arial"/>
                <w:b/>
                <w:szCs w:val="24"/>
              </w:rPr>
              <w:t>Authorised limit for external debt</w:t>
            </w:r>
            <w:r w:rsidRPr="00C17D82">
              <w:rPr>
                <w:rFonts w:ascii="Arial" w:hAnsi="Arial" w:cs="Arial"/>
                <w:szCs w:val="24"/>
              </w:rPr>
              <w:t xml:space="preserve"> - A prudent estimate of external debt, which includes sufficient headroom for unusual cash movements.</w:t>
            </w:r>
          </w:p>
        </w:tc>
        <w:tc>
          <w:tcPr>
            <w:tcW w:w="1193" w:type="dxa"/>
          </w:tcPr>
          <w:p w14:paraId="04E37450" w14:textId="77777777" w:rsidR="00C17D82" w:rsidRPr="00C17D82" w:rsidRDefault="00C17D82" w:rsidP="00B41966">
            <w:pPr>
              <w:tabs>
                <w:tab w:val="decimal" w:pos="792"/>
              </w:tabs>
              <w:jc w:val="center"/>
              <w:rPr>
                <w:rFonts w:ascii="Arial" w:hAnsi="Arial" w:cs="Arial"/>
                <w:caps/>
                <w:szCs w:val="24"/>
              </w:rPr>
            </w:pPr>
          </w:p>
        </w:tc>
        <w:tc>
          <w:tcPr>
            <w:tcW w:w="1194" w:type="dxa"/>
          </w:tcPr>
          <w:p w14:paraId="24F1CDA6" w14:textId="77777777" w:rsidR="00C17D82" w:rsidRPr="00C17D82" w:rsidRDefault="00C17D82" w:rsidP="00B41966">
            <w:pPr>
              <w:tabs>
                <w:tab w:val="decimal" w:pos="792"/>
              </w:tabs>
              <w:jc w:val="center"/>
              <w:rPr>
                <w:rFonts w:ascii="Arial" w:hAnsi="Arial" w:cs="Arial"/>
                <w:caps/>
                <w:szCs w:val="24"/>
              </w:rPr>
            </w:pPr>
          </w:p>
        </w:tc>
        <w:tc>
          <w:tcPr>
            <w:tcW w:w="1193" w:type="dxa"/>
          </w:tcPr>
          <w:p w14:paraId="6B6B0FB3" w14:textId="77777777" w:rsidR="00C17D82" w:rsidRPr="00C17D82" w:rsidRDefault="00C17D82" w:rsidP="00B41966">
            <w:pPr>
              <w:tabs>
                <w:tab w:val="decimal" w:pos="792"/>
              </w:tabs>
              <w:jc w:val="center"/>
              <w:rPr>
                <w:rFonts w:ascii="Arial" w:hAnsi="Arial" w:cs="Arial"/>
                <w:szCs w:val="24"/>
              </w:rPr>
            </w:pPr>
          </w:p>
        </w:tc>
        <w:tc>
          <w:tcPr>
            <w:tcW w:w="1194" w:type="dxa"/>
          </w:tcPr>
          <w:p w14:paraId="0546414A" w14:textId="77777777" w:rsidR="00C17D82" w:rsidRPr="00C17D82" w:rsidRDefault="00C17D82" w:rsidP="00B41966">
            <w:pPr>
              <w:tabs>
                <w:tab w:val="decimal" w:pos="792"/>
              </w:tabs>
              <w:jc w:val="center"/>
              <w:rPr>
                <w:rFonts w:ascii="Arial" w:hAnsi="Arial" w:cs="Arial"/>
                <w:szCs w:val="24"/>
              </w:rPr>
            </w:pPr>
          </w:p>
        </w:tc>
      </w:tr>
      <w:tr w:rsidR="00C17D82" w:rsidRPr="00C17D82" w14:paraId="2D3C607F" w14:textId="77777777" w:rsidTr="7AE8B05E">
        <w:tc>
          <w:tcPr>
            <w:tcW w:w="4854" w:type="dxa"/>
          </w:tcPr>
          <w:p w14:paraId="7ABBD348"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t>Borrowing</w:t>
            </w:r>
          </w:p>
        </w:tc>
        <w:tc>
          <w:tcPr>
            <w:tcW w:w="1193" w:type="dxa"/>
            <w:vAlign w:val="center"/>
          </w:tcPr>
          <w:p w14:paraId="12A56F43" w14:textId="77777777" w:rsidR="00C17D82" w:rsidRPr="00C17D82" w:rsidRDefault="00C17D82" w:rsidP="00B41966">
            <w:pPr>
              <w:jc w:val="center"/>
              <w:rPr>
                <w:rFonts w:ascii="Arial" w:hAnsi="Arial" w:cs="Arial"/>
                <w:caps/>
                <w:szCs w:val="24"/>
              </w:rPr>
            </w:pPr>
            <w:r w:rsidRPr="00C17D82">
              <w:rPr>
                <w:rFonts w:ascii="Arial" w:hAnsi="Arial" w:cs="Arial"/>
                <w:caps/>
                <w:szCs w:val="24"/>
              </w:rPr>
              <w:t>4.000</w:t>
            </w:r>
          </w:p>
        </w:tc>
        <w:tc>
          <w:tcPr>
            <w:tcW w:w="1194" w:type="dxa"/>
            <w:vAlign w:val="center"/>
          </w:tcPr>
          <w:p w14:paraId="6FAA2BCA" w14:textId="77777777" w:rsidR="00C17D82" w:rsidRPr="00C17D82" w:rsidRDefault="00C17D82" w:rsidP="00B41966">
            <w:pPr>
              <w:jc w:val="center"/>
              <w:rPr>
                <w:rFonts w:ascii="Arial" w:hAnsi="Arial" w:cs="Arial"/>
                <w:caps/>
                <w:szCs w:val="24"/>
              </w:rPr>
            </w:pPr>
            <w:r w:rsidRPr="00C17D82">
              <w:rPr>
                <w:rFonts w:ascii="Arial" w:hAnsi="Arial" w:cs="Arial"/>
                <w:caps/>
                <w:szCs w:val="24"/>
              </w:rPr>
              <w:t>4.000</w:t>
            </w:r>
          </w:p>
        </w:tc>
        <w:tc>
          <w:tcPr>
            <w:tcW w:w="1193" w:type="dxa"/>
            <w:vAlign w:val="center"/>
          </w:tcPr>
          <w:p w14:paraId="6E5EC50A" w14:textId="77777777" w:rsidR="00C17D82" w:rsidRPr="00C17D82" w:rsidRDefault="00C17D82" w:rsidP="00B41966">
            <w:pPr>
              <w:jc w:val="center"/>
              <w:rPr>
                <w:rFonts w:ascii="Arial" w:hAnsi="Arial" w:cs="Arial"/>
                <w:caps/>
                <w:szCs w:val="24"/>
              </w:rPr>
            </w:pPr>
            <w:r w:rsidRPr="00C17D82">
              <w:rPr>
                <w:rFonts w:ascii="Arial" w:hAnsi="Arial" w:cs="Arial"/>
                <w:caps/>
                <w:szCs w:val="24"/>
              </w:rPr>
              <w:t>10.000</w:t>
            </w:r>
          </w:p>
        </w:tc>
        <w:tc>
          <w:tcPr>
            <w:tcW w:w="1194" w:type="dxa"/>
            <w:vAlign w:val="center"/>
          </w:tcPr>
          <w:p w14:paraId="44B9F6C3" w14:textId="77777777" w:rsidR="00C17D82" w:rsidRPr="00C17D82" w:rsidRDefault="00C17D82" w:rsidP="00B41966">
            <w:pPr>
              <w:jc w:val="center"/>
              <w:rPr>
                <w:rFonts w:ascii="Arial" w:hAnsi="Arial" w:cs="Arial"/>
                <w:caps/>
                <w:szCs w:val="24"/>
              </w:rPr>
            </w:pPr>
            <w:r w:rsidRPr="00C17D82">
              <w:rPr>
                <w:rFonts w:ascii="Arial" w:hAnsi="Arial" w:cs="Arial"/>
                <w:caps/>
                <w:szCs w:val="24"/>
              </w:rPr>
              <w:t>45.000</w:t>
            </w:r>
          </w:p>
        </w:tc>
      </w:tr>
      <w:tr w:rsidR="00C17D82" w:rsidRPr="00C17D82" w14:paraId="3FFAB2E2" w14:textId="77777777" w:rsidTr="7AE8B05E">
        <w:tc>
          <w:tcPr>
            <w:tcW w:w="4854" w:type="dxa"/>
          </w:tcPr>
          <w:p w14:paraId="004EB0D2"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t>Other long-term liabilities</w:t>
            </w:r>
          </w:p>
        </w:tc>
        <w:tc>
          <w:tcPr>
            <w:tcW w:w="1193" w:type="dxa"/>
          </w:tcPr>
          <w:p w14:paraId="65E2231B" w14:textId="77777777" w:rsidR="00C17D82" w:rsidRPr="00C17D82" w:rsidRDefault="00C17D82" w:rsidP="00B41966">
            <w:pPr>
              <w:jc w:val="center"/>
              <w:rPr>
                <w:rFonts w:ascii="Arial" w:hAnsi="Arial" w:cs="Arial"/>
                <w:caps/>
                <w:szCs w:val="24"/>
              </w:rPr>
            </w:pPr>
            <w:r w:rsidRPr="00C17D82">
              <w:rPr>
                <w:rFonts w:ascii="Arial" w:hAnsi="Arial" w:cs="Arial"/>
                <w:caps/>
                <w:szCs w:val="24"/>
              </w:rPr>
              <w:t>30.000</w:t>
            </w:r>
          </w:p>
        </w:tc>
        <w:tc>
          <w:tcPr>
            <w:tcW w:w="1194" w:type="dxa"/>
          </w:tcPr>
          <w:p w14:paraId="2F69B334" w14:textId="77777777" w:rsidR="00C17D82" w:rsidRPr="00C17D82" w:rsidRDefault="00C17D82" w:rsidP="00B41966">
            <w:pPr>
              <w:jc w:val="center"/>
              <w:rPr>
                <w:rFonts w:ascii="Arial" w:hAnsi="Arial" w:cs="Arial"/>
                <w:caps/>
                <w:szCs w:val="24"/>
              </w:rPr>
            </w:pPr>
            <w:r w:rsidRPr="00C17D82">
              <w:rPr>
                <w:rFonts w:ascii="Arial" w:hAnsi="Arial" w:cs="Arial"/>
                <w:caps/>
                <w:szCs w:val="24"/>
              </w:rPr>
              <w:t>30.000</w:t>
            </w:r>
          </w:p>
        </w:tc>
        <w:tc>
          <w:tcPr>
            <w:tcW w:w="1193" w:type="dxa"/>
          </w:tcPr>
          <w:p w14:paraId="050CA571" w14:textId="77777777" w:rsidR="00C17D82" w:rsidRPr="00C17D82" w:rsidRDefault="00C17D82" w:rsidP="00B41966">
            <w:pPr>
              <w:jc w:val="center"/>
              <w:rPr>
                <w:rFonts w:ascii="Arial" w:hAnsi="Arial" w:cs="Arial"/>
                <w:caps/>
                <w:szCs w:val="24"/>
              </w:rPr>
            </w:pPr>
            <w:r w:rsidRPr="00C17D82">
              <w:rPr>
                <w:rFonts w:ascii="Arial" w:hAnsi="Arial" w:cs="Arial"/>
                <w:caps/>
                <w:szCs w:val="24"/>
              </w:rPr>
              <w:t>30.000</w:t>
            </w:r>
          </w:p>
        </w:tc>
        <w:tc>
          <w:tcPr>
            <w:tcW w:w="1194" w:type="dxa"/>
          </w:tcPr>
          <w:p w14:paraId="51338178" w14:textId="77777777" w:rsidR="00C17D82" w:rsidRPr="00C17D82" w:rsidRDefault="00C17D82" w:rsidP="00B41966">
            <w:pPr>
              <w:jc w:val="center"/>
              <w:rPr>
                <w:rFonts w:ascii="Arial" w:hAnsi="Arial" w:cs="Arial"/>
                <w:caps/>
                <w:szCs w:val="24"/>
              </w:rPr>
            </w:pPr>
            <w:r w:rsidRPr="00C17D82">
              <w:rPr>
                <w:rFonts w:ascii="Arial" w:hAnsi="Arial" w:cs="Arial"/>
                <w:caps/>
                <w:szCs w:val="24"/>
              </w:rPr>
              <w:t>30.000</w:t>
            </w:r>
          </w:p>
        </w:tc>
      </w:tr>
      <w:tr w:rsidR="00C17D82" w:rsidRPr="00C17D82" w14:paraId="26702604" w14:textId="77777777" w:rsidTr="7AE8B05E">
        <w:tc>
          <w:tcPr>
            <w:tcW w:w="4854" w:type="dxa"/>
          </w:tcPr>
          <w:p w14:paraId="0FAD5D39"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lastRenderedPageBreak/>
              <w:t>Total</w:t>
            </w:r>
          </w:p>
        </w:tc>
        <w:tc>
          <w:tcPr>
            <w:tcW w:w="1193" w:type="dxa"/>
            <w:tcBorders>
              <w:top w:val="single" w:sz="4" w:space="0" w:color="auto"/>
              <w:bottom w:val="single" w:sz="4" w:space="0" w:color="auto"/>
            </w:tcBorders>
            <w:vAlign w:val="center"/>
          </w:tcPr>
          <w:p w14:paraId="08DE1460" w14:textId="77777777" w:rsidR="00C17D82" w:rsidRPr="00C17D82" w:rsidRDefault="00C17D82" w:rsidP="00B41966">
            <w:pPr>
              <w:jc w:val="center"/>
              <w:rPr>
                <w:rFonts w:ascii="Arial" w:hAnsi="Arial" w:cs="Arial"/>
                <w:caps/>
                <w:szCs w:val="24"/>
              </w:rPr>
            </w:pPr>
            <w:r w:rsidRPr="00C17D82">
              <w:rPr>
                <w:rFonts w:ascii="Arial" w:hAnsi="Arial" w:cs="Arial"/>
                <w:caps/>
                <w:szCs w:val="24"/>
              </w:rPr>
              <w:t>34.000</w:t>
            </w:r>
          </w:p>
        </w:tc>
        <w:tc>
          <w:tcPr>
            <w:tcW w:w="1194" w:type="dxa"/>
            <w:tcBorders>
              <w:top w:val="single" w:sz="4" w:space="0" w:color="auto"/>
              <w:bottom w:val="single" w:sz="4" w:space="0" w:color="auto"/>
            </w:tcBorders>
            <w:vAlign w:val="center"/>
          </w:tcPr>
          <w:p w14:paraId="4AC050FC" w14:textId="77777777" w:rsidR="00C17D82" w:rsidRPr="00C17D82" w:rsidRDefault="00C17D82" w:rsidP="00B41966">
            <w:pPr>
              <w:jc w:val="center"/>
              <w:rPr>
                <w:rFonts w:ascii="Arial" w:hAnsi="Arial" w:cs="Arial"/>
                <w:caps/>
                <w:szCs w:val="24"/>
              </w:rPr>
            </w:pPr>
            <w:r w:rsidRPr="00C17D82">
              <w:rPr>
                <w:rFonts w:ascii="Arial" w:hAnsi="Arial" w:cs="Arial"/>
                <w:caps/>
                <w:szCs w:val="24"/>
              </w:rPr>
              <w:t>34.000</w:t>
            </w:r>
          </w:p>
        </w:tc>
        <w:tc>
          <w:tcPr>
            <w:tcW w:w="1193" w:type="dxa"/>
            <w:tcBorders>
              <w:top w:val="single" w:sz="4" w:space="0" w:color="auto"/>
              <w:bottom w:val="single" w:sz="4" w:space="0" w:color="auto"/>
            </w:tcBorders>
            <w:vAlign w:val="center"/>
          </w:tcPr>
          <w:p w14:paraId="4EEFB088" w14:textId="77777777" w:rsidR="00C17D82" w:rsidRPr="00C17D82" w:rsidRDefault="00C17D82" w:rsidP="00B41966">
            <w:pPr>
              <w:jc w:val="center"/>
              <w:rPr>
                <w:rFonts w:ascii="Arial" w:hAnsi="Arial" w:cs="Arial"/>
                <w:caps/>
                <w:szCs w:val="24"/>
              </w:rPr>
            </w:pPr>
            <w:r w:rsidRPr="00C17D82">
              <w:rPr>
                <w:rFonts w:ascii="Arial" w:hAnsi="Arial" w:cs="Arial"/>
                <w:caps/>
                <w:szCs w:val="24"/>
              </w:rPr>
              <w:t>40.000</w:t>
            </w:r>
          </w:p>
        </w:tc>
        <w:tc>
          <w:tcPr>
            <w:tcW w:w="1194" w:type="dxa"/>
            <w:tcBorders>
              <w:top w:val="single" w:sz="4" w:space="0" w:color="auto"/>
              <w:bottom w:val="single" w:sz="4" w:space="0" w:color="auto"/>
            </w:tcBorders>
            <w:vAlign w:val="center"/>
          </w:tcPr>
          <w:p w14:paraId="5C543B34" w14:textId="77777777" w:rsidR="00C17D82" w:rsidRPr="00C17D82" w:rsidRDefault="00C17D82" w:rsidP="00B41966">
            <w:pPr>
              <w:jc w:val="center"/>
              <w:rPr>
                <w:rFonts w:ascii="Arial" w:hAnsi="Arial" w:cs="Arial"/>
                <w:caps/>
                <w:szCs w:val="24"/>
              </w:rPr>
            </w:pPr>
            <w:r w:rsidRPr="00C17D82">
              <w:rPr>
                <w:rFonts w:ascii="Arial" w:hAnsi="Arial" w:cs="Arial"/>
                <w:caps/>
                <w:szCs w:val="24"/>
              </w:rPr>
              <w:t>75.000</w:t>
            </w:r>
          </w:p>
        </w:tc>
      </w:tr>
      <w:tr w:rsidR="00C17D82" w:rsidRPr="00C17D82" w14:paraId="10BB0B33" w14:textId="77777777" w:rsidTr="7AE8B05E">
        <w:tc>
          <w:tcPr>
            <w:tcW w:w="4854" w:type="dxa"/>
          </w:tcPr>
          <w:p w14:paraId="376F1F0D" w14:textId="77777777" w:rsidR="00C17D82" w:rsidRPr="00C17D82" w:rsidRDefault="00C17D82" w:rsidP="00C17D82">
            <w:pPr>
              <w:numPr>
                <w:ilvl w:val="0"/>
                <w:numId w:val="14"/>
              </w:numPr>
              <w:tabs>
                <w:tab w:val="clear" w:pos="720"/>
                <w:tab w:val="num" w:pos="342"/>
              </w:tabs>
              <w:ind w:left="342" w:hanging="342"/>
              <w:rPr>
                <w:rFonts w:ascii="Arial" w:hAnsi="Arial" w:cs="Arial"/>
                <w:b/>
                <w:szCs w:val="24"/>
              </w:rPr>
            </w:pPr>
            <w:r w:rsidRPr="00C17D82">
              <w:rPr>
                <w:rFonts w:ascii="Arial" w:hAnsi="Arial" w:cs="Arial"/>
                <w:b/>
                <w:szCs w:val="24"/>
              </w:rPr>
              <w:t>Operational boundary for external debt</w:t>
            </w:r>
            <w:r w:rsidRPr="00C17D82">
              <w:rPr>
                <w:rFonts w:ascii="Arial" w:hAnsi="Arial" w:cs="Arial"/>
                <w:szCs w:val="24"/>
              </w:rPr>
              <w:t xml:space="preserve"> - A prudent estimate of debt, but no provision for unusual cash movements.  It represents the estimated maximum external debt arising </w:t>
            </w:r>
            <w:proofErr w:type="gramStart"/>
            <w:r w:rsidRPr="00C17D82">
              <w:rPr>
                <w:rFonts w:ascii="Arial" w:hAnsi="Arial" w:cs="Arial"/>
                <w:szCs w:val="24"/>
              </w:rPr>
              <w:t>as a consequence of</w:t>
            </w:r>
            <w:proofErr w:type="gramEnd"/>
            <w:r w:rsidRPr="00C17D82">
              <w:rPr>
                <w:rFonts w:ascii="Arial" w:hAnsi="Arial" w:cs="Arial"/>
                <w:szCs w:val="24"/>
              </w:rPr>
              <w:t xml:space="preserve"> the Authority's current plans.</w:t>
            </w:r>
          </w:p>
        </w:tc>
        <w:tc>
          <w:tcPr>
            <w:tcW w:w="1193" w:type="dxa"/>
          </w:tcPr>
          <w:p w14:paraId="3D070705" w14:textId="77777777" w:rsidR="00C17D82" w:rsidRPr="00C17D82" w:rsidRDefault="00C17D82" w:rsidP="00B41966">
            <w:pPr>
              <w:tabs>
                <w:tab w:val="decimal" w:pos="792"/>
              </w:tabs>
              <w:jc w:val="center"/>
              <w:rPr>
                <w:rFonts w:ascii="Arial" w:hAnsi="Arial" w:cs="Arial"/>
                <w:caps/>
                <w:szCs w:val="24"/>
              </w:rPr>
            </w:pPr>
          </w:p>
        </w:tc>
        <w:tc>
          <w:tcPr>
            <w:tcW w:w="1194" w:type="dxa"/>
          </w:tcPr>
          <w:p w14:paraId="51A527BA" w14:textId="77777777" w:rsidR="00C17D82" w:rsidRPr="00C17D82" w:rsidRDefault="00C17D82" w:rsidP="00B41966">
            <w:pPr>
              <w:tabs>
                <w:tab w:val="decimal" w:pos="792"/>
              </w:tabs>
              <w:jc w:val="center"/>
              <w:rPr>
                <w:rFonts w:ascii="Arial" w:hAnsi="Arial" w:cs="Arial"/>
                <w:caps/>
                <w:szCs w:val="24"/>
              </w:rPr>
            </w:pPr>
          </w:p>
        </w:tc>
        <w:tc>
          <w:tcPr>
            <w:tcW w:w="1193" w:type="dxa"/>
          </w:tcPr>
          <w:p w14:paraId="47F1ED67" w14:textId="77777777" w:rsidR="00C17D82" w:rsidRPr="00C17D82" w:rsidRDefault="00C17D82" w:rsidP="00B41966">
            <w:pPr>
              <w:tabs>
                <w:tab w:val="decimal" w:pos="792"/>
              </w:tabs>
              <w:rPr>
                <w:rFonts w:ascii="Arial" w:hAnsi="Arial" w:cs="Arial"/>
                <w:szCs w:val="24"/>
              </w:rPr>
            </w:pPr>
          </w:p>
        </w:tc>
        <w:tc>
          <w:tcPr>
            <w:tcW w:w="1194" w:type="dxa"/>
          </w:tcPr>
          <w:p w14:paraId="272D524D" w14:textId="77777777" w:rsidR="00C17D82" w:rsidRPr="00C17D82" w:rsidRDefault="00C17D82" w:rsidP="00B41966">
            <w:pPr>
              <w:tabs>
                <w:tab w:val="decimal" w:pos="792"/>
              </w:tabs>
              <w:jc w:val="center"/>
              <w:rPr>
                <w:rFonts w:ascii="Arial" w:hAnsi="Arial" w:cs="Arial"/>
                <w:szCs w:val="24"/>
              </w:rPr>
            </w:pPr>
          </w:p>
        </w:tc>
      </w:tr>
      <w:tr w:rsidR="00C17D82" w:rsidRPr="00C17D82" w14:paraId="5442CA24" w14:textId="77777777" w:rsidTr="7AE8B05E">
        <w:tc>
          <w:tcPr>
            <w:tcW w:w="4854" w:type="dxa"/>
          </w:tcPr>
          <w:p w14:paraId="72A951FB"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t>Borrowing</w:t>
            </w:r>
          </w:p>
        </w:tc>
        <w:tc>
          <w:tcPr>
            <w:tcW w:w="1193" w:type="dxa"/>
          </w:tcPr>
          <w:p w14:paraId="64BAFBB3" w14:textId="77777777" w:rsidR="00C17D82" w:rsidRPr="00C17D82" w:rsidRDefault="00C17D82" w:rsidP="00B41966">
            <w:pPr>
              <w:jc w:val="center"/>
              <w:rPr>
                <w:rFonts w:ascii="Arial" w:hAnsi="Arial" w:cs="Arial"/>
                <w:caps/>
                <w:szCs w:val="24"/>
              </w:rPr>
            </w:pPr>
            <w:r w:rsidRPr="00C17D82">
              <w:rPr>
                <w:rFonts w:ascii="Arial" w:hAnsi="Arial" w:cs="Arial"/>
                <w:caps/>
                <w:szCs w:val="24"/>
              </w:rPr>
              <w:t>3.000</w:t>
            </w:r>
          </w:p>
        </w:tc>
        <w:tc>
          <w:tcPr>
            <w:tcW w:w="1194" w:type="dxa"/>
          </w:tcPr>
          <w:p w14:paraId="7456E30E" w14:textId="77777777" w:rsidR="00C17D82" w:rsidRPr="00C17D82" w:rsidRDefault="00C17D82" w:rsidP="00B41966">
            <w:pPr>
              <w:jc w:val="center"/>
              <w:rPr>
                <w:rFonts w:ascii="Arial" w:hAnsi="Arial" w:cs="Arial"/>
                <w:caps/>
                <w:szCs w:val="24"/>
              </w:rPr>
            </w:pPr>
            <w:r w:rsidRPr="00C17D82">
              <w:rPr>
                <w:rFonts w:ascii="Arial" w:hAnsi="Arial" w:cs="Arial"/>
                <w:caps/>
                <w:szCs w:val="24"/>
              </w:rPr>
              <w:t>3.000</w:t>
            </w:r>
          </w:p>
        </w:tc>
        <w:tc>
          <w:tcPr>
            <w:tcW w:w="1193" w:type="dxa"/>
          </w:tcPr>
          <w:p w14:paraId="445198E8" w14:textId="77777777" w:rsidR="00C17D82" w:rsidRPr="00C17D82" w:rsidRDefault="00C17D82" w:rsidP="00B41966">
            <w:pPr>
              <w:jc w:val="center"/>
              <w:rPr>
                <w:rFonts w:ascii="Arial" w:hAnsi="Arial" w:cs="Arial"/>
                <w:caps/>
                <w:szCs w:val="24"/>
              </w:rPr>
            </w:pPr>
            <w:r w:rsidRPr="00C17D82">
              <w:rPr>
                <w:rFonts w:ascii="Arial" w:hAnsi="Arial" w:cs="Arial"/>
                <w:caps/>
                <w:szCs w:val="24"/>
              </w:rPr>
              <w:t>8.000</w:t>
            </w:r>
          </w:p>
        </w:tc>
        <w:tc>
          <w:tcPr>
            <w:tcW w:w="1194" w:type="dxa"/>
          </w:tcPr>
          <w:p w14:paraId="0963C9D6" w14:textId="77777777" w:rsidR="00C17D82" w:rsidRPr="00C17D82" w:rsidRDefault="00C17D82" w:rsidP="00B41966">
            <w:pPr>
              <w:jc w:val="center"/>
              <w:rPr>
                <w:rFonts w:ascii="Arial" w:hAnsi="Arial" w:cs="Arial"/>
                <w:caps/>
                <w:szCs w:val="24"/>
              </w:rPr>
            </w:pPr>
            <w:r w:rsidRPr="00C17D82">
              <w:rPr>
                <w:rFonts w:ascii="Arial" w:hAnsi="Arial" w:cs="Arial"/>
                <w:caps/>
                <w:szCs w:val="24"/>
              </w:rPr>
              <w:t>35.000</w:t>
            </w:r>
          </w:p>
        </w:tc>
      </w:tr>
      <w:tr w:rsidR="00C17D82" w:rsidRPr="00C17D82" w14:paraId="5EAF474D" w14:textId="77777777" w:rsidTr="7AE8B05E">
        <w:tc>
          <w:tcPr>
            <w:tcW w:w="4854" w:type="dxa"/>
          </w:tcPr>
          <w:p w14:paraId="2151B826"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t>Other long-term liabilities</w:t>
            </w:r>
          </w:p>
        </w:tc>
        <w:tc>
          <w:tcPr>
            <w:tcW w:w="1193" w:type="dxa"/>
          </w:tcPr>
          <w:p w14:paraId="571240F3" w14:textId="77777777" w:rsidR="00C17D82" w:rsidRPr="00C17D82" w:rsidRDefault="00C17D82" w:rsidP="00B41966">
            <w:pPr>
              <w:jc w:val="center"/>
              <w:rPr>
                <w:rFonts w:ascii="Arial" w:hAnsi="Arial" w:cs="Arial"/>
                <w:caps/>
                <w:szCs w:val="24"/>
              </w:rPr>
            </w:pPr>
            <w:r w:rsidRPr="00C17D82">
              <w:rPr>
                <w:rFonts w:ascii="Arial" w:hAnsi="Arial" w:cs="Arial"/>
                <w:caps/>
                <w:szCs w:val="24"/>
              </w:rPr>
              <w:t>16.000</w:t>
            </w:r>
          </w:p>
        </w:tc>
        <w:tc>
          <w:tcPr>
            <w:tcW w:w="1194" w:type="dxa"/>
          </w:tcPr>
          <w:p w14:paraId="72529E7D" w14:textId="77777777" w:rsidR="00C17D82" w:rsidRPr="00C17D82" w:rsidRDefault="00C17D82" w:rsidP="00B41966">
            <w:pPr>
              <w:jc w:val="center"/>
              <w:rPr>
                <w:rFonts w:ascii="Arial" w:hAnsi="Arial" w:cs="Arial"/>
                <w:caps/>
                <w:szCs w:val="24"/>
              </w:rPr>
            </w:pPr>
            <w:r w:rsidRPr="00C17D82">
              <w:rPr>
                <w:rFonts w:ascii="Arial" w:hAnsi="Arial" w:cs="Arial"/>
                <w:caps/>
                <w:szCs w:val="24"/>
              </w:rPr>
              <w:t>15.000</w:t>
            </w:r>
          </w:p>
        </w:tc>
        <w:tc>
          <w:tcPr>
            <w:tcW w:w="1193" w:type="dxa"/>
          </w:tcPr>
          <w:p w14:paraId="6697170C" w14:textId="77777777" w:rsidR="00C17D82" w:rsidRPr="00C17D82" w:rsidRDefault="00C17D82" w:rsidP="00B41966">
            <w:pPr>
              <w:jc w:val="center"/>
              <w:rPr>
                <w:rFonts w:ascii="Arial" w:hAnsi="Arial" w:cs="Arial"/>
                <w:caps/>
                <w:szCs w:val="24"/>
              </w:rPr>
            </w:pPr>
            <w:r w:rsidRPr="00C17D82">
              <w:rPr>
                <w:rFonts w:ascii="Arial" w:hAnsi="Arial" w:cs="Arial"/>
                <w:caps/>
                <w:szCs w:val="24"/>
              </w:rPr>
              <w:t>15.000</w:t>
            </w:r>
          </w:p>
        </w:tc>
        <w:tc>
          <w:tcPr>
            <w:tcW w:w="1194" w:type="dxa"/>
          </w:tcPr>
          <w:p w14:paraId="4D5C0817" w14:textId="77777777" w:rsidR="00C17D82" w:rsidRPr="00C17D82" w:rsidRDefault="00C17D82" w:rsidP="00B41966">
            <w:pPr>
              <w:jc w:val="center"/>
              <w:rPr>
                <w:rFonts w:ascii="Arial" w:hAnsi="Arial" w:cs="Arial"/>
                <w:caps/>
                <w:szCs w:val="24"/>
              </w:rPr>
            </w:pPr>
            <w:r w:rsidRPr="00C17D82">
              <w:rPr>
                <w:rFonts w:ascii="Arial" w:hAnsi="Arial" w:cs="Arial"/>
                <w:caps/>
                <w:szCs w:val="24"/>
              </w:rPr>
              <w:t>14.000</w:t>
            </w:r>
          </w:p>
        </w:tc>
      </w:tr>
      <w:tr w:rsidR="00C17D82" w:rsidRPr="00C17D82" w14:paraId="54FD2884" w14:textId="77777777" w:rsidTr="7AE8B05E">
        <w:tc>
          <w:tcPr>
            <w:tcW w:w="4854" w:type="dxa"/>
          </w:tcPr>
          <w:p w14:paraId="054F32DD" w14:textId="77777777" w:rsidR="00C17D82" w:rsidRPr="00C17D82" w:rsidRDefault="00C17D82" w:rsidP="00B41966">
            <w:pPr>
              <w:tabs>
                <w:tab w:val="left" w:pos="342"/>
              </w:tabs>
              <w:ind w:left="342"/>
              <w:rPr>
                <w:rFonts w:ascii="Arial" w:hAnsi="Arial" w:cs="Arial"/>
                <w:szCs w:val="24"/>
              </w:rPr>
            </w:pPr>
            <w:r w:rsidRPr="00C17D82">
              <w:rPr>
                <w:rFonts w:ascii="Arial" w:hAnsi="Arial" w:cs="Arial"/>
                <w:szCs w:val="24"/>
              </w:rPr>
              <w:t>Total</w:t>
            </w:r>
          </w:p>
        </w:tc>
        <w:tc>
          <w:tcPr>
            <w:tcW w:w="1193" w:type="dxa"/>
            <w:tcBorders>
              <w:top w:val="single" w:sz="4" w:space="0" w:color="auto"/>
              <w:bottom w:val="single" w:sz="4" w:space="0" w:color="auto"/>
            </w:tcBorders>
          </w:tcPr>
          <w:p w14:paraId="4A5EEC40" w14:textId="77777777" w:rsidR="00C17D82" w:rsidRPr="00C17D82" w:rsidRDefault="00C17D82" w:rsidP="00B41966">
            <w:pPr>
              <w:jc w:val="center"/>
              <w:rPr>
                <w:rFonts w:ascii="Arial" w:hAnsi="Arial" w:cs="Arial"/>
                <w:caps/>
                <w:szCs w:val="24"/>
              </w:rPr>
            </w:pPr>
            <w:r w:rsidRPr="00C17D82">
              <w:rPr>
                <w:rFonts w:ascii="Arial" w:hAnsi="Arial" w:cs="Arial"/>
                <w:caps/>
                <w:szCs w:val="24"/>
              </w:rPr>
              <w:t>19.000</w:t>
            </w:r>
          </w:p>
        </w:tc>
        <w:tc>
          <w:tcPr>
            <w:tcW w:w="1194" w:type="dxa"/>
            <w:tcBorders>
              <w:top w:val="single" w:sz="4" w:space="0" w:color="auto"/>
              <w:bottom w:val="single" w:sz="4" w:space="0" w:color="auto"/>
            </w:tcBorders>
          </w:tcPr>
          <w:p w14:paraId="369A3448" w14:textId="77777777" w:rsidR="00C17D82" w:rsidRPr="00C17D82" w:rsidRDefault="00C17D82" w:rsidP="00B41966">
            <w:pPr>
              <w:jc w:val="center"/>
              <w:rPr>
                <w:rFonts w:ascii="Arial" w:hAnsi="Arial" w:cs="Arial"/>
                <w:caps/>
                <w:szCs w:val="24"/>
              </w:rPr>
            </w:pPr>
            <w:r w:rsidRPr="00C17D82">
              <w:rPr>
                <w:rFonts w:ascii="Arial" w:hAnsi="Arial" w:cs="Arial"/>
                <w:caps/>
                <w:szCs w:val="24"/>
              </w:rPr>
              <w:t>18.000</w:t>
            </w:r>
          </w:p>
        </w:tc>
        <w:tc>
          <w:tcPr>
            <w:tcW w:w="1193" w:type="dxa"/>
            <w:tcBorders>
              <w:top w:val="single" w:sz="4" w:space="0" w:color="auto"/>
              <w:bottom w:val="single" w:sz="4" w:space="0" w:color="auto"/>
            </w:tcBorders>
          </w:tcPr>
          <w:p w14:paraId="54D4909C" w14:textId="77777777" w:rsidR="00C17D82" w:rsidRPr="00C17D82" w:rsidRDefault="00C17D82" w:rsidP="00B41966">
            <w:pPr>
              <w:jc w:val="center"/>
              <w:rPr>
                <w:rFonts w:ascii="Arial" w:hAnsi="Arial" w:cs="Arial"/>
                <w:caps/>
                <w:szCs w:val="24"/>
              </w:rPr>
            </w:pPr>
            <w:r w:rsidRPr="00C17D82">
              <w:rPr>
                <w:rFonts w:ascii="Arial" w:hAnsi="Arial" w:cs="Arial"/>
                <w:caps/>
                <w:szCs w:val="24"/>
              </w:rPr>
              <w:t>23.000</w:t>
            </w:r>
          </w:p>
        </w:tc>
        <w:tc>
          <w:tcPr>
            <w:tcW w:w="1194" w:type="dxa"/>
            <w:tcBorders>
              <w:top w:val="single" w:sz="4" w:space="0" w:color="auto"/>
              <w:bottom w:val="single" w:sz="4" w:space="0" w:color="auto"/>
            </w:tcBorders>
          </w:tcPr>
          <w:p w14:paraId="79BCA46F" w14:textId="77777777" w:rsidR="00C17D82" w:rsidRPr="00C17D82" w:rsidRDefault="00C17D82" w:rsidP="00B41966">
            <w:pPr>
              <w:jc w:val="center"/>
              <w:rPr>
                <w:rFonts w:ascii="Arial" w:hAnsi="Arial" w:cs="Arial"/>
                <w:caps/>
                <w:szCs w:val="24"/>
              </w:rPr>
            </w:pPr>
            <w:r w:rsidRPr="00C17D82">
              <w:rPr>
                <w:rFonts w:ascii="Arial" w:hAnsi="Arial" w:cs="Arial"/>
                <w:caps/>
                <w:szCs w:val="24"/>
              </w:rPr>
              <w:t>49.000</w:t>
            </w:r>
          </w:p>
        </w:tc>
      </w:tr>
    </w:tbl>
    <w:p w14:paraId="0F0822E7" w14:textId="77777777" w:rsidR="00C17D82" w:rsidRPr="00C17D82" w:rsidRDefault="00C17D82" w:rsidP="00B41966">
      <w:pPr>
        <w:rPr>
          <w:rFonts w:ascii="Arial" w:hAnsi="Arial" w:cs="Arial"/>
          <w:szCs w:val="24"/>
        </w:rPr>
      </w:pPr>
    </w:p>
    <w:tbl>
      <w:tblPr>
        <w:tblStyle w:val="TableGrid0"/>
        <w:tblpPr w:vertAnchor="text" w:tblpX="34" w:tblpY="360"/>
        <w:tblOverlap w:val="never"/>
        <w:tblW w:w="9639" w:type="dxa"/>
        <w:tblInd w:w="0" w:type="dxa"/>
        <w:tblLook w:val="04A0" w:firstRow="1" w:lastRow="0" w:firstColumn="1" w:lastColumn="0" w:noHBand="0" w:noVBand="1"/>
      </w:tblPr>
      <w:tblGrid>
        <w:gridCol w:w="4820"/>
        <w:gridCol w:w="1204"/>
        <w:gridCol w:w="1205"/>
        <w:gridCol w:w="1205"/>
        <w:gridCol w:w="1205"/>
      </w:tblGrid>
      <w:tr w:rsidR="00C17D82" w:rsidRPr="00C17D82" w14:paraId="0495FF03" w14:textId="77777777" w:rsidTr="005A2968">
        <w:trPr>
          <w:trHeight w:val="412"/>
        </w:trPr>
        <w:tc>
          <w:tcPr>
            <w:tcW w:w="4820" w:type="dxa"/>
            <w:tcBorders>
              <w:top w:val="nil"/>
              <w:left w:val="nil"/>
              <w:bottom w:val="nil"/>
              <w:right w:val="nil"/>
            </w:tcBorders>
          </w:tcPr>
          <w:p w14:paraId="462FAE51" w14:textId="77777777" w:rsidR="00C17D82" w:rsidRPr="00C17D82" w:rsidRDefault="00C17D82" w:rsidP="00B41966">
            <w:pPr>
              <w:spacing w:line="259" w:lineRule="auto"/>
              <w:ind w:left="108"/>
              <w:rPr>
                <w:rFonts w:ascii="Arial" w:hAnsi="Arial" w:cs="Arial"/>
                <w:szCs w:val="24"/>
              </w:rPr>
            </w:pPr>
            <w:r w:rsidRPr="00C17D82">
              <w:rPr>
                <w:rFonts w:ascii="Arial" w:hAnsi="Arial" w:cs="Arial"/>
                <w:b/>
                <w:szCs w:val="24"/>
              </w:rPr>
              <w:t xml:space="preserve">4. Upper limit for fixed interest rate exposure </w:t>
            </w:r>
          </w:p>
        </w:tc>
        <w:tc>
          <w:tcPr>
            <w:tcW w:w="1204" w:type="dxa"/>
            <w:tcBorders>
              <w:top w:val="nil"/>
              <w:left w:val="nil"/>
              <w:bottom w:val="nil"/>
              <w:right w:val="nil"/>
            </w:tcBorders>
          </w:tcPr>
          <w:p w14:paraId="2E3F2E52" w14:textId="77777777" w:rsidR="00C17D82" w:rsidRPr="00C17D82" w:rsidRDefault="00C17D82" w:rsidP="001366E5">
            <w:pPr>
              <w:spacing w:line="259" w:lineRule="auto"/>
              <w:ind w:left="535"/>
              <w:rPr>
                <w:rFonts w:ascii="Arial" w:hAnsi="Arial" w:cs="Arial"/>
                <w:szCs w:val="24"/>
              </w:rPr>
            </w:pPr>
            <w:r w:rsidRPr="00C17D82">
              <w:rPr>
                <w:rFonts w:ascii="Arial" w:hAnsi="Arial" w:cs="Arial"/>
                <w:szCs w:val="24"/>
              </w:rPr>
              <w:t xml:space="preserve"> </w:t>
            </w:r>
          </w:p>
        </w:tc>
        <w:tc>
          <w:tcPr>
            <w:tcW w:w="1205" w:type="dxa"/>
            <w:tcBorders>
              <w:top w:val="nil"/>
              <w:left w:val="nil"/>
              <w:bottom w:val="nil"/>
              <w:right w:val="nil"/>
            </w:tcBorders>
          </w:tcPr>
          <w:p w14:paraId="48E0D1E9" w14:textId="77777777" w:rsidR="00C17D82" w:rsidRPr="00C17D82" w:rsidRDefault="00C17D82" w:rsidP="001366E5">
            <w:pPr>
              <w:spacing w:line="259" w:lineRule="auto"/>
              <w:ind w:left="485"/>
              <w:rPr>
                <w:rFonts w:ascii="Arial" w:hAnsi="Arial" w:cs="Arial"/>
                <w:szCs w:val="24"/>
              </w:rPr>
            </w:pPr>
            <w:r w:rsidRPr="00C17D82">
              <w:rPr>
                <w:rFonts w:ascii="Arial" w:hAnsi="Arial" w:cs="Arial"/>
                <w:szCs w:val="24"/>
              </w:rPr>
              <w:t xml:space="preserve"> </w:t>
            </w:r>
          </w:p>
        </w:tc>
        <w:tc>
          <w:tcPr>
            <w:tcW w:w="1205" w:type="dxa"/>
            <w:tcBorders>
              <w:top w:val="nil"/>
              <w:left w:val="nil"/>
              <w:bottom w:val="nil"/>
              <w:right w:val="nil"/>
            </w:tcBorders>
          </w:tcPr>
          <w:p w14:paraId="73E1B47A" w14:textId="77777777" w:rsidR="00C17D82" w:rsidRPr="00C17D82" w:rsidRDefault="00C17D82" w:rsidP="001366E5">
            <w:pPr>
              <w:spacing w:line="259" w:lineRule="auto"/>
              <w:ind w:left="415"/>
              <w:rPr>
                <w:rFonts w:ascii="Arial" w:hAnsi="Arial" w:cs="Arial"/>
                <w:szCs w:val="24"/>
              </w:rPr>
            </w:pPr>
            <w:r w:rsidRPr="00C17D82">
              <w:rPr>
                <w:rFonts w:ascii="Arial" w:hAnsi="Arial" w:cs="Arial"/>
                <w:szCs w:val="24"/>
              </w:rPr>
              <w:t xml:space="preserve"> </w:t>
            </w:r>
          </w:p>
        </w:tc>
        <w:tc>
          <w:tcPr>
            <w:tcW w:w="1205" w:type="dxa"/>
            <w:tcBorders>
              <w:top w:val="nil"/>
              <w:left w:val="nil"/>
              <w:bottom w:val="nil"/>
              <w:right w:val="nil"/>
            </w:tcBorders>
          </w:tcPr>
          <w:p w14:paraId="34D5AE8C" w14:textId="77777777" w:rsidR="00C17D82" w:rsidRPr="00C17D82" w:rsidRDefault="00C17D82" w:rsidP="001366E5">
            <w:pPr>
              <w:spacing w:line="259" w:lineRule="auto"/>
              <w:rPr>
                <w:rFonts w:ascii="Arial" w:hAnsi="Arial" w:cs="Arial"/>
                <w:szCs w:val="24"/>
              </w:rPr>
            </w:pPr>
            <w:r w:rsidRPr="00C17D82">
              <w:rPr>
                <w:rFonts w:ascii="Arial" w:hAnsi="Arial" w:cs="Arial"/>
                <w:szCs w:val="24"/>
              </w:rPr>
              <w:t xml:space="preserve"> </w:t>
            </w:r>
          </w:p>
        </w:tc>
      </w:tr>
      <w:tr w:rsidR="00C17D82" w:rsidRPr="00C17D82" w14:paraId="39856BA2" w14:textId="77777777" w:rsidTr="005A2968">
        <w:trPr>
          <w:trHeight w:val="349"/>
        </w:trPr>
        <w:tc>
          <w:tcPr>
            <w:tcW w:w="4820" w:type="dxa"/>
            <w:tcBorders>
              <w:top w:val="nil"/>
              <w:left w:val="nil"/>
              <w:bottom w:val="nil"/>
              <w:right w:val="nil"/>
            </w:tcBorders>
          </w:tcPr>
          <w:p w14:paraId="0964DAE1"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Upper limit of borrowing at fixed rates </w:t>
            </w:r>
          </w:p>
        </w:tc>
        <w:tc>
          <w:tcPr>
            <w:tcW w:w="1204" w:type="dxa"/>
            <w:tcBorders>
              <w:top w:val="nil"/>
              <w:left w:val="nil"/>
              <w:bottom w:val="nil"/>
              <w:right w:val="nil"/>
            </w:tcBorders>
          </w:tcPr>
          <w:p w14:paraId="7D2D9378" w14:textId="77777777" w:rsidR="00C17D82" w:rsidRPr="00C17D82" w:rsidRDefault="00C17D82" w:rsidP="001366E5">
            <w:pPr>
              <w:spacing w:line="259" w:lineRule="auto"/>
              <w:ind w:left="197"/>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587F6977"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2AFDD246"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66788B50"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r>
      <w:tr w:rsidR="00C17D82" w:rsidRPr="00C17D82" w14:paraId="1EB87C40" w14:textId="77777777" w:rsidTr="005A2968">
        <w:trPr>
          <w:trHeight w:val="410"/>
        </w:trPr>
        <w:tc>
          <w:tcPr>
            <w:tcW w:w="4820" w:type="dxa"/>
            <w:tcBorders>
              <w:top w:val="nil"/>
              <w:left w:val="nil"/>
              <w:bottom w:val="nil"/>
              <w:right w:val="nil"/>
            </w:tcBorders>
          </w:tcPr>
          <w:p w14:paraId="4E7EEB16"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Upper limit of investments at fixed rates </w:t>
            </w:r>
          </w:p>
        </w:tc>
        <w:tc>
          <w:tcPr>
            <w:tcW w:w="1204" w:type="dxa"/>
            <w:tcBorders>
              <w:top w:val="nil"/>
              <w:left w:val="nil"/>
              <w:bottom w:val="nil"/>
              <w:right w:val="nil"/>
            </w:tcBorders>
          </w:tcPr>
          <w:p w14:paraId="760D7E89" w14:textId="77777777" w:rsidR="00C17D82" w:rsidRPr="00C17D82" w:rsidRDefault="00C17D82" w:rsidP="001366E5">
            <w:pPr>
              <w:spacing w:line="259" w:lineRule="auto"/>
              <w:ind w:left="197"/>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7EBC3BE9"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16535A73"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16C1AA8C"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r>
      <w:tr w:rsidR="00C17D82" w:rsidRPr="00C17D82" w14:paraId="5DAD3934" w14:textId="77777777" w:rsidTr="005A2968">
        <w:trPr>
          <w:trHeight w:val="412"/>
        </w:trPr>
        <w:tc>
          <w:tcPr>
            <w:tcW w:w="4820" w:type="dxa"/>
            <w:tcBorders>
              <w:top w:val="nil"/>
              <w:left w:val="nil"/>
              <w:bottom w:val="nil"/>
              <w:right w:val="nil"/>
            </w:tcBorders>
          </w:tcPr>
          <w:p w14:paraId="2683705A" w14:textId="77777777" w:rsidR="00C17D82" w:rsidRPr="00C17D82" w:rsidRDefault="00C17D82" w:rsidP="00B41966">
            <w:pPr>
              <w:spacing w:line="259" w:lineRule="auto"/>
              <w:ind w:left="108"/>
              <w:rPr>
                <w:rFonts w:ascii="Arial" w:hAnsi="Arial" w:cs="Arial"/>
                <w:szCs w:val="24"/>
              </w:rPr>
            </w:pPr>
            <w:r w:rsidRPr="00C17D82">
              <w:rPr>
                <w:rFonts w:ascii="Arial" w:hAnsi="Arial" w:cs="Arial"/>
                <w:b/>
                <w:szCs w:val="24"/>
              </w:rPr>
              <w:t xml:space="preserve">5. Upper limit for variable rate exposure </w:t>
            </w:r>
          </w:p>
        </w:tc>
        <w:tc>
          <w:tcPr>
            <w:tcW w:w="1204" w:type="dxa"/>
            <w:tcBorders>
              <w:top w:val="nil"/>
              <w:left w:val="nil"/>
              <w:bottom w:val="nil"/>
              <w:right w:val="nil"/>
            </w:tcBorders>
          </w:tcPr>
          <w:p w14:paraId="1B7A0304" w14:textId="77777777" w:rsidR="00C17D82" w:rsidRPr="00C17D82" w:rsidRDefault="00C17D82" w:rsidP="001366E5">
            <w:pPr>
              <w:spacing w:line="259" w:lineRule="auto"/>
              <w:ind w:left="535"/>
              <w:jc w:val="center"/>
              <w:rPr>
                <w:rFonts w:ascii="Arial" w:hAnsi="Arial" w:cs="Arial"/>
                <w:szCs w:val="24"/>
              </w:rPr>
            </w:pPr>
          </w:p>
        </w:tc>
        <w:tc>
          <w:tcPr>
            <w:tcW w:w="1205" w:type="dxa"/>
            <w:tcBorders>
              <w:top w:val="nil"/>
              <w:left w:val="nil"/>
              <w:bottom w:val="nil"/>
              <w:right w:val="nil"/>
            </w:tcBorders>
          </w:tcPr>
          <w:p w14:paraId="32D26D85" w14:textId="77777777" w:rsidR="00C17D82" w:rsidRPr="00C17D82" w:rsidRDefault="00C17D82" w:rsidP="001366E5">
            <w:pPr>
              <w:spacing w:line="259" w:lineRule="auto"/>
              <w:ind w:left="485"/>
              <w:jc w:val="center"/>
              <w:rPr>
                <w:rFonts w:ascii="Arial" w:hAnsi="Arial" w:cs="Arial"/>
                <w:szCs w:val="24"/>
              </w:rPr>
            </w:pPr>
          </w:p>
        </w:tc>
        <w:tc>
          <w:tcPr>
            <w:tcW w:w="1205" w:type="dxa"/>
            <w:tcBorders>
              <w:top w:val="nil"/>
              <w:left w:val="nil"/>
              <w:bottom w:val="nil"/>
              <w:right w:val="nil"/>
            </w:tcBorders>
          </w:tcPr>
          <w:p w14:paraId="4DC06294" w14:textId="77777777" w:rsidR="00C17D82" w:rsidRPr="00C17D82" w:rsidRDefault="00C17D82" w:rsidP="001366E5">
            <w:pPr>
              <w:spacing w:line="259" w:lineRule="auto"/>
              <w:ind w:left="415"/>
              <w:jc w:val="center"/>
              <w:rPr>
                <w:rFonts w:ascii="Arial" w:hAnsi="Arial" w:cs="Arial"/>
                <w:szCs w:val="24"/>
              </w:rPr>
            </w:pPr>
          </w:p>
        </w:tc>
        <w:tc>
          <w:tcPr>
            <w:tcW w:w="1205" w:type="dxa"/>
            <w:tcBorders>
              <w:top w:val="nil"/>
              <w:left w:val="nil"/>
              <w:bottom w:val="nil"/>
              <w:right w:val="nil"/>
            </w:tcBorders>
          </w:tcPr>
          <w:p w14:paraId="6892AABE" w14:textId="77777777" w:rsidR="00C17D82" w:rsidRPr="00C17D82" w:rsidRDefault="00C17D82" w:rsidP="001366E5">
            <w:pPr>
              <w:spacing w:line="259" w:lineRule="auto"/>
              <w:jc w:val="center"/>
              <w:rPr>
                <w:rFonts w:ascii="Arial" w:hAnsi="Arial" w:cs="Arial"/>
                <w:szCs w:val="24"/>
              </w:rPr>
            </w:pPr>
          </w:p>
        </w:tc>
      </w:tr>
      <w:tr w:rsidR="00C17D82" w:rsidRPr="00C17D82" w14:paraId="021516A2" w14:textId="77777777" w:rsidTr="005A2968">
        <w:trPr>
          <w:trHeight w:val="348"/>
        </w:trPr>
        <w:tc>
          <w:tcPr>
            <w:tcW w:w="4820" w:type="dxa"/>
            <w:tcBorders>
              <w:top w:val="nil"/>
              <w:left w:val="nil"/>
              <w:bottom w:val="nil"/>
              <w:right w:val="nil"/>
            </w:tcBorders>
          </w:tcPr>
          <w:p w14:paraId="5978553C"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Upper limit of borrowing at variable rates </w:t>
            </w:r>
          </w:p>
        </w:tc>
        <w:tc>
          <w:tcPr>
            <w:tcW w:w="1204" w:type="dxa"/>
            <w:tcBorders>
              <w:top w:val="nil"/>
              <w:left w:val="nil"/>
              <w:bottom w:val="nil"/>
              <w:right w:val="nil"/>
            </w:tcBorders>
          </w:tcPr>
          <w:p w14:paraId="786AB45D" w14:textId="77777777" w:rsidR="00C17D82" w:rsidRPr="00C17D82" w:rsidRDefault="00C17D82" w:rsidP="001366E5">
            <w:pPr>
              <w:spacing w:line="259" w:lineRule="auto"/>
              <w:ind w:left="252"/>
              <w:jc w:val="center"/>
              <w:rPr>
                <w:rFonts w:ascii="Arial" w:hAnsi="Arial" w:cs="Arial"/>
                <w:szCs w:val="24"/>
              </w:rPr>
            </w:pPr>
            <w:r w:rsidRPr="00C17D82">
              <w:rPr>
                <w:rFonts w:ascii="Arial" w:hAnsi="Arial" w:cs="Arial"/>
                <w:szCs w:val="24"/>
              </w:rPr>
              <w:t>50%</w:t>
            </w:r>
          </w:p>
        </w:tc>
        <w:tc>
          <w:tcPr>
            <w:tcW w:w="1205" w:type="dxa"/>
            <w:tcBorders>
              <w:top w:val="nil"/>
              <w:left w:val="nil"/>
              <w:bottom w:val="nil"/>
              <w:right w:val="nil"/>
            </w:tcBorders>
          </w:tcPr>
          <w:p w14:paraId="30963E42" w14:textId="77777777" w:rsidR="00C17D82" w:rsidRPr="00C17D82" w:rsidRDefault="00C17D82" w:rsidP="001366E5">
            <w:pPr>
              <w:spacing w:line="259" w:lineRule="auto"/>
              <w:ind w:left="106"/>
              <w:jc w:val="center"/>
              <w:rPr>
                <w:rFonts w:ascii="Arial" w:hAnsi="Arial" w:cs="Arial"/>
                <w:szCs w:val="24"/>
              </w:rPr>
            </w:pPr>
            <w:r w:rsidRPr="00C17D82">
              <w:rPr>
                <w:rFonts w:ascii="Arial" w:hAnsi="Arial" w:cs="Arial"/>
                <w:szCs w:val="24"/>
              </w:rPr>
              <w:t>50%</w:t>
            </w:r>
          </w:p>
        </w:tc>
        <w:tc>
          <w:tcPr>
            <w:tcW w:w="1205" w:type="dxa"/>
            <w:tcBorders>
              <w:top w:val="nil"/>
              <w:left w:val="nil"/>
              <w:bottom w:val="nil"/>
              <w:right w:val="nil"/>
            </w:tcBorders>
          </w:tcPr>
          <w:p w14:paraId="0EDF482A" w14:textId="77777777" w:rsidR="00C17D82" w:rsidRPr="00C17D82" w:rsidRDefault="00C17D82" w:rsidP="001366E5">
            <w:pPr>
              <w:spacing w:line="259" w:lineRule="auto"/>
              <w:ind w:left="106"/>
              <w:jc w:val="center"/>
              <w:rPr>
                <w:rFonts w:ascii="Arial" w:hAnsi="Arial" w:cs="Arial"/>
                <w:szCs w:val="24"/>
              </w:rPr>
            </w:pPr>
            <w:r w:rsidRPr="00C17D82">
              <w:rPr>
                <w:rFonts w:ascii="Arial" w:hAnsi="Arial" w:cs="Arial"/>
                <w:szCs w:val="24"/>
              </w:rPr>
              <w:t>50%</w:t>
            </w:r>
          </w:p>
        </w:tc>
        <w:tc>
          <w:tcPr>
            <w:tcW w:w="1205" w:type="dxa"/>
            <w:tcBorders>
              <w:top w:val="nil"/>
              <w:left w:val="nil"/>
              <w:bottom w:val="nil"/>
              <w:right w:val="nil"/>
            </w:tcBorders>
          </w:tcPr>
          <w:p w14:paraId="26E03319" w14:textId="77777777" w:rsidR="00C17D82" w:rsidRPr="00C17D82" w:rsidRDefault="00C17D82" w:rsidP="001366E5">
            <w:pPr>
              <w:spacing w:line="259" w:lineRule="auto"/>
              <w:ind w:left="106"/>
              <w:jc w:val="center"/>
              <w:rPr>
                <w:rFonts w:ascii="Arial" w:hAnsi="Arial" w:cs="Arial"/>
                <w:szCs w:val="24"/>
              </w:rPr>
            </w:pPr>
            <w:r w:rsidRPr="00C17D82">
              <w:rPr>
                <w:rFonts w:ascii="Arial" w:hAnsi="Arial" w:cs="Arial"/>
                <w:szCs w:val="24"/>
              </w:rPr>
              <w:t>50%</w:t>
            </w:r>
          </w:p>
        </w:tc>
      </w:tr>
      <w:tr w:rsidR="00C17D82" w:rsidRPr="00C17D82" w14:paraId="05E60165" w14:textId="77777777" w:rsidTr="005A2968">
        <w:trPr>
          <w:trHeight w:val="760"/>
        </w:trPr>
        <w:tc>
          <w:tcPr>
            <w:tcW w:w="4820" w:type="dxa"/>
            <w:tcBorders>
              <w:top w:val="nil"/>
              <w:left w:val="nil"/>
              <w:bottom w:val="nil"/>
              <w:right w:val="nil"/>
            </w:tcBorders>
          </w:tcPr>
          <w:p w14:paraId="7E120270"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Upper limit of investments at variable rates</w:t>
            </w:r>
          </w:p>
        </w:tc>
        <w:tc>
          <w:tcPr>
            <w:tcW w:w="1204" w:type="dxa"/>
            <w:tcBorders>
              <w:top w:val="nil"/>
              <w:left w:val="nil"/>
              <w:bottom w:val="nil"/>
              <w:right w:val="nil"/>
            </w:tcBorders>
          </w:tcPr>
          <w:p w14:paraId="13F48EBC" w14:textId="77777777" w:rsidR="00C17D82" w:rsidRPr="00C17D82" w:rsidRDefault="00C17D82" w:rsidP="001366E5">
            <w:pPr>
              <w:spacing w:line="259" w:lineRule="auto"/>
              <w:ind w:left="197"/>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28147912"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347578EA"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c>
          <w:tcPr>
            <w:tcW w:w="1205" w:type="dxa"/>
            <w:tcBorders>
              <w:top w:val="nil"/>
              <w:left w:val="nil"/>
              <w:bottom w:val="nil"/>
              <w:right w:val="nil"/>
            </w:tcBorders>
          </w:tcPr>
          <w:p w14:paraId="19AC6687" w14:textId="77777777" w:rsidR="00C17D82" w:rsidRPr="00C17D82" w:rsidRDefault="00C17D82" w:rsidP="001366E5">
            <w:pPr>
              <w:spacing w:line="259" w:lineRule="auto"/>
              <w:ind w:left="50"/>
              <w:jc w:val="center"/>
              <w:rPr>
                <w:rFonts w:ascii="Arial" w:hAnsi="Arial" w:cs="Arial"/>
                <w:szCs w:val="24"/>
              </w:rPr>
            </w:pPr>
            <w:r w:rsidRPr="00C17D82">
              <w:rPr>
                <w:rFonts w:ascii="Arial" w:hAnsi="Arial" w:cs="Arial"/>
                <w:szCs w:val="24"/>
              </w:rPr>
              <w:t>100%</w:t>
            </w:r>
          </w:p>
        </w:tc>
      </w:tr>
      <w:tr w:rsidR="00C17D82" w:rsidRPr="00C17D82" w14:paraId="09D28B5A" w14:textId="77777777" w:rsidTr="005A2968">
        <w:trPr>
          <w:trHeight w:val="80"/>
        </w:trPr>
        <w:tc>
          <w:tcPr>
            <w:tcW w:w="4820" w:type="dxa"/>
            <w:tcBorders>
              <w:top w:val="nil"/>
              <w:left w:val="nil"/>
              <w:bottom w:val="nil"/>
              <w:right w:val="nil"/>
            </w:tcBorders>
          </w:tcPr>
          <w:p w14:paraId="63D02395" w14:textId="77777777" w:rsidR="00C17D82" w:rsidRPr="00C17D82" w:rsidRDefault="00C17D82" w:rsidP="00B41966">
            <w:pPr>
              <w:spacing w:line="259" w:lineRule="auto"/>
              <w:ind w:right="216"/>
              <w:rPr>
                <w:rFonts w:ascii="Arial" w:hAnsi="Arial" w:cs="Arial"/>
                <w:szCs w:val="24"/>
              </w:rPr>
            </w:pPr>
          </w:p>
        </w:tc>
        <w:tc>
          <w:tcPr>
            <w:tcW w:w="1204" w:type="dxa"/>
            <w:tcBorders>
              <w:top w:val="nil"/>
              <w:left w:val="nil"/>
              <w:bottom w:val="nil"/>
              <w:right w:val="nil"/>
            </w:tcBorders>
          </w:tcPr>
          <w:p w14:paraId="42F1E531" w14:textId="77777777" w:rsidR="00C17D82" w:rsidRPr="00C17D82" w:rsidRDefault="00C17D82" w:rsidP="001366E5">
            <w:pPr>
              <w:spacing w:line="259" w:lineRule="auto"/>
              <w:ind w:left="451"/>
              <w:jc w:val="center"/>
              <w:rPr>
                <w:rFonts w:ascii="Arial" w:hAnsi="Arial" w:cs="Arial"/>
                <w:szCs w:val="24"/>
              </w:rPr>
            </w:pPr>
          </w:p>
        </w:tc>
        <w:tc>
          <w:tcPr>
            <w:tcW w:w="1205" w:type="dxa"/>
            <w:tcBorders>
              <w:top w:val="nil"/>
              <w:left w:val="nil"/>
              <w:bottom w:val="nil"/>
              <w:right w:val="nil"/>
            </w:tcBorders>
          </w:tcPr>
          <w:p w14:paraId="54F26F60" w14:textId="77777777" w:rsidR="00C17D82" w:rsidRPr="00C17D82" w:rsidRDefault="00C17D82" w:rsidP="001366E5">
            <w:pPr>
              <w:spacing w:line="259" w:lineRule="auto"/>
              <w:ind w:left="305"/>
              <w:jc w:val="center"/>
              <w:rPr>
                <w:rFonts w:ascii="Arial" w:hAnsi="Arial" w:cs="Arial"/>
                <w:szCs w:val="24"/>
              </w:rPr>
            </w:pPr>
          </w:p>
        </w:tc>
        <w:tc>
          <w:tcPr>
            <w:tcW w:w="1205" w:type="dxa"/>
            <w:tcBorders>
              <w:top w:val="nil"/>
              <w:left w:val="nil"/>
              <w:bottom w:val="nil"/>
              <w:right w:val="nil"/>
            </w:tcBorders>
          </w:tcPr>
          <w:p w14:paraId="73A7A943" w14:textId="77777777" w:rsidR="00C17D82" w:rsidRPr="00C17D82" w:rsidRDefault="00C17D82" w:rsidP="001366E5">
            <w:pPr>
              <w:spacing w:line="259" w:lineRule="auto"/>
              <w:ind w:left="305"/>
              <w:jc w:val="center"/>
              <w:rPr>
                <w:rFonts w:ascii="Arial" w:hAnsi="Arial" w:cs="Arial"/>
                <w:szCs w:val="24"/>
              </w:rPr>
            </w:pPr>
          </w:p>
        </w:tc>
        <w:tc>
          <w:tcPr>
            <w:tcW w:w="1205" w:type="dxa"/>
            <w:tcBorders>
              <w:top w:val="nil"/>
              <w:left w:val="nil"/>
              <w:bottom w:val="nil"/>
              <w:right w:val="nil"/>
            </w:tcBorders>
          </w:tcPr>
          <w:p w14:paraId="0215650E" w14:textId="77777777" w:rsidR="00C17D82" w:rsidRPr="00C17D82" w:rsidRDefault="00C17D82" w:rsidP="001366E5">
            <w:pPr>
              <w:spacing w:line="259" w:lineRule="auto"/>
              <w:ind w:right="91"/>
              <w:jc w:val="center"/>
              <w:rPr>
                <w:rFonts w:ascii="Arial" w:hAnsi="Arial" w:cs="Arial"/>
                <w:szCs w:val="24"/>
              </w:rPr>
            </w:pPr>
          </w:p>
        </w:tc>
      </w:tr>
      <w:tr w:rsidR="00C17D82" w:rsidRPr="00C17D82" w14:paraId="7C9305F4" w14:textId="77777777" w:rsidTr="005A2968">
        <w:trPr>
          <w:trHeight w:val="581"/>
        </w:trPr>
        <w:tc>
          <w:tcPr>
            <w:tcW w:w="4820" w:type="dxa"/>
            <w:tcBorders>
              <w:top w:val="nil"/>
              <w:left w:val="nil"/>
              <w:bottom w:val="nil"/>
              <w:right w:val="nil"/>
            </w:tcBorders>
          </w:tcPr>
          <w:p w14:paraId="6D38B730" w14:textId="77777777" w:rsidR="00C17D82" w:rsidRPr="00C17D82" w:rsidRDefault="00C17D82" w:rsidP="00B41966">
            <w:pPr>
              <w:spacing w:line="259" w:lineRule="auto"/>
              <w:ind w:left="451" w:hanging="343"/>
              <w:rPr>
                <w:rFonts w:ascii="Arial" w:hAnsi="Arial" w:cs="Arial"/>
                <w:b/>
                <w:szCs w:val="24"/>
              </w:rPr>
            </w:pPr>
            <w:r w:rsidRPr="00C17D82">
              <w:rPr>
                <w:rFonts w:ascii="Arial" w:hAnsi="Arial" w:cs="Arial"/>
                <w:b/>
                <w:szCs w:val="24"/>
              </w:rPr>
              <w:t xml:space="preserve">6. Upper limit for total principal sums invested for over 364 days (per maturity date) </w:t>
            </w:r>
          </w:p>
          <w:p w14:paraId="33D8A5D0" w14:textId="77777777" w:rsidR="00C17D82" w:rsidRPr="00C17D82" w:rsidRDefault="00C17D82" w:rsidP="00B41966">
            <w:pPr>
              <w:spacing w:line="259" w:lineRule="auto"/>
              <w:ind w:left="451" w:hanging="343"/>
              <w:rPr>
                <w:rFonts w:ascii="Arial" w:hAnsi="Arial" w:cs="Arial"/>
                <w:szCs w:val="24"/>
              </w:rPr>
            </w:pPr>
          </w:p>
        </w:tc>
        <w:tc>
          <w:tcPr>
            <w:tcW w:w="1204" w:type="dxa"/>
            <w:tcBorders>
              <w:top w:val="nil"/>
              <w:left w:val="nil"/>
              <w:bottom w:val="nil"/>
              <w:right w:val="nil"/>
            </w:tcBorders>
          </w:tcPr>
          <w:p w14:paraId="195DF129" w14:textId="77777777" w:rsidR="00C17D82" w:rsidRPr="00C17D82" w:rsidRDefault="00C17D82" w:rsidP="001366E5">
            <w:pPr>
              <w:spacing w:line="259" w:lineRule="auto"/>
              <w:ind w:left="146"/>
              <w:jc w:val="center"/>
              <w:rPr>
                <w:rFonts w:ascii="Arial" w:hAnsi="Arial" w:cs="Arial"/>
                <w:szCs w:val="24"/>
              </w:rPr>
            </w:pPr>
            <w:r w:rsidRPr="00C17D82">
              <w:rPr>
                <w:rFonts w:ascii="Arial" w:hAnsi="Arial" w:cs="Arial"/>
                <w:szCs w:val="24"/>
              </w:rPr>
              <w:t>40.000</w:t>
            </w:r>
          </w:p>
        </w:tc>
        <w:tc>
          <w:tcPr>
            <w:tcW w:w="1205" w:type="dxa"/>
            <w:tcBorders>
              <w:top w:val="nil"/>
              <w:left w:val="nil"/>
              <w:bottom w:val="nil"/>
              <w:right w:val="nil"/>
            </w:tcBorders>
          </w:tcPr>
          <w:p w14:paraId="43F96825"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40.000</w:t>
            </w:r>
          </w:p>
        </w:tc>
        <w:tc>
          <w:tcPr>
            <w:tcW w:w="1205" w:type="dxa"/>
            <w:tcBorders>
              <w:top w:val="nil"/>
              <w:left w:val="nil"/>
              <w:bottom w:val="nil"/>
              <w:right w:val="nil"/>
            </w:tcBorders>
          </w:tcPr>
          <w:p w14:paraId="521D1A66"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40.000</w:t>
            </w:r>
          </w:p>
        </w:tc>
        <w:tc>
          <w:tcPr>
            <w:tcW w:w="1205" w:type="dxa"/>
            <w:tcBorders>
              <w:top w:val="nil"/>
              <w:left w:val="nil"/>
              <w:bottom w:val="nil"/>
              <w:right w:val="nil"/>
            </w:tcBorders>
          </w:tcPr>
          <w:p w14:paraId="418A956B" w14:textId="77777777" w:rsidR="00C17D82" w:rsidRPr="00C17D82" w:rsidRDefault="00C17D82" w:rsidP="001366E5">
            <w:pPr>
              <w:spacing w:line="259" w:lineRule="auto"/>
              <w:jc w:val="center"/>
              <w:rPr>
                <w:rFonts w:ascii="Arial" w:hAnsi="Arial" w:cs="Arial"/>
                <w:szCs w:val="24"/>
              </w:rPr>
            </w:pPr>
            <w:r w:rsidRPr="00C17D82">
              <w:rPr>
                <w:rFonts w:ascii="Arial" w:hAnsi="Arial" w:cs="Arial"/>
                <w:szCs w:val="24"/>
              </w:rPr>
              <w:t>40.000</w:t>
            </w:r>
          </w:p>
        </w:tc>
      </w:tr>
      <w:tr w:rsidR="00C17D82" w:rsidRPr="00C17D82" w14:paraId="2371CD81" w14:textId="77777777" w:rsidTr="005A2968">
        <w:trPr>
          <w:trHeight w:val="582"/>
        </w:trPr>
        <w:tc>
          <w:tcPr>
            <w:tcW w:w="4820" w:type="dxa"/>
            <w:tcBorders>
              <w:top w:val="nil"/>
              <w:left w:val="nil"/>
              <w:bottom w:val="nil"/>
              <w:right w:val="nil"/>
            </w:tcBorders>
          </w:tcPr>
          <w:p w14:paraId="2F586AE9" w14:textId="77777777" w:rsidR="00C17D82" w:rsidRPr="00C17D82" w:rsidRDefault="00C17D82" w:rsidP="00B41966">
            <w:pPr>
              <w:spacing w:line="259" w:lineRule="auto"/>
              <w:ind w:left="108"/>
              <w:rPr>
                <w:rFonts w:ascii="Arial" w:hAnsi="Arial" w:cs="Arial"/>
                <w:szCs w:val="24"/>
              </w:rPr>
            </w:pPr>
            <w:r w:rsidRPr="00C17D82">
              <w:rPr>
                <w:rFonts w:ascii="Arial" w:hAnsi="Arial" w:cs="Arial"/>
                <w:b/>
                <w:szCs w:val="24"/>
              </w:rPr>
              <w:t xml:space="preserve">7. Maturity structure of Debt </w:t>
            </w:r>
          </w:p>
        </w:tc>
        <w:tc>
          <w:tcPr>
            <w:tcW w:w="2409" w:type="dxa"/>
            <w:gridSpan w:val="2"/>
            <w:tcBorders>
              <w:top w:val="nil"/>
              <w:left w:val="nil"/>
              <w:bottom w:val="nil"/>
              <w:right w:val="nil"/>
            </w:tcBorders>
          </w:tcPr>
          <w:p w14:paraId="6E0A3D7D" w14:textId="77777777" w:rsidR="00C17D82" w:rsidRPr="00C17D82" w:rsidRDefault="00C17D82" w:rsidP="001366E5">
            <w:pPr>
              <w:spacing w:line="259" w:lineRule="auto"/>
              <w:ind w:left="859" w:right="473" w:hanging="468"/>
              <w:rPr>
                <w:rFonts w:ascii="Arial" w:hAnsi="Arial" w:cs="Arial"/>
                <w:szCs w:val="24"/>
              </w:rPr>
            </w:pPr>
            <w:r w:rsidRPr="00C17D82">
              <w:rPr>
                <w:rFonts w:ascii="Arial" w:hAnsi="Arial" w:cs="Arial"/>
                <w:b/>
                <w:szCs w:val="24"/>
              </w:rPr>
              <w:t>Upper Limit %</w:t>
            </w:r>
          </w:p>
        </w:tc>
        <w:tc>
          <w:tcPr>
            <w:tcW w:w="2410" w:type="dxa"/>
            <w:gridSpan w:val="2"/>
            <w:tcBorders>
              <w:top w:val="nil"/>
              <w:left w:val="nil"/>
              <w:bottom w:val="nil"/>
              <w:right w:val="nil"/>
            </w:tcBorders>
          </w:tcPr>
          <w:p w14:paraId="19E5E43E" w14:textId="77777777" w:rsidR="00C17D82" w:rsidRPr="00C17D82" w:rsidRDefault="00C17D82" w:rsidP="001366E5">
            <w:pPr>
              <w:spacing w:line="259" w:lineRule="auto"/>
              <w:ind w:left="780" w:right="157" w:hanging="475"/>
              <w:jc w:val="center"/>
              <w:rPr>
                <w:rFonts w:ascii="Arial" w:hAnsi="Arial" w:cs="Arial"/>
                <w:szCs w:val="24"/>
              </w:rPr>
            </w:pPr>
            <w:r w:rsidRPr="00C17D82">
              <w:rPr>
                <w:rFonts w:ascii="Arial" w:hAnsi="Arial" w:cs="Arial"/>
                <w:b/>
                <w:szCs w:val="24"/>
              </w:rPr>
              <w:t>Lower Limit %</w:t>
            </w:r>
          </w:p>
        </w:tc>
      </w:tr>
      <w:tr w:rsidR="00C17D82" w:rsidRPr="00C17D82" w14:paraId="0E0C4690" w14:textId="77777777" w:rsidTr="005A2968">
        <w:trPr>
          <w:trHeight w:val="349"/>
        </w:trPr>
        <w:tc>
          <w:tcPr>
            <w:tcW w:w="4820" w:type="dxa"/>
            <w:tcBorders>
              <w:top w:val="nil"/>
              <w:left w:val="nil"/>
              <w:bottom w:val="nil"/>
              <w:right w:val="nil"/>
            </w:tcBorders>
          </w:tcPr>
          <w:p w14:paraId="5FE5A36E"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Under 12 months </w:t>
            </w:r>
          </w:p>
        </w:tc>
        <w:tc>
          <w:tcPr>
            <w:tcW w:w="2409" w:type="dxa"/>
            <w:gridSpan w:val="2"/>
            <w:tcBorders>
              <w:top w:val="nil"/>
              <w:left w:val="nil"/>
              <w:bottom w:val="nil"/>
              <w:right w:val="nil"/>
            </w:tcBorders>
          </w:tcPr>
          <w:p w14:paraId="07BB9D70" w14:textId="77777777" w:rsidR="00C17D82" w:rsidRPr="00C17D82" w:rsidRDefault="00C17D82" w:rsidP="001366E5">
            <w:pPr>
              <w:spacing w:line="259" w:lineRule="auto"/>
              <w:ind w:left="835"/>
              <w:rPr>
                <w:rFonts w:ascii="Arial" w:hAnsi="Arial" w:cs="Arial"/>
                <w:szCs w:val="24"/>
              </w:rPr>
            </w:pPr>
            <w:r w:rsidRPr="00C17D82">
              <w:rPr>
                <w:rFonts w:ascii="Arial" w:hAnsi="Arial" w:cs="Arial"/>
                <w:szCs w:val="24"/>
              </w:rPr>
              <w:t>100</w:t>
            </w:r>
          </w:p>
        </w:tc>
        <w:tc>
          <w:tcPr>
            <w:tcW w:w="2410" w:type="dxa"/>
            <w:gridSpan w:val="2"/>
            <w:tcBorders>
              <w:top w:val="nil"/>
              <w:left w:val="nil"/>
              <w:bottom w:val="nil"/>
              <w:right w:val="nil"/>
            </w:tcBorders>
          </w:tcPr>
          <w:p w14:paraId="4393896F" w14:textId="77777777" w:rsidR="00C17D82" w:rsidRPr="00C17D82" w:rsidRDefault="00C17D82" w:rsidP="001366E5">
            <w:pPr>
              <w:spacing w:line="259" w:lineRule="auto"/>
              <w:ind w:right="85"/>
              <w:jc w:val="center"/>
              <w:rPr>
                <w:rFonts w:ascii="Arial" w:hAnsi="Arial" w:cs="Arial"/>
                <w:szCs w:val="24"/>
              </w:rPr>
            </w:pPr>
            <w:r w:rsidRPr="00C17D82">
              <w:rPr>
                <w:rFonts w:ascii="Arial" w:hAnsi="Arial" w:cs="Arial"/>
                <w:szCs w:val="24"/>
              </w:rPr>
              <w:t>-</w:t>
            </w:r>
          </w:p>
        </w:tc>
      </w:tr>
      <w:tr w:rsidR="00C17D82" w:rsidRPr="00C17D82" w14:paraId="0E09FA8F" w14:textId="77777777" w:rsidTr="005A2968">
        <w:trPr>
          <w:trHeight w:val="349"/>
        </w:trPr>
        <w:tc>
          <w:tcPr>
            <w:tcW w:w="4820" w:type="dxa"/>
            <w:tcBorders>
              <w:top w:val="nil"/>
              <w:left w:val="nil"/>
              <w:bottom w:val="nil"/>
              <w:right w:val="nil"/>
            </w:tcBorders>
          </w:tcPr>
          <w:p w14:paraId="07FBB09F"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12 months and within 24 months </w:t>
            </w:r>
          </w:p>
        </w:tc>
        <w:tc>
          <w:tcPr>
            <w:tcW w:w="2409" w:type="dxa"/>
            <w:gridSpan w:val="2"/>
            <w:tcBorders>
              <w:top w:val="nil"/>
              <w:left w:val="nil"/>
              <w:bottom w:val="nil"/>
              <w:right w:val="nil"/>
            </w:tcBorders>
          </w:tcPr>
          <w:p w14:paraId="5DB380FA" w14:textId="77777777" w:rsidR="00C17D82" w:rsidRPr="00C17D82" w:rsidRDefault="00C17D82" w:rsidP="001366E5">
            <w:pPr>
              <w:spacing w:line="259" w:lineRule="auto"/>
              <w:ind w:left="835"/>
              <w:rPr>
                <w:rFonts w:ascii="Arial" w:hAnsi="Arial" w:cs="Arial"/>
                <w:szCs w:val="24"/>
              </w:rPr>
            </w:pPr>
            <w:r w:rsidRPr="00C17D82">
              <w:rPr>
                <w:rFonts w:ascii="Arial" w:hAnsi="Arial" w:cs="Arial"/>
                <w:szCs w:val="24"/>
              </w:rPr>
              <w:t xml:space="preserve">  50</w:t>
            </w:r>
          </w:p>
        </w:tc>
        <w:tc>
          <w:tcPr>
            <w:tcW w:w="2410" w:type="dxa"/>
            <w:gridSpan w:val="2"/>
            <w:tcBorders>
              <w:top w:val="nil"/>
              <w:left w:val="nil"/>
              <w:bottom w:val="nil"/>
              <w:right w:val="nil"/>
            </w:tcBorders>
          </w:tcPr>
          <w:p w14:paraId="4A67E005" w14:textId="77777777" w:rsidR="00C17D82" w:rsidRPr="00C17D82" w:rsidRDefault="00C17D82" w:rsidP="001366E5">
            <w:pPr>
              <w:spacing w:line="259" w:lineRule="auto"/>
              <w:ind w:right="85"/>
              <w:jc w:val="center"/>
              <w:rPr>
                <w:rFonts w:ascii="Arial" w:hAnsi="Arial" w:cs="Arial"/>
                <w:szCs w:val="24"/>
              </w:rPr>
            </w:pPr>
            <w:r w:rsidRPr="00C17D82">
              <w:rPr>
                <w:rFonts w:ascii="Arial" w:hAnsi="Arial" w:cs="Arial"/>
                <w:szCs w:val="24"/>
              </w:rPr>
              <w:t>-</w:t>
            </w:r>
          </w:p>
        </w:tc>
      </w:tr>
      <w:tr w:rsidR="00C17D82" w:rsidRPr="00C17D82" w14:paraId="3275D148" w14:textId="77777777" w:rsidTr="005A2968">
        <w:trPr>
          <w:trHeight w:val="349"/>
        </w:trPr>
        <w:tc>
          <w:tcPr>
            <w:tcW w:w="4820" w:type="dxa"/>
            <w:tcBorders>
              <w:top w:val="nil"/>
              <w:left w:val="nil"/>
              <w:bottom w:val="nil"/>
              <w:right w:val="nil"/>
            </w:tcBorders>
          </w:tcPr>
          <w:p w14:paraId="2FDDF227"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24 months and within 5 years </w:t>
            </w:r>
          </w:p>
        </w:tc>
        <w:tc>
          <w:tcPr>
            <w:tcW w:w="2409" w:type="dxa"/>
            <w:gridSpan w:val="2"/>
            <w:tcBorders>
              <w:top w:val="nil"/>
              <w:left w:val="nil"/>
              <w:bottom w:val="nil"/>
              <w:right w:val="nil"/>
            </w:tcBorders>
          </w:tcPr>
          <w:p w14:paraId="709F9077" w14:textId="77777777" w:rsidR="00C17D82" w:rsidRPr="00C17D82" w:rsidRDefault="00C17D82" w:rsidP="001366E5">
            <w:pPr>
              <w:spacing w:line="259" w:lineRule="auto"/>
              <w:ind w:left="835"/>
              <w:rPr>
                <w:rFonts w:ascii="Arial" w:hAnsi="Arial" w:cs="Arial"/>
                <w:szCs w:val="24"/>
              </w:rPr>
            </w:pPr>
            <w:r w:rsidRPr="00C17D82">
              <w:rPr>
                <w:rFonts w:ascii="Arial" w:hAnsi="Arial" w:cs="Arial"/>
                <w:szCs w:val="24"/>
              </w:rPr>
              <w:t xml:space="preserve">  50</w:t>
            </w:r>
          </w:p>
        </w:tc>
        <w:tc>
          <w:tcPr>
            <w:tcW w:w="2410" w:type="dxa"/>
            <w:gridSpan w:val="2"/>
            <w:tcBorders>
              <w:top w:val="nil"/>
              <w:left w:val="nil"/>
              <w:bottom w:val="nil"/>
              <w:right w:val="nil"/>
            </w:tcBorders>
          </w:tcPr>
          <w:p w14:paraId="34761E51" w14:textId="77777777" w:rsidR="00C17D82" w:rsidRPr="00C17D82" w:rsidRDefault="00C17D82" w:rsidP="001366E5">
            <w:pPr>
              <w:spacing w:line="259" w:lineRule="auto"/>
              <w:ind w:right="85"/>
              <w:jc w:val="center"/>
              <w:rPr>
                <w:rFonts w:ascii="Arial" w:hAnsi="Arial" w:cs="Arial"/>
                <w:szCs w:val="24"/>
              </w:rPr>
            </w:pPr>
            <w:r w:rsidRPr="00C17D82">
              <w:rPr>
                <w:rFonts w:ascii="Arial" w:hAnsi="Arial" w:cs="Arial"/>
                <w:szCs w:val="24"/>
              </w:rPr>
              <w:t>-</w:t>
            </w:r>
          </w:p>
        </w:tc>
      </w:tr>
      <w:tr w:rsidR="00C17D82" w:rsidRPr="00C17D82" w14:paraId="74BC2C99" w14:textId="77777777" w:rsidTr="005A2968">
        <w:trPr>
          <w:trHeight w:val="350"/>
        </w:trPr>
        <w:tc>
          <w:tcPr>
            <w:tcW w:w="4820" w:type="dxa"/>
            <w:tcBorders>
              <w:top w:val="nil"/>
              <w:left w:val="nil"/>
              <w:bottom w:val="nil"/>
              <w:right w:val="nil"/>
            </w:tcBorders>
          </w:tcPr>
          <w:p w14:paraId="6CEA9869"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5 years and within 10 years </w:t>
            </w:r>
          </w:p>
        </w:tc>
        <w:tc>
          <w:tcPr>
            <w:tcW w:w="2409" w:type="dxa"/>
            <w:gridSpan w:val="2"/>
            <w:tcBorders>
              <w:top w:val="nil"/>
              <w:left w:val="nil"/>
              <w:bottom w:val="nil"/>
              <w:right w:val="nil"/>
            </w:tcBorders>
          </w:tcPr>
          <w:p w14:paraId="7EE5EB80" w14:textId="77777777" w:rsidR="00C17D82" w:rsidRPr="00C17D82" w:rsidRDefault="00C17D82" w:rsidP="001366E5">
            <w:pPr>
              <w:spacing w:line="259" w:lineRule="auto"/>
              <w:ind w:left="835"/>
              <w:rPr>
                <w:rFonts w:ascii="Arial" w:hAnsi="Arial" w:cs="Arial"/>
                <w:szCs w:val="24"/>
              </w:rPr>
            </w:pPr>
            <w:r w:rsidRPr="00C17D82">
              <w:rPr>
                <w:rFonts w:ascii="Arial" w:hAnsi="Arial" w:cs="Arial"/>
                <w:szCs w:val="24"/>
              </w:rPr>
              <w:t xml:space="preserve">  75</w:t>
            </w:r>
          </w:p>
        </w:tc>
        <w:tc>
          <w:tcPr>
            <w:tcW w:w="2410" w:type="dxa"/>
            <w:gridSpan w:val="2"/>
            <w:tcBorders>
              <w:top w:val="nil"/>
              <w:left w:val="nil"/>
              <w:bottom w:val="nil"/>
              <w:right w:val="nil"/>
            </w:tcBorders>
          </w:tcPr>
          <w:p w14:paraId="55889B57" w14:textId="77777777" w:rsidR="00C17D82" w:rsidRPr="00C17D82" w:rsidRDefault="00C17D82" w:rsidP="001366E5">
            <w:pPr>
              <w:spacing w:line="259" w:lineRule="auto"/>
              <w:ind w:right="85"/>
              <w:jc w:val="center"/>
              <w:rPr>
                <w:rFonts w:ascii="Arial" w:hAnsi="Arial" w:cs="Arial"/>
                <w:szCs w:val="24"/>
              </w:rPr>
            </w:pPr>
            <w:r w:rsidRPr="00C17D82">
              <w:rPr>
                <w:rFonts w:ascii="Arial" w:hAnsi="Arial" w:cs="Arial"/>
                <w:szCs w:val="24"/>
              </w:rPr>
              <w:t>-</w:t>
            </w:r>
          </w:p>
        </w:tc>
      </w:tr>
      <w:tr w:rsidR="00C17D82" w:rsidRPr="00C17D82" w14:paraId="58869CDB" w14:textId="77777777" w:rsidTr="005A2968">
        <w:trPr>
          <w:trHeight w:val="299"/>
        </w:trPr>
        <w:tc>
          <w:tcPr>
            <w:tcW w:w="4820" w:type="dxa"/>
            <w:tcBorders>
              <w:top w:val="nil"/>
              <w:left w:val="nil"/>
              <w:bottom w:val="nil"/>
              <w:right w:val="nil"/>
            </w:tcBorders>
          </w:tcPr>
          <w:p w14:paraId="7207DB2C" w14:textId="77777777" w:rsidR="00C17D82" w:rsidRPr="00C17D82" w:rsidRDefault="00C17D82" w:rsidP="00B41966">
            <w:pPr>
              <w:spacing w:line="259" w:lineRule="auto"/>
              <w:ind w:left="451"/>
              <w:rPr>
                <w:rFonts w:ascii="Arial" w:hAnsi="Arial" w:cs="Arial"/>
                <w:szCs w:val="24"/>
              </w:rPr>
            </w:pPr>
            <w:r w:rsidRPr="00C17D82">
              <w:rPr>
                <w:rFonts w:ascii="Arial" w:hAnsi="Arial" w:cs="Arial"/>
                <w:szCs w:val="24"/>
              </w:rPr>
              <w:t xml:space="preserve">10 years and above </w:t>
            </w:r>
          </w:p>
        </w:tc>
        <w:tc>
          <w:tcPr>
            <w:tcW w:w="2409" w:type="dxa"/>
            <w:gridSpan w:val="2"/>
            <w:tcBorders>
              <w:top w:val="nil"/>
              <w:left w:val="nil"/>
              <w:bottom w:val="nil"/>
              <w:right w:val="nil"/>
            </w:tcBorders>
          </w:tcPr>
          <w:p w14:paraId="32700EE9" w14:textId="77777777" w:rsidR="00C17D82" w:rsidRPr="00C17D82" w:rsidRDefault="00C17D82" w:rsidP="001366E5">
            <w:pPr>
              <w:spacing w:line="259" w:lineRule="auto"/>
              <w:ind w:left="835"/>
              <w:rPr>
                <w:rFonts w:ascii="Arial" w:hAnsi="Arial" w:cs="Arial"/>
                <w:szCs w:val="24"/>
              </w:rPr>
            </w:pPr>
            <w:r w:rsidRPr="00C17D82">
              <w:rPr>
                <w:rFonts w:ascii="Arial" w:hAnsi="Arial" w:cs="Arial"/>
                <w:szCs w:val="24"/>
              </w:rPr>
              <w:t>100</w:t>
            </w:r>
          </w:p>
        </w:tc>
        <w:tc>
          <w:tcPr>
            <w:tcW w:w="2410" w:type="dxa"/>
            <w:gridSpan w:val="2"/>
            <w:tcBorders>
              <w:top w:val="nil"/>
              <w:left w:val="nil"/>
              <w:bottom w:val="nil"/>
              <w:right w:val="nil"/>
            </w:tcBorders>
          </w:tcPr>
          <w:p w14:paraId="0FF8D817" w14:textId="77777777" w:rsidR="00C17D82" w:rsidRPr="00C17D82" w:rsidRDefault="00C17D82" w:rsidP="001366E5">
            <w:pPr>
              <w:spacing w:line="259" w:lineRule="auto"/>
              <w:ind w:right="85"/>
              <w:jc w:val="center"/>
              <w:rPr>
                <w:rFonts w:ascii="Arial" w:hAnsi="Arial" w:cs="Arial"/>
                <w:szCs w:val="24"/>
              </w:rPr>
            </w:pPr>
            <w:r w:rsidRPr="00C17D82">
              <w:rPr>
                <w:rFonts w:ascii="Arial" w:hAnsi="Arial" w:cs="Arial"/>
                <w:szCs w:val="24"/>
              </w:rPr>
              <w:t>-</w:t>
            </w:r>
          </w:p>
        </w:tc>
      </w:tr>
    </w:tbl>
    <w:p w14:paraId="3F3C67BB" w14:textId="77777777" w:rsidR="00C17D82" w:rsidRDefault="00C17D82" w:rsidP="00B41966">
      <w:pPr>
        <w:pStyle w:val="Heading1"/>
        <w:spacing w:after="0"/>
        <w:ind w:left="0" w:firstLine="0"/>
        <w:jc w:val="both"/>
      </w:pPr>
    </w:p>
    <w:p w14:paraId="0B645989" w14:textId="77777777" w:rsidR="00C17D82" w:rsidRPr="00593181" w:rsidRDefault="00C17D82" w:rsidP="00B41966">
      <w:r w:rsidRPr="00F04F7D">
        <w:rPr>
          <w:b/>
          <w:szCs w:val="24"/>
        </w:rPr>
        <w:t>8</w:t>
      </w:r>
      <w:r w:rsidRPr="00593181">
        <w:rPr>
          <w:b/>
          <w:szCs w:val="24"/>
        </w:rPr>
        <w:t xml:space="preserve">. Estimated Capital Expenditure                           </w:t>
      </w:r>
    </w:p>
    <w:p w14:paraId="23CBA620" w14:textId="77777777" w:rsidR="00C17D82" w:rsidRDefault="00C17D82" w:rsidP="00B41966">
      <w:pPr>
        <w:pStyle w:val="Heading1"/>
        <w:spacing w:after="0"/>
        <w:ind w:left="0" w:firstLine="0"/>
        <w:jc w:val="both"/>
        <w:rPr>
          <w:b w:val="0"/>
          <w:bCs/>
          <w:highlight w:val="yellow"/>
        </w:rPr>
      </w:pPr>
    </w:p>
    <w:tbl>
      <w:tblPr>
        <w:tblStyle w:val="TableGrid"/>
        <w:tblW w:w="0" w:type="auto"/>
        <w:tblInd w:w="44" w:type="dxa"/>
        <w:tblLook w:val="04A0" w:firstRow="1" w:lastRow="0" w:firstColumn="1" w:lastColumn="0" w:noHBand="0" w:noVBand="1"/>
      </w:tblPr>
      <w:tblGrid>
        <w:gridCol w:w="2126"/>
        <w:gridCol w:w="1276"/>
        <w:gridCol w:w="1276"/>
        <w:gridCol w:w="1276"/>
        <w:gridCol w:w="1276"/>
        <w:gridCol w:w="1276"/>
      </w:tblGrid>
      <w:tr w:rsidR="00C17D82" w:rsidRPr="00C17D82" w14:paraId="06EB3385" w14:textId="77777777" w:rsidTr="00B41966">
        <w:tc>
          <w:tcPr>
            <w:tcW w:w="2126" w:type="dxa"/>
          </w:tcPr>
          <w:p w14:paraId="56B0ECCB" w14:textId="77777777" w:rsidR="00C17D82" w:rsidRPr="00C17D82" w:rsidRDefault="00C17D82" w:rsidP="00B41966">
            <w:pPr>
              <w:rPr>
                <w:rFonts w:ascii="Arial" w:hAnsi="Arial" w:cs="Arial"/>
                <w:szCs w:val="24"/>
              </w:rPr>
            </w:pPr>
          </w:p>
        </w:tc>
        <w:tc>
          <w:tcPr>
            <w:tcW w:w="1276" w:type="dxa"/>
          </w:tcPr>
          <w:p w14:paraId="5C791969" w14:textId="77777777" w:rsidR="00C17D82" w:rsidRPr="00C17D82" w:rsidRDefault="00C17D82" w:rsidP="00B41966">
            <w:pPr>
              <w:jc w:val="center"/>
              <w:rPr>
                <w:rFonts w:ascii="Arial" w:hAnsi="Arial" w:cs="Arial"/>
                <w:szCs w:val="24"/>
              </w:rPr>
            </w:pPr>
            <w:r w:rsidRPr="00C17D82">
              <w:rPr>
                <w:rFonts w:ascii="Arial" w:hAnsi="Arial" w:cs="Arial"/>
                <w:szCs w:val="24"/>
              </w:rPr>
              <w:t>2023/24</w:t>
            </w:r>
          </w:p>
          <w:p w14:paraId="2CD0C00A" w14:textId="77777777" w:rsidR="00C17D82" w:rsidRPr="00C17D82" w:rsidRDefault="00C17D82" w:rsidP="00B41966">
            <w:pPr>
              <w:jc w:val="center"/>
              <w:rPr>
                <w:rFonts w:ascii="Arial" w:hAnsi="Arial" w:cs="Arial"/>
                <w:szCs w:val="24"/>
              </w:rPr>
            </w:pPr>
            <w:r w:rsidRPr="00C17D82">
              <w:rPr>
                <w:rFonts w:ascii="Arial" w:hAnsi="Arial" w:cs="Arial"/>
                <w:szCs w:val="24"/>
              </w:rPr>
              <w:t>Actual</w:t>
            </w:r>
          </w:p>
        </w:tc>
        <w:tc>
          <w:tcPr>
            <w:tcW w:w="1276" w:type="dxa"/>
          </w:tcPr>
          <w:p w14:paraId="5F6412E0" w14:textId="77777777" w:rsidR="00C17D82" w:rsidRPr="00C17D82" w:rsidRDefault="00C17D82" w:rsidP="00B41966">
            <w:pPr>
              <w:jc w:val="center"/>
              <w:rPr>
                <w:rFonts w:ascii="Arial" w:hAnsi="Arial" w:cs="Arial"/>
                <w:szCs w:val="24"/>
              </w:rPr>
            </w:pPr>
            <w:r w:rsidRPr="00C17D82">
              <w:rPr>
                <w:rFonts w:ascii="Arial" w:hAnsi="Arial" w:cs="Arial"/>
                <w:szCs w:val="24"/>
              </w:rPr>
              <w:t>2024/25</w:t>
            </w:r>
          </w:p>
          <w:p w14:paraId="1D351403" w14:textId="77777777" w:rsidR="00C17D82" w:rsidRPr="00C17D82" w:rsidRDefault="00C17D82" w:rsidP="00B41966">
            <w:pPr>
              <w:jc w:val="center"/>
              <w:rPr>
                <w:rFonts w:ascii="Arial" w:hAnsi="Arial" w:cs="Arial"/>
                <w:szCs w:val="24"/>
              </w:rPr>
            </w:pPr>
            <w:r w:rsidRPr="00C17D82">
              <w:rPr>
                <w:rFonts w:ascii="Arial" w:hAnsi="Arial" w:cs="Arial"/>
                <w:szCs w:val="24"/>
              </w:rPr>
              <w:t>Forecast</w:t>
            </w:r>
          </w:p>
        </w:tc>
        <w:tc>
          <w:tcPr>
            <w:tcW w:w="1276" w:type="dxa"/>
          </w:tcPr>
          <w:p w14:paraId="184D7B81" w14:textId="77777777" w:rsidR="00C17D82" w:rsidRPr="00C17D82" w:rsidRDefault="00C17D82" w:rsidP="00B41966">
            <w:pPr>
              <w:jc w:val="center"/>
              <w:rPr>
                <w:rFonts w:ascii="Arial" w:hAnsi="Arial" w:cs="Arial"/>
                <w:szCs w:val="24"/>
              </w:rPr>
            </w:pPr>
            <w:r w:rsidRPr="00C17D82">
              <w:rPr>
                <w:rFonts w:ascii="Arial" w:hAnsi="Arial" w:cs="Arial"/>
                <w:szCs w:val="24"/>
              </w:rPr>
              <w:t>2025/26</w:t>
            </w:r>
          </w:p>
          <w:p w14:paraId="6F87B11E" w14:textId="77777777" w:rsidR="00C17D82" w:rsidRPr="00C17D82" w:rsidRDefault="00C17D82" w:rsidP="00B41966">
            <w:pPr>
              <w:jc w:val="center"/>
              <w:rPr>
                <w:rFonts w:ascii="Arial" w:hAnsi="Arial" w:cs="Arial"/>
                <w:szCs w:val="24"/>
              </w:rPr>
            </w:pPr>
            <w:r w:rsidRPr="00C17D82">
              <w:rPr>
                <w:rFonts w:ascii="Arial" w:hAnsi="Arial" w:cs="Arial"/>
                <w:szCs w:val="24"/>
              </w:rPr>
              <w:t>Budget</w:t>
            </w:r>
          </w:p>
        </w:tc>
        <w:tc>
          <w:tcPr>
            <w:tcW w:w="1276" w:type="dxa"/>
          </w:tcPr>
          <w:p w14:paraId="43A2C103" w14:textId="77777777" w:rsidR="00C17D82" w:rsidRPr="00C17D82" w:rsidRDefault="00C17D82" w:rsidP="00B41966">
            <w:pPr>
              <w:jc w:val="center"/>
              <w:rPr>
                <w:rFonts w:ascii="Arial" w:hAnsi="Arial" w:cs="Arial"/>
                <w:szCs w:val="24"/>
              </w:rPr>
            </w:pPr>
            <w:r w:rsidRPr="00C17D82">
              <w:rPr>
                <w:rFonts w:ascii="Arial" w:hAnsi="Arial" w:cs="Arial"/>
                <w:szCs w:val="24"/>
              </w:rPr>
              <w:t>2026/27</w:t>
            </w:r>
          </w:p>
          <w:p w14:paraId="55D36655" w14:textId="77777777" w:rsidR="00C17D82" w:rsidRPr="00C17D82" w:rsidRDefault="00C17D82" w:rsidP="00B41966">
            <w:pPr>
              <w:jc w:val="center"/>
              <w:rPr>
                <w:rFonts w:ascii="Arial" w:hAnsi="Arial" w:cs="Arial"/>
                <w:szCs w:val="24"/>
              </w:rPr>
            </w:pPr>
            <w:r w:rsidRPr="00C17D82">
              <w:rPr>
                <w:rFonts w:ascii="Arial" w:hAnsi="Arial" w:cs="Arial"/>
                <w:szCs w:val="24"/>
              </w:rPr>
              <w:t>Budget</w:t>
            </w:r>
          </w:p>
        </w:tc>
        <w:tc>
          <w:tcPr>
            <w:tcW w:w="1276" w:type="dxa"/>
          </w:tcPr>
          <w:p w14:paraId="2A09A758" w14:textId="77777777" w:rsidR="00C17D82" w:rsidRPr="00C17D82" w:rsidRDefault="00C17D82" w:rsidP="00B41966">
            <w:pPr>
              <w:jc w:val="center"/>
              <w:rPr>
                <w:rFonts w:ascii="Arial" w:hAnsi="Arial" w:cs="Arial"/>
                <w:szCs w:val="24"/>
              </w:rPr>
            </w:pPr>
            <w:r w:rsidRPr="00C17D82">
              <w:rPr>
                <w:rFonts w:ascii="Arial" w:hAnsi="Arial" w:cs="Arial"/>
                <w:szCs w:val="24"/>
              </w:rPr>
              <w:t>2027/28</w:t>
            </w:r>
          </w:p>
          <w:p w14:paraId="4F6593FD" w14:textId="77777777" w:rsidR="00C17D82" w:rsidRPr="00C17D82" w:rsidRDefault="00C17D82" w:rsidP="00B41966">
            <w:pPr>
              <w:jc w:val="center"/>
              <w:rPr>
                <w:rFonts w:ascii="Arial" w:hAnsi="Arial" w:cs="Arial"/>
                <w:szCs w:val="24"/>
              </w:rPr>
            </w:pPr>
            <w:r w:rsidRPr="00C17D82">
              <w:rPr>
                <w:rFonts w:ascii="Arial" w:hAnsi="Arial" w:cs="Arial"/>
                <w:szCs w:val="24"/>
              </w:rPr>
              <w:t>Budget</w:t>
            </w:r>
          </w:p>
        </w:tc>
      </w:tr>
      <w:tr w:rsidR="00C17D82" w:rsidRPr="00C17D82" w14:paraId="5D28B140" w14:textId="77777777" w:rsidTr="00B41966">
        <w:tc>
          <w:tcPr>
            <w:tcW w:w="2126" w:type="dxa"/>
          </w:tcPr>
          <w:p w14:paraId="08242A4B" w14:textId="77777777" w:rsidR="00C17D82" w:rsidRPr="00C17D82" w:rsidRDefault="00C17D82" w:rsidP="00B41966">
            <w:pPr>
              <w:rPr>
                <w:rFonts w:ascii="Arial" w:hAnsi="Arial" w:cs="Arial"/>
                <w:szCs w:val="24"/>
              </w:rPr>
            </w:pPr>
            <w:r w:rsidRPr="00C17D82">
              <w:rPr>
                <w:rFonts w:ascii="Arial" w:hAnsi="Arial" w:cs="Arial"/>
                <w:szCs w:val="24"/>
              </w:rPr>
              <w:t>Capital Expenditure (£m)</w:t>
            </w:r>
          </w:p>
        </w:tc>
        <w:tc>
          <w:tcPr>
            <w:tcW w:w="1276" w:type="dxa"/>
            <w:vAlign w:val="center"/>
          </w:tcPr>
          <w:p w14:paraId="6E7742D4" w14:textId="77777777" w:rsidR="00C17D82" w:rsidRPr="00C17D82" w:rsidRDefault="00C17D82" w:rsidP="00B41966">
            <w:pPr>
              <w:jc w:val="center"/>
              <w:rPr>
                <w:rFonts w:ascii="Arial" w:hAnsi="Arial" w:cs="Arial"/>
                <w:szCs w:val="24"/>
              </w:rPr>
            </w:pPr>
            <w:r w:rsidRPr="00C17D82">
              <w:rPr>
                <w:rFonts w:ascii="Arial" w:hAnsi="Arial" w:cs="Arial"/>
                <w:szCs w:val="24"/>
              </w:rPr>
              <w:t>6.034</w:t>
            </w:r>
          </w:p>
        </w:tc>
        <w:tc>
          <w:tcPr>
            <w:tcW w:w="1276" w:type="dxa"/>
            <w:vAlign w:val="center"/>
          </w:tcPr>
          <w:p w14:paraId="704BB912" w14:textId="77777777" w:rsidR="00C17D82" w:rsidRPr="00C17D82" w:rsidRDefault="00C17D82" w:rsidP="00B41966">
            <w:pPr>
              <w:jc w:val="center"/>
              <w:rPr>
                <w:rFonts w:ascii="Arial" w:hAnsi="Arial" w:cs="Arial"/>
                <w:szCs w:val="24"/>
              </w:rPr>
            </w:pPr>
            <w:r w:rsidRPr="00C17D82">
              <w:rPr>
                <w:rFonts w:ascii="Arial" w:hAnsi="Arial" w:cs="Arial"/>
                <w:szCs w:val="24"/>
              </w:rPr>
              <w:t>5.859</w:t>
            </w:r>
          </w:p>
        </w:tc>
        <w:tc>
          <w:tcPr>
            <w:tcW w:w="1276" w:type="dxa"/>
            <w:vAlign w:val="center"/>
          </w:tcPr>
          <w:p w14:paraId="2407E3B3" w14:textId="77777777" w:rsidR="00C17D82" w:rsidRPr="00C17D82" w:rsidRDefault="00C17D82" w:rsidP="00B41966">
            <w:pPr>
              <w:jc w:val="center"/>
              <w:rPr>
                <w:rFonts w:ascii="Arial" w:hAnsi="Arial" w:cs="Arial"/>
                <w:szCs w:val="24"/>
              </w:rPr>
            </w:pPr>
            <w:r w:rsidRPr="00C17D82">
              <w:rPr>
                <w:rFonts w:ascii="Arial" w:hAnsi="Arial" w:cs="Arial"/>
                <w:szCs w:val="24"/>
              </w:rPr>
              <w:t>12.761</w:t>
            </w:r>
          </w:p>
        </w:tc>
        <w:tc>
          <w:tcPr>
            <w:tcW w:w="1276" w:type="dxa"/>
            <w:vAlign w:val="center"/>
          </w:tcPr>
          <w:p w14:paraId="5DB6FCC1" w14:textId="77777777" w:rsidR="00C17D82" w:rsidRPr="00C17D82" w:rsidRDefault="00C17D82" w:rsidP="00B41966">
            <w:pPr>
              <w:jc w:val="center"/>
              <w:rPr>
                <w:rFonts w:ascii="Arial" w:hAnsi="Arial" w:cs="Arial"/>
                <w:szCs w:val="24"/>
              </w:rPr>
            </w:pPr>
            <w:r w:rsidRPr="00C17D82">
              <w:rPr>
                <w:rFonts w:ascii="Arial" w:hAnsi="Arial" w:cs="Arial"/>
                <w:szCs w:val="24"/>
              </w:rPr>
              <w:t>14.796</w:t>
            </w:r>
          </w:p>
        </w:tc>
        <w:tc>
          <w:tcPr>
            <w:tcW w:w="1276" w:type="dxa"/>
            <w:vAlign w:val="center"/>
          </w:tcPr>
          <w:p w14:paraId="500B50D4" w14:textId="77777777" w:rsidR="00C17D82" w:rsidRPr="00C17D82" w:rsidRDefault="00C17D82" w:rsidP="00B41966">
            <w:pPr>
              <w:jc w:val="center"/>
              <w:rPr>
                <w:rFonts w:ascii="Arial" w:hAnsi="Arial" w:cs="Arial"/>
                <w:szCs w:val="24"/>
              </w:rPr>
            </w:pPr>
            <w:r w:rsidRPr="00C17D82">
              <w:rPr>
                <w:rFonts w:ascii="Arial" w:hAnsi="Arial" w:cs="Arial"/>
                <w:szCs w:val="24"/>
              </w:rPr>
              <w:t>30.078</w:t>
            </w:r>
          </w:p>
        </w:tc>
      </w:tr>
    </w:tbl>
    <w:p w14:paraId="7D24D517" w14:textId="77777777" w:rsidR="00C17D82" w:rsidRPr="00C17D82" w:rsidRDefault="00C17D82" w:rsidP="00B41966">
      <w:pPr>
        <w:rPr>
          <w:rFonts w:ascii="Arial" w:hAnsi="Arial" w:cs="Arial"/>
          <w:szCs w:val="24"/>
          <w:highlight w:val="yellow"/>
        </w:rPr>
      </w:pPr>
    </w:p>
    <w:p w14:paraId="090FC254" w14:textId="77777777" w:rsidR="00C17D82" w:rsidRPr="00C17D82" w:rsidRDefault="00C17D82" w:rsidP="00B41966">
      <w:pPr>
        <w:rPr>
          <w:rFonts w:ascii="Arial" w:hAnsi="Arial" w:cs="Arial"/>
          <w:b/>
          <w:szCs w:val="24"/>
        </w:rPr>
      </w:pPr>
      <w:r w:rsidRPr="00C17D82">
        <w:rPr>
          <w:rFonts w:ascii="Arial" w:hAnsi="Arial" w:cs="Arial"/>
          <w:b/>
          <w:szCs w:val="24"/>
        </w:rPr>
        <w:t>9. Proportion of Financing Costs to Net Revenue Stream</w:t>
      </w:r>
    </w:p>
    <w:p w14:paraId="3C9EC471" w14:textId="77777777" w:rsidR="00C17D82" w:rsidRPr="00C17D82" w:rsidRDefault="00C17D82" w:rsidP="001366E5">
      <w:pPr>
        <w:rPr>
          <w:rFonts w:ascii="Arial" w:hAnsi="Arial" w:cs="Arial"/>
          <w:b/>
          <w:szCs w:val="24"/>
        </w:rPr>
      </w:pPr>
    </w:p>
    <w:tbl>
      <w:tblPr>
        <w:tblStyle w:val="TableGrid"/>
        <w:tblW w:w="8901" w:type="dxa"/>
        <w:tblInd w:w="44" w:type="dxa"/>
        <w:tblLook w:val="04A0" w:firstRow="1" w:lastRow="0" w:firstColumn="1" w:lastColumn="0" w:noHBand="0" w:noVBand="1"/>
      </w:tblPr>
      <w:tblGrid>
        <w:gridCol w:w="2381"/>
        <w:gridCol w:w="1304"/>
        <w:gridCol w:w="1304"/>
        <w:gridCol w:w="1304"/>
        <w:gridCol w:w="1304"/>
        <w:gridCol w:w="1304"/>
      </w:tblGrid>
      <w:tr w:rsidR="00C17D82" w:rsidRPr="00C17D82" w14:paraId="218AD821" w14:textId="77777777" w:rsidTr="00B41966">
        <w:tc>
          <w:tcPr>
            <w:tcW w:w="2381" w:type="dxa"/>
          </w:tcPr>
          <w:p w14:paraId="31E2F82C" w14:textId="77777777" w:rsidR="00C17D82" w:rsidRPr="00C17D82" w:rsidRDefault="00C17D82" w:rsidP="00B41966">
            <w:pPr>
              <w:rPr>
                <w:rFonts w:ascii="Arial" w:hAnsi="Arial" w:cs="Arial"/>
                <w:bCs/>
                <w:szCs w:val="24"/>
              </w:rPr>
            </w:pPr>
          </w:p>
        </w:tc>
        <w:tc>
          <w:tcPr>
            <w:tcW w:w="1304" w:type="dxa"/>
          </w:tcPr>
          <w:p w14:paraId="6B5770A5" w14:textId="77777777" w:rsidR="00C17D82" w:rsidRPr="00C17D82" w:rsidRDefault="00C17D82" w:rsidP="00B41966">
            <w:pPr>
              <w:jc w:val="center"/>
              <w:rPr>
                <w:rFonts w:ascii="Arial" w:hAnsi="Arial" w:cs="Arial"/>
                <w:bCs/>
                <w:szCs w:val="24"/>
              </w:rPr>
            </w:pPr>
            <w:r w:rsidRPr="00C17D82">
              <w:rPr>
                <w:rFonts w:ascii="Arial" w:hAnsi="Arial" w:cs="Arial"/>
                <w:bCs/>
                <w:szCs w:val="24"/>
              </w:rPr>
              <w:t>2023/24</w:t>
            </w:r>
          </w:p>
          <w:p w14:paraId="148960C8" w14:textId="77777777" w:rsidR="00C17D82" w:rsidRPr="00C17D82" w:rsidRDefault="00C17D82" w:rsidP="00B41966">
            <w:pPr>
              <w:jc w:val="center"/>
              <w:rPr>
                <w:rFonts w:ascii="Arial" w:hAnsi="Arial" w:cs="Arial"/>
                <w:bCs/>
                <w:szCs w:val="24"/>
              </w:rPr>
            </w:pPr>
            <w:r w:rsidRPr="00C17D82">
              <w:rPr>
                <w:rFonts w:ascii="Arial" w:hAnsi="Arial" w:cs="Arial"/>
                <w:bCs/>
                <w:szCs w:val="24"/>
              </w:rPr>
              <w:t>Actual</w:t>
            </w:r>
          </w:p>
        </w:tc>
        <w:tc>
          <w:tcPr>
            <w:tcW w:w="1304" w:type="dxa"/>
          </w:tcPr>
          <w:p w14:paraId="75528F6D" w14:textId="77777777" w:rsidR="00C17D82" w:rsidRPr="00C17D82" w:rsidRDefault="00C17D82" w:rsidP="00B41966">
            <w:pPr>
              <w:jc w:val="center"/>
              <w:rPr>
                <w:rFonts w:ascii="Arial" w:hAnsi="Arial" w:cs="Arial"/>
                <w:bCs/>
                <w:szCs w:val="24"/>
              </w:rPr>
            </w:pPr>
            <w:r w:rsidRPr="00C17D82">
              <w:rPr>
                <w:rFonts w:ascii="Arial" w:hAnsi="Arial" w:cs="Arial"/>
                <w:bCs/>
                <w:szCs w:val="24"/>
              </w:rPr>
              <w:t>2024/25</w:t>
            </w:r>
          </w:p>
          <w:p w14:paraId="7B554054" w14:textId="77777777" w:rsidR="00C17D82" w:rsidRPr="00C17D82" w:rsidRDefault="00C17D82" w:rsidP="00B41966">
            <w:pPr>
              <w:jc w:val="center"/>
              <w:rPr>
                <w:rFonts w:ascii="Arial" w:hAnsi="Arial" w:cs="Arial"/>
                <w:bCs/>
                <w:szCs w:val="24"/>
              </w:rPr>
            </w:pPr>
            <w:r w:rsidRPr="00C17D82">
              <w:rPr>
                <w:rFonts w:ascii="Arial" w:hAnsi="Arial" w:cs="Arial"/>
                <w:bCs/>
                <w:szCs w:val="24"/>
              </w:rPr>
              <w:t>Budget</w:t>
            </w:r>
          </w:p>
        </w:tc>
        <w:tc>
          <w:tcPr>
            <w:tcW w:w="1304" w:type="dxa"/>
          </w:tcPr>
          <w:p w14:paraId="1091E0E9" w14:textId="77777777" w:rsidR="00C17D82" w:rsidRPr="00C17D82" w:rsidRDefault="00C17D82" w:rsidP="00B41966">
            <w:pPr>
              <w:jc w:val="center"/>
              <w:rPr>
                <w:rFonts w:ascii="Arial" w:hAnsi="Arial" w:cs="Arial"/>
                <w:bCs/>
                <w:szCs w:val="24"/>
              </w:rPr>
            </w:pPr>
            <w:r w:rsidRPr="00C17D82">
              <w:rPr>
                <w:rFonts w:ascii="Arial" w:hAnsi="Arial" w:cs="Arial"/>
                <w:bCs/>
                <w:szCs w:val="24"/>
              </w:rPr>
              <w:t>2025/26</w:t>
            </w:r>
          </w:p>
          <w:p w14:paraId="476E1101" w14:textId="77777777" w:rsidR="00C17D82" w:rsidRPr="00C17D82" w:rsidRDefault="00C17D82" w:rsidP="00B41966">
            <w:pPr>
              <w:jc w:val="center"/>
              <w:rPr>
                <w:rFonts w:ascii="Arial" w:hAnsi="Arial" w:cs="Arial"/>
                <w:bCs/>
                <w:szCs w:val="24"/>
              </w:rPr>
            </w:pPr>
            <w:r w:rsidRPr="00C17D82">
              <w:rPr>
                <w:rFonts w:ascii="Arial" w:hAnsi="Arial" w:cs="Arial"/>
                <w:bCs/>
                <w:szCs w:val="24"/>
              </w:rPr>
              <w:t>Budget</w:t>
            </w:r>
          </w:p>
        </w:tc>
        <w:tc>
          <w:tcPr>
            <w:tcW w:w="1304" w:type="dxa"/>
          </w:tcPr>
          <w:p w14:paraId="648F1C57" w14:textId="77777777" w:rsidR="00C17D82" w:rsidRPr="00C17D82" w:rsidRDefault="00C17D82" w:rsidP="00B41966">
            <w:pPr>
              <w:jc w:val="center"/>
              <w:rPr>
                <w:rFonts w:ascii="Arial" w:hAnsi="Arial" w:cs="Arial"/>
                <w:bCs/>
                <w:szCs w:val="24"/>
              </w:rPr>
            </w:pPr>
            <w:r w:rsidRPr="00C17D82">
              <w:rPr>
                <w:rFonts w:ascii="Arial" w:hAnsi="Arial" w:cs="Arial"/>
                <w:bCs/>
                <w:szCs w:val="24"/>
              </w:rPr>
              <w:t>2026/27</w:t>
            </w:r>
          </w:p>
          <w:p w14:paraId="613F32A9" w14:textId="77777777" w:rsidR="00C17D82" w:rsidRPr="00C17D82" w:rsidRDefault="00C17D82" w:rsidP="00B41966">
            <w:pPr>
              <w:jc w:val="center"/>
              <w:rPr>
                <w:rFonts w:ascii="Arial" w:hAnsi="Arial" w:cs="Arial"/>
                <w:bCs/>
                <w:szCs w:val="24"/>
              </w:rPr>
            </w:pPr>
            <w:r w:rsidRPr="00C17D82">
              <w:rPr>
                <w:rFonts w:ascii="Arial" w:hAnsi="Arial" w:cs="Arial"/>
                <w:bCs/>
                <w:szCs w:val="24"/>
              </w:rPr>
              <w:t>Budget</w:t>
            </w:r>
          </w:p>
        </w:tc>
        <w:tc>
          <w:tcPr>
            <w:tcW w:w="1304" w:type="dxa"/>
          </w:tcPr>
          <w:p w14:paraId="50875D4D" w14:textId="77777777" w:rsidR="00C17D82" w:rsidRPr="00C17D82" w:rsidRDefault="00C17D82" w:rsidP="00B41966">
            <w:pPr>
              <w:jc w:val="center"/>
              <w:rPr>
                <w:rFonts w:ascii="Arial" w:hAnsi="Arial" w:cs="Arial"/>
                <w:bCs/>
                <w:szCs w:val="24"/>
              </w:rPr>
            </w:pPr>
            <w:r w:rsidRPr="00C17D82">
              <w:rPr>
                <w:rFonts w:ascii="Arial" w:hAnsi="Arial" w:cs="Arial"/>
                <w:bCs/>
                <w:szCs w:val="24"/>
              </w:rPr>
              <w:t>2027/28</w:t>
            </w:r>
          </w:p>
          <w:p w14:paraId="74133FFE" w14:textId="77777777" w:rsidR="00C17D82" w:rsidRPr="00C17D82" w:rsidRDefault="00C17D82" w:rsidP="00B41966">
            <w:pPr>
              <w:jc w:val="center"/>
              <w:rPr>
                <w:rFonts w:ascii="Arial" w:hAnsi="Arial" w:cs="Arial"/>
                <w:bCs/>
                <w:szCs w:val="24"/>
              </w:rPr>
            </w:pPr>
            <w:r w:rsidRPr="00C17D82">
              <w:rPr>
                <w:rFonts w:ascii="Arial" w:hAnsi="Arial" w:cs="Arial"/>
                <w:bCs/>
                <w:szCs w:val="24"/>
              </w:rPr>
              <w:t>Budget</w:t>
            </w:r>
          </w:p>
        </w:tc>
      </w:tr>
      <w:tr w:rsidR="00C17D82" w:rsidRPr="00C17D82" w14:paraId="3348BFCA" w14:textId="77777777" w:rsidTr="00B41966">
        <w:tc>
          <w:tcPr>
            <w:tcW w:w="2381" w:type="dxa"/>
          </w:tcPr>
          <w:p w14:paraId="66923058" w14:textId="77777777" w:rsidR="00C17D82" w:rsidRPr="00C17D82" w:rsidRDefault="00C17D82" w:rsidP="00B41966">
            <w:pPr>
              <w:rPr>
                <w:rFonts w:ascii="Arial" w:hAnsi="Arial" w:cs="Arial"/>
                <w:bCs/>
                <w:szCs w:val="24"/>
              </w:rPr>
            </w:pPr>
            <w:r w:rsidRPr="00C17D82">
              <w:rPr>
                <w:rFonts w:ascii="Arial" w:hAnsi="Arial" w:cs="Arial"/>
                <w:bCs/>
                <w:szCs w:val="24"/>
              </w:rPr>
              <w:lastRenderedPageBreak/>
              <w:t>Financing costs (£m)</w:t>
            </w:r>
          </w:p>
        </w:tc>
        <w:tc>
          <w:tcPr>
            <w:tcW w:w="1304" w:type="dxa"/>
            <w:vAlign w:val="center"/>
          </w:tcPr>
          <w:p w14:paraId="11558F51" w14:textId="77777777" w:rsidR="00C17D82" w:rsidRPr="00C17D82" w:rsidRDefault="00C17D82" w:rsidP="00B41966">
            <w:pPr>
              <w:jc w:val="center"/>
              <w:rPr>
                <w:rFonts w:ascii="Arial" w:hAnsi="Arial" w:cs="Arial"/>
                <w:bCs/>
                <w:szCs w:val="24"/>
              </w:rPr>
            </w:pPr>
            <w:r w:rsidRPr="00C17D82">
              <w:rPr>
                <w:rFonts w:ascii="Arial" w:hAnsi="Arial" w:cs="Arial"/>
                <w:bCs/>
                <w:szCs w:val="24"/>
              </w:rPr>
              <w:t>(1.260)</w:t>
            </w:r>
          </w:p>
        </w:tc>
        <w:tc>
          <w:tcPr>
            <w:tcW w:w="1304" w:type="dxa"/>
            <w:vAlign w:val="center"/>
          </w:tcPr>
          <w:p w14:paraId="1A67C6C2" w14:textId="77777777" w:rsidR="00C17D82" w:rsidRPr="00C17D82" w:rsidRDefault="00C17D82" w:rsidP="00B41966">
            <w:pPr>
              <w:jc w:val="center"/>
              <w:rPr>
                <w:rFonts w:ascii="Arial" w:hAnsi="Arial" w:cs="Arial"/>
                <w:bCs/>
                <w:szCs w:val="24"/>
              </w:rPr>
            </w:pPr>
            <w:r w:rsidRPr="00C17D82">
              <w:rPr>
                <w:rFonts w:ascii="Arial" w:hAnsi="Arial" w:cs="Arial"/>
                <w:bCs/>
                <w:szCs w:val="24"/>
              </w:rPr>
              <w:t>(0.960)</w:t>
            </w:r>
          </w:p>
        </w:tc>
        <w:tc>
          <w:tcPr>
            <w:tcW w:w="1304" w:type="dxa"/>
            <w:vAlign w:val="center"/>
          </w:tcPr>
          <w:p w14:paraId="1A40BA06" w14:textId="77777777" w:rsidR="00C17D82" w:rsidRPr="00C17D82" w:rsidRDefault="00C17D82" w:rsidP="00B41966">
            <w:pPr>
              <w:jc w:val="center"/>
              <w:rPr>
                <w:rFonts w:ascii="Arial" w:hAnsi="Arial" w:cs="Arial"/>
                <w:bCs/>
                <w:szCs w:val="24"/>
              </w:rPr>
            </w:pPr>
            <w:r w:rsidRPr="00C17D82">
              <w:rPr>
                <w:rFonts w:ascii="Arial" w:hAnsi="Arial" w:cs="Arial"/>
                <w:bCs/>
                <w:szCs w:val="24"/>
              </w:rPr>
              <w:t>(1.295)</w:t>
            </w:r>
          </w:p>
        </w:tc>
        <w:tc>
          <w:tcPr>
            <w:tcW w:w="1304" w:type="dxa"/>
            <w:vAlign w:val="center"/>
          </w:tcPr>
          <w:p w14:paraId="402D3ED6" w14:textId="77777777" w:rsidR="00C17D82" w:rsidRPr="00C17D82" w:rsidRDefault="00C17D82" w:rsidP="00B41966">
            <w:pPr>
              <w:jc w:val="center"/>
              <w:rPr>
                <w:rFonts w:ascii="Arial" w:hAnsi="Arial" w:cs="Arial"/>
                <w:bCs/>
                <w:szCs w:val="24"/>
              </w:rPr>
            </w:pPr>
            <w:r w:rsidRPr="00C17D82">
              <w:rPr>
                <w:rFonts w:ascii="Arial" w:hAnsi="Arial" w:cs="Arial"/>
                <w:bCs/>
                <w:szCs w:val="24"/>
              </w:rPr>
              <w:t>(0.671)</w:t>
            </w:r>
          </w:p>
        </w:tc>
        <w:tc>
          <w:tcPr>
            <w:tcW w:w="1304" w:type="dxa"/>
            <w:vAlign w:val="center"/>
          </w:tcPr>
          <w:p w14:paraId="22D07C99" w14:textId="77777777" w:rsidR="00C17D82" w:rsidRPr="00C17D82" w:rsidRDefault="00C17D82" w:rsidP="00B41966">
            <w:pPr>
              <w:jc w:val="center"/>
              <w:rPr>
                <w:rFonts w:ascii="Arial" w:hAnsi="Arial" w:cs="Arial"/>
                <w:bCs/>
                <w:szCs w:val="24"/>
              </w:rPr>
            </w:pPr>
            <w:r w:rsidRPr="00C17D82">
              <w:rPr>
                <w:rFonts w:ascii="Arial" w:hAnsi="Arial" w:cs="Arial"/>
                <w:bCs/>
                <w:szCs w:val="24"/>
              </w:rPr>
              <w:t>1.009</w:t>
            </w:r>
          </w:p>
        </w:tc>
      </w:tr>
      <w:tr w:rsidR="00C17D82" w:rsidRPr="00C17D82" w14:paraId="381CDF6A" w14:textId="77777777" w:rsidTr="00B41966">
        <w:tc>
          <w:tcPr>
            <w:tcW w:w="2381" w:type="dxa"/>
          </w:tcPr>
          <w:p w14:paraId="08F289CB" w14:textId="77777777" w:rsidR="00C17D82" w:rsidRPr="00C17D82" w:rsidRDefault="00C17D82" w:rsidP="00B41966">
            <w:pPr>
              <w:rPr>
                <w:rFonts w:ascii="Arial" w:hAnsi="Arial" w:cs="Arial"/>
                <w:bCs/>
                <w:szCs w:val="24"/>
              </w:rPr>
            </w:pPr>
            <w:r w:rsidRPr="00C17D82">
              <w:rPr>
                <w:rFonts w:ascii="Arial" w:hAnsi="Arial" w:cs="Arial"/>
                <w:bCs/>
                <w:szCs w:val="24"/>
              </w:rPr>
              <w:t>Proportion of net revenue stream</w:t>
            </w:r>
          </w:p>
        </w:tc>
        <w:tc>
          <w:tcPr>
            <w:tcW w:w="1304" w:type="dxa"/>
            <w:vAlign w:val="center"/>
          </w:tcPr>
          <w:p w14:paraId="5B9CE951" w14:textId="77777777" w:rsidR="00C17D82" w:rsidRPr="00C17D82" w:rsidRDefault="00C17D82" w:rsidP="00B41966">
            <w:pPr>
              <w:jc w:val="center"/>
              <w:rPr>
                <w:rFonts w:ascii="Arial" w:hAnsi="Arial" w:cs="Arial"/>
                <w:bCs/>
                <w:szCs w:val="24"/>
              </w:rPr>
            </w:pPr>
            <w:r w:rsidRPr="00C17D82">
              <w:rPr>
                <w:rFonts w:ascii="Arial" w:hAnsi="Arial" w:cs="Arial"/>
                <w:bCs/>
                <w:szCs w:val="24"/>
              </w:rPr>
              <w:t>(1.85%)</w:t>
            </w:r>
          </w:p>
        </w:tc>
        <w:tc>
          <w:tcPr>
            <w:tcW w:w="1304" w:type="dxa"/>
            <w:vAlign w:val="center"/>
          </w:tcPr>
          <w:p w14:paraId="2DAFA796" w14:textId="77777777" w:rsidR="00C17D82" w:rsidRPr="00C17D82" w:rsidRDefault="00C17D82" w:rsidP="00B41966">
            <w:pPr>
              <w:jc w:val="center"/>
              <w:rPr>
                <w:rFonts w:ascii="Arial" w:hAnsi="Arial" w:cs="Arial"/>
                <w:bCs/>
                <w:szCs w:val="24"/>
              </w:rPr>
            </w:pPr>
            <w:r w:rsidRPr="00C17D82">
              <w:rPr>
                <w:rFonts w:ascii="Arial" w:hAnsi="Arial" w:cs="Arial"/>
                <w:bCs/>
                <w:szCs w:val="24"/>
              </w:rPr>
              <w:t>(1.28%)</w:t>
            </w:r>
          </w:p>
        </w:tc>
        <w:tc>
          <w:tcPr>
            <w:tcW w:w="1304" w:type="dxa"/>
            <w:vAlign w:val="center"/>
          </w:tcPr>
          <w:p w14:paraId="46BCF331" w14:textId="77777777" w:rsidR="00C17D82" w:rsidRPr="00C17D82" w:rsidRDefault="00C17D82" w:rsidP="00B41966">
            <w:pPr>
              <w:jc w:val="center"/>
              <w:rPr>
                <w:rFonts w:ascii="Arial" w:hAnsi="Arial" w:cs="Arial"/>
                <w:bCs/>
                <w:szCs w:val="24"/>
              </w:rPr>
            </w:pPr>
            <w:r w:rsidRPr="00C17D82">
              <w:rPr>
                <w:rFonts w:ascii="Arial" w:hAnsi="Arial" w:cs="Arial"/>
                <w:bCs/>
                <w:szCs w:val="24"/>
              </w:rPr>
              <w:t>(1.67%)</w:t>
            </w:r>
          </w:p>
        </w:tc>
        <w:tc>
          <w:tcPr>
            <w:tcW w:w="1304" w:type="dxa"/>
            <w:vAlign w:val="center"/>
          </w:tcPr>
          <w:p w14:paraId="59CA8680" w14:textId="77777777" w:rsidR="00C17D82" w:rsidRPr="00C17D82" w:rsidRDefault="00C17D82" w:rsidP="00B41966">
            <w:pPr>
              <w:jc w:val="center"/>
              <w:rPr>
                <w:rFonts w:ascii="Arial" w:hAnsi="Arial" w:cs="Arial"/>
                <w:bCs/>
                <w:szCs w:val="24"/>
              </w:rPr>
            </w:pPr>
            <w:r w:rsidRPr="00C17D82">
              <w:rPr>
                <w:rFonts w:ascii="Arial" w:hAnsi="Arial" w:cs="Arial"/>
                <w:bCs/>
                <w:szCs w:val="24"/>
              </w:rPr>
              <w:t>(0.84%)</w:t>
            </w:r>
          </w:p>
        </w:tc>
        <w:tc>
          <w:tcPr>
            <w:tcW w:w="1304" w:type="dxa"/>
            <w:vAlign w:val="center"/>
          </w:tcPr>
          <w:p w14:paraId="4996C553" w14:textId="77777777" w:rsidR="00C17D82" w:rsidRPr="00C17D82" w:rsidRDefault="00C17D82" w:rsidP="00B41966">
            <w:pPr>
              <w:jc w:val="center"/>
              <w:rPr>
                <w:rFonts w:ascii="Arial" w:hAnsi="Arial" w:cs="Arial"/>
                <w:bCs/>
                <w:szCs w:val="24"/>
              </w:rPr>
            </w:pPr>
            <w:r w:rsidRPr="00C17D82">
              <w:rPr>
                <w:rFonts w:ascii="Arial" w:hAnsi="Arial" w:cs="Arial"/>
                <w:bCs/>
                <w:szCs w:val="24"/>
              </w:rPr>
              <w:t>1.23%</w:t>
            </w:r>
          </w:p>
        </w:tc>
      </w:tr>
    </w:tbl>
    <w:p w14:paraId="46B3AC51" w14:textId="77777777" w:rsidR="00C17D82" w:rsidRPr="00C17D82" w:rsidRDefault="00C17D82" w:rsidP="00B41966">
      <w:pPr>
        <w:rPr>
          <w:rFonts w:ascii="Arial" w:hAnsi="Arial" w:cs="Arial"/>
          <w:b/>
          <w:szCs w:val="24"/>
        </w:rPr>
      </w:pPr>
    </w:p>
    <w:p w14:paraId="75E66BDA" w14:textId="77777777" w:rsidR="00C17D82" w:rsidRPr="00C17D82" w:rsidRDefault="00C17D82" w:rsidP="00B41966">
      <w:pPr>
        <w:pStyle w:val="Heading1"/>
        <w:spacing w:after="0"/>
        <w:ind w:left="0" w:firstLine="0"/>
        <w:rPr>
          <w:szCs w:val="24"/>
        </w:rPr>
      </w:pPr>
      <w:r w:rsidRPr="00C17D82">
        <w:rPr>
          <w:szCs w:val="24"/>
        </w:rPr>
        <w:t xml:space="preserve">Financial Implications </w:t>
      </w:r>
    </w:p>
    <w:p w14:paraId="23C46E87" w14:textId="77777777" w:rsidR="00C17D82" w:rsidRPr="00C17D82" w:rsidRDefault="00C17D82" w:rsidP="00B41966">
      <w:pPr>
        <w:spacing w:line="259" w:lineRule="auto"/>
        <w:ind w:left="34"/>
        <w:rPr>
          <w:rFonts w:ascii="Arial" w:hAnsi="Arial" w:cs="Arial"/>
          <w:szCs w:val="24"/>
        </w:rPr>
      </w:pPr>
    </w:p>
    <w:p w14:paraId="41D0ECE9" w14:textId="77777777" w:rsidR="00C17D82" w:rsidRPr="00C17D82" w:rsidRDefault="00C17D82" w:rsidP="00B41966">
      <w:pPr>
        <w:ind w:left="29" w:right="53"/>
        <w:rPr>
          <w:rFonts w:ascii="Arial" w:hAnsi="Arial" w:cs="Arial"/>
          <w:szCs w:val="24"/>
        </w:rPr>
      </w:pPr>
      <w:r w:rsidRPr="00C17D82">
        <w:rPr>
          <w:rFonts w:ascii="Arial" w:hAnsi="Arial" w:cs="Arial"/>
          <w:szCs w:val="24"/>
        </w:rPr>
        <w:t>None</w:t>
      </w:r>
    </w:p>
    <w:p w14:paraId="071D8582" w14:textId="77777777" w:rsidR="00C17D82" w:rsidRPr="00C17D82" w:rsidRDefault="00C17D82" w:rsidP="00B41966">
      <w:pPr>
        <w:spacing w:line="259" w:lineRule="auto"/>
        <w:ind w:left="34"/>
        <w:rPr>
          <w:rFonts w:ascii="Arial" w:hAnsi="Arial" w:cs="Arial"/>
          <w:szCs w:val="24"/>
        </w:rPr>
      </w:pPr>
    </w:p>
    <w:p w14:paraId="12977E0F" w14:textId="77777777" w:rsidR="00C17D82" w:rsidRPr="00C17D82" w:rsidRDefault="00C17D82" w:rsidP="00B41966">
      <w:pPr>
        <w:spacing w:line="250" w:lineRule="auto"/>
        <w:ind w:left="29"/>
        <w:rPr>
          <w:rFonts w:ascii="Arial" w:hAnsi="Arial" w:cs="Arial"/>
          <w:szCs w:val="24"/>
        </w:rPr>
      </w:pPr>
      <w:r w:rsidRPr="00C17D82">
        <w:rPr>
          <w:rFonts w:ascii="Arial" w:hAnsi="Arial" w:cs="Arial"/>
          <w:b/>
          <w:szCs w:val="24"/>
        </w:rPr>
        <w:t xml:space="preserve">Human Resource Implications </w:t>
      </w:r>
    </w:p>
    <w:p w14:paraId="58CBB0E8" w14:textId="77777777" w:rsidR="00C17D82" w:rsidRPr="00C17D82" w:rsidRDefault="00C17D82" w:rsidP="00B41966">
      <w:pPr>
        <w:spacing w:line="259" w:lineRule="auto"/>
        <w:ind w:left="34"/>
        <w:rPr>
          <w:rFonts w:ascii="Arial" w:hAnsi="Arial" w:cs="Arial"/>
          <w:szCs w:val="24"/>
        </w:rPr>
      </w:pPr>
    </w:p>
    <w:p w14:paraId="194E9B9C"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None </w:t>
      </w:r>
    </w:p>
    <w:p w14:paraId="77B475A7" w14:textId="77777777" w:rsidR="00C17D82" w:rsidRPr="00C17D82" w:rsidRDefault="00C17D82" w:rsidP="00B41966">
      <w:pPr>
        <w:spacing w:line="259" w:lineRule="auto"/>
        <w:ind w:left="34"/>
        <w:rPr>
          <w:rFonts w:ascii="Arial" w:hAnsi="Arial" w:cs="Arial"/>
          <w:szCs w:val="24"/>
        </w:rPr>
      </w:pPr>
    </w:p>
    <w:p w14:paraId="61127A88" w14:textId="77777777" w:rsidR="00C17D82" w:rsidRPr="00C17D82" w:rsidRDefault="00C17D82" w:rsidP="00B41966">
      <w:pPr>
        <w:spacing w:line="250" w:lineRule="auto"/>
        <w:ind w:left="29"/>
        <w:rPr>
          <w:rFonts w:ascii="Arial" w:hAnsi="Arial" w:cs="Arial"/>
          <w:szCs w:val="24"/>
        </w:rPr>
      </w:pPr>
      <w:r w:rsidRPr="00C17D82">
        <w:rPr>
          <w:rFonts w:ascii="Arial" w:hAnsi="Arial" w:cs="Arial"/>
          <w:b/>
          <w:szCs w:val="24"/>
        </w:rPr>
        <w:t xml:space="preserve">Equality and Diversity Implications </w:t>
      </w:r>
    </w:p>
    <w:p w14:paraId="1CF39EC8" w14:textId="77777777" w:rsidR="00C17D82" w:rsidRPr="00C17D82" w:rsidRDefault="00C17D82" w:rsidP="00B41966">
      <w:pPr>
        <w:spacing w:line="259" w:lineRule="auto"/>
        <w:ind w:left="34"/>
        <w:rPr>
          <w:rFonts w:ascii="Arial" w:hAnsi="Arial" w:cs="Arial"/>
          <w:szCs w:val="24"/>
        </w:rPr>
      </w:pPr>
    </w:p>
    <w:p w14:paraId="491F1D4C"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None </w:t>
      </w:r>
    </w:p>
    <w:p w14:paraId="49B3C0C1" w14:textId="77777777" w:rsidR="00C17D82" w:rsidRPr="00C17D82" w:rsidRDefault="00C17D82" w:rsidP="00B41966">
      <w:pPr>
        <w:spacing w:line="259" w:lineRule="auto"/>
        <w:ind w:left="34"/>
        <w:rPr>
          <w:rFonts w:ascii="Arial" w:hAnsi="Arial" w:cs="Arial"/>
          <w:szCs w:val="24"/>
        </w:rPr>
      </w:pPr>
    </w:p>
    <w:p w14:paraId="0FF68548" w14:textId="77777777" w:rsidR="00C17D82" w:rsidRPr="00C17D82" w:rsidRDefault="00C17D82" w:rsidP="00B41966">
      <w:pPr>
        <w:spacing w:line="250" w:lineRule="auto"/>
        <w:ind w:left="29"/>
        <w:rPr>
          <w:rFonts w:ascii="Arial" w:hAnsi="Arial" w:cs="Arial"/>
          <w:szCs w:val="24"/>
        </w:rPr>
      </w:pPr>
      <w:r w:rsidRPr="00C17D82">
        <w:rPr>
          <w:rFonts w:ascii="Arial" w:hAnsi="Arial" w:cs="Arial"/>
          <w:b/>
          <w:szCs w:val="24"/>
        </w:rPr>
        <w:t xml:space="preserve">Environmental Impact </w:t>
      </w:r>
    </w:p>
    <w:p w14:paraId="7F63D479" w14:textId="77777777" w:rsidR="00C17D82" w:rsidRPr="00C17D82" w:rsidRDefault="00C17D82" w:rsidP="00B41966">
      <w:pPr>
        <w:spacing w:line="259" w:lineRule="auto"/>
        <w:ind w:left="34"/>
        <w:rPr>
          <w:rFonts w:ascii="Arial" w:hAnsi="Arial" w:cs="Arial"/>
          <w:szCs w:val="24"/>
        </w:rPr>
      </w:pPr>
    </w:p>
    <w:p w14:paraId="33DB2470"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None </w:t>
      </w:r>
    </w:p>
    <w:p w14:paraId="7911A78A" w14:textId="77777777" w:rsidR="00C17D82" w:rsidRPr="00C17D82" w:rsidRDefault="00C17D82" w:rsidP="00B41966">
      <w:pPr>
        <w:spacing w:line="259" w:lineRule="auto"/>
        <w:ind w:left="34"/>
        <w:rPr>
          <w:rFonts w:ascii="Arial" w:hAnsi="Arial" w:cs="Arial"/>
          <w:szCs w:val="24"/>
        </w:rPr>
      </w:pPr>
    </w:p>
    <w:p w14:paraId="35554495" w14:textId="77777777" w:rsidR="00C17D82" w:rsidRPr="00C17D82" w:rsidRDefault="00C17D82" w:rsidP="00B41966">
      <w:pPr>
        <w:pStyle w:val="Heading1"/>
        <w:spacing w:after="0"/>
        <w:ind w:left="29"/>
        <w:rPr>
          <w:szCs w:val="24"/>
        </w:rPr>
      </w:pPr>
      <w:r w:rsidRPr="00C17D82">
        <w:rPr>
          <w:szCs w:val="24"/>
        </w:rPr>
        <w:t xml:space="preserve">Business Risk Implications </w:t>
      </w:r>
    </w:p>
    <w:p w14:paraId="2334CDE4" w14:textId="77777777" w:rsidR="00C17D82" w:rsidRPr="00C17D82" w:rsidRDefault="00C17D82" w:rsidP="00B41966">
      <w:pPr>
        <w:spacing w:line="259" w:lineRule="auto"/>
        <w:ind w:left="34"/>
        <w:rPr>
          <w:rFonts w:ascii="Arial" w:hAnsi="Arial" w:cs="Arial"/>
          <w:szCs w:val="24"/>
        </w:rPr>
      </w:pPr>
    </w:p>
    <w:p w14:paraId="3BCB5B6D" w14:textId="77777777" w:rsidR="00C17D82" w:rsidRPr="00C17D82" w:rsidRDefault="00C17D82" w:rsidP="00B41966">
      <w:pPr>
        <w:ind w:left="29" w:right="53"/>
        <w:rPr>
          <w:rFonts w:ascii="Arial" w:hAnsi="Arial" w:cs="Arial"/>
          <w:szCs w:val="24"/>
        </w:rPr>
      </w:pPr>
      <w:r w:rsidRPr="00C17D82">
        <w:rPr>
          <w:rFonts w:ascii="Arial" w:hAnsi="Arial" w:cs="Arial"/>
          <w:szCs w:val="24"/>
        </w:rPr>
        <w:t>The Treasury Management strategy is designed to minimise the Authority’s financial risk associated with investment decisions, whilst maximising the return on any investments made.  As such the adoption of the CIPFA’s Code of Practice on Treasury Management and the monitoring arrangements in place ensure that any risks faced by the Authority are managed.</w:t>
      </w:r>
    </w:p>
    <w:p w14:paraId="037F35E6" w14:textId="77777777" w:rsidR="00C17D82" w:rsidRPr="00C17D82" w:rsidRDefault="00C17D82" w:rsidP="00B41966">
      <w:pPr>
        <w:spacing w:line="259" w:lineRule="auto"/>
        <w:ind w:left="34"/>
        <w:rPr>
          <w:rFonts w:ascii="Arial" w:hAnsi="Arial" w:cs="Arial"/>
          <w:szCs w:val="24"/>
        </w:rPr>
      </w:pPr>
    </w:p>
    <w:p w14:paraId="42436F1A"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However, it must be acknowledged that there will always be a balance between risk and return and hence the strategy does not </w:t>
      </w:r>
      <w:proofErr w:type="gramStart"/>
      <w:r w:rsidRPr="00C17D82">
        <w:rPr>
          <w:rFonts w:ascii="Arial" w:hAnsi="Arial" w:cs="Arial"/>
          <w:szCs w:val="24"/>
        </w:rPr>
        <w:t>completely eliminate</w:t>
      </w:r>
      <w:proofErr w:type="gramEnd"/>
      <w:r w:rsidRPr="00C17D82">
        <w:rPr>
          <w:rFonts w:ascii="Arial" w:hAnsi="Arial" w:cs="Arial"/>
          <w:szCs w:val="24"/>
        </w:rPr>
        <w:t xml:space="preserve"> the risk of any further default on investments in the future.</w:t>
      </w:r>
    </w:p>
    <w:p w14:paraId="300A1B47" w14:textId="77777777" w:rsidR="00C17D82" w:rsidRPr="00C17D82" w:rsidRDefault="00C17D82" w:rsidP="00B41966">
      <w:pPr>
        <w:spacing w:line="259" w:lineRule="auto"/>
        <w:ind w:left="34"/>
        <w:rPr>
          <w:rFonts w:ascii="Arial" w:hAnsi="Arial" w:cs="Arial"/>
          <w:szCs w:val="24"/>
        </w:rPr>
      </w:pPr>
      <w:r w:rsidRPr="00C17D82">
        <w:rPr>
          <w:rFonts w:ascii="Arial" w:hAnsi="Arial" w:cs="Arial"/>
          <w:szCs w:val="24"/>
        </w:rPr>
        <w:t xml:space="preserve"> </w:t>
      </w:r>
    </w:p>
    <w:p w14:paraId="0EC53CAD" w14:textId="77777777" w:rsidR="00C17D82" w:rsidRPr="00C17D82" w:rsidRDefault="00C17D82" w:rsidP="00B41966">
      <w:pPr>
        <w:spacing w:line="250" w:lineRule="auto"/>
        <w:ind w:left="29"/>
        <w:rPr>
          <w:rFonts w:ascii="Arial" w:hAnsi="Arial" w:cs="Arial"/>
          <w:szCs w:val="24"/>
        </w:rPr>
      </w:pPr>
      <w:r w:rsidRPr="00C17D82">
        <w:rPr>
          <w:rFonts w:ascii="Arial" w:hAnsi="Arial" w:cs="Arial"/>
          <w:b/>
          <w:szCs w:val="24"/>
        </w:rPr>
        <w:t xml:space="preserve">Local Government (Access to Information) Act 1985 </w:t>
      </w:r>
    </w:p>
    <w:p w14:paraId="3FB57012" w14:textId="77777777" w:rsidR="00C17D82" w:rsidRPr="00C17D82" w:rsidRDefault="00C17D82" w:rsidP="00B41966">
      <w:pPr>
        <w:pStyle w:val="Heading1"/>
        <w:spacing w:after="0"/>
        <w:ind w:left="29"/>
        <w:rPr>
          <w:szCs w:val="24"/>
        </w:rPr>
      </w:pPr>
      <w:r w:rsidRPr="00C17D82">
        <w:rPr>
          <w:szCs w:val="24"/>
        </w:rPr>
        <w:t xml:space="preserve">List of Background Papers </w:t>
      </w:r>
    </w:p>
    <w:p w14:paraId="2E99375C" w14:textId="77777777" w:rsidR="00C17D82" w:rsidRPr="00C17D82" w:rsidRDefault="00C17D82" w:rsidP="00B41966">
      <w:pPr>
        <w:rPr>
          <w:rFonts w:ascii="Arial" w:hAnsi="Arial" w:cs="Arial"/>
          <w:szCs w:val="24"/>
        </w:rPr>
      </w:pPr>
    </w:p>
    <w:p w14:paraId="46ED8F93" w14:textId="77777777" w:rsidR="00C17D82" w:rsidRPr="00C17D82" w:rsidRDefault="00C17D82" w:rsidP="00B41966">
      <w:pPr>
        <w:keepNext/>
        <w:rPr>
          <w:rFonts w:ascii="Arial" w:hAnsi="Arial" w:cs="Arial"/>
          <w:szCs w:val="24"/>
        </w:rPr>
      </w:pPr>
      <w:r w:rsidRPr="00C17D82">
        <w:rPr>
          <w:rFonts w:ascii="Arial" w:eastAsia="Calibri" w:hAnsi="Arial" w:cs="Arial"/>
          <w:i/>
          <w:iCs/>
          <w:color w:val="44546A"/>
          <w:szCs w:val="24"/>
        </w:rPr>
        <w:t xml:space="preserve">Table 15 Details of any background papers </w:t>
      </w:r>
    </w:p>
    <w:p w14:paraId="22A9DB5D" w14:textId="77777777" w:rsidR="00C17D82" w:rsidRPr="00C17D82" w:rsidRDefault="00C17D82" w:rsidP="001366E5">
      <w:pPr>
        <w:pStyle w:val="Caption"/>
        <w:keepNext/>
        <w:rPr>
          <w:rFonts w:cs="Arial"/>
          <w:szCs w:val="24"/>
        </w:rPr>
      </w:pPr>
      <w:bookmarkStart w:id="11" w:name="_Hlk88028485"/>
      <w:r w:rsidRPr="00C17D82">
        <w:rPr>
          <w:rFonts w:cs="Arial"/>
          <w:szCs w:val="24"/>
        </w:rPr>
        <w:t xml:space="preserve">Table </w:t>
      </w:r>
      <w:r w:rsidRPr="00C17D82">
        <w:rPr>
          <w:rFonts w:cs="Arial"/>
          <w:szCs w:val="24"/>
        </w:rPr>
        <w:fldChar w:fldCharType="begin"/>
      </w:r>
      <w:r w:rsidRPr="00C17D82">
        <w:rPr>
          <w:rFonts w:cs="Arial"/>
          <w:szCs w:val="24"/>
        </w:rPr>
        <w:instrText xml:space="preserve"> SEQ Table \* ARABIC </w:instrText>
      </w:r>
      <w:r w:rsidRPr="00C17D82">
        <w:rPr>
          <w:rFonts w:cs="Arial"/>
          <w:szCs w:val="24"/>
        </w:rPr>
        <w:fldChar w:fldCharType="separate"/>
      </w:r>
      <w:r w:rsidRPr="00C17D82">
        <w:rPr>
          <w:rFonts w:cs="Arial"/>
          <w:noProof/>
          <w:szCs w:val="24"/>
        </w:rPr>
        <w:t>2</w:t>
      </w:r>
      <w:r w:rsidRPr="00C17D82">
        <w:rPr>
          <w:rFonts w:cs="Arial"/>
          <w:noProof/>
          <w:szCs w:val="24"/>
        </w:rPr>
        <w:fldChar w:fldCharType="end"/>
      </w:r>
      <w:r w:rsidRPr="00C17D82">
        <w:rPr>
          <w:rFonts w:cs="Arial"/>
          <w:szCs w:val="24"/>
        </w:rPr>
        <w:t xml:space="preserve"> Details of any background papers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1"/>
      </w:tblGrid>
      <w:tr w:rsidR="00C17D82" w:rsidRPr="00C17D82" w14:paraId="2DCF7372" w14:textId="77777777" w:rsidTr="00891755">
        <w:tc>
          <w:tcPr>
            <w:tcW w:w="4957" w:type="dxa"/>
            <w:tcBorders>
              <w:top w:val="single" w:sz="4" w:space="0" w:color="auto"/>
              <w:left w:val="single" w:sz="4" w:space="0" w:color="auto"/>
              <w:bottom w:val="single" w:sz="4" w:space="0" w:color="auto"/>
              <w:right w:val="single" w:sz="4" w:space="0" w:color="auto"/>
            </w:tcBorders>
            <w:shd w:val="clear" w:color="auto" w:fill="auto"/>
          </w:tcPr>
          <w:p w14:paraId="695133E8" w14:textId="77777777" w:rsidR="00C17D82" w:rsidRPr="00C17D82" w:rsidRDefault="00C17D82" w:rsidP="00B41966">
            <w:pPr>
              <w:rPr>
                <w:rFonts w:ascii="Arial" w:eastAsia="Calibri" w:hAnsi="Arial" w:cs="Arial"/>
                <w:szCs w:val="24"/>
              </w:rPr>
            </w:pPr>
            <w:r w:rsidRPr="00C17D82">
              <w:rPr>
                <w:rFonts w:ascii="Arial" w:eastAsia="Calibri" w:hAnsi="Arial" w:cs="Arial"/>
                <w:szCs w:val="24"/>
              </w:rPr>
              <w:t>Paper: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41432A"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CIPFA Treasury Management Code of Practice and Guidance and</w:t>
            </w:r>
          </w:p>
          <w:p w14:paraId="41BA9413"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 xml:space="preserve">Treasury Management in the Public Services: Code of Practice   </w:t>
            </w:r>
          </w:p>
        </w:tc>
      </w:tr>
      <w:tr w:rsidR="00C17D82" w:rsidRPr="00C17D82" w14:paraId="057B3465" w14:textId="77777777" w:rsidTr="00891755">
        <w:tc>
          <w:tcPr>
            <w:tcW w:w="4957" w:type="dxa"/>
            <w:tcBorders>
              <w:top w:val="single" w:sz="4" w:space="0" w:color="auto"/>
              <w:left w:val="single" w:sz="4" w:space="0" w:color="auto"/>
              <w:bottom w:val="single" w:sz="4" w:space="0" w:color="auto"/>
              <w:right w:val="single" w:sz="4" w:space="0" w:color="auto"/>
            </w:tcBorders>
            <w:shd w:val="clear" w:color="auto" w:fill="auto"/>
          </w:tcPr>
          <w:p w14:paraId="0A8CAE64" w14:textId="77777777" w:rsidR="00C17D82" w:rsidRPr="00C17D82" w:rsidRDefault="00C17D82" w:rsidP="00B41966">
            <w:pPr>
              <w:rPr>
                <w:rFonts w:ascii="Arial" w:eastAsia="Calibri" w:hAnsi="Arial" w:cs="Arial"/>
                <w:szCs w:val="24"/>
              </w:rPr>
            </w:pPr>
            <w:r w:rsidRPr="00C17D82">
              <w:rPr>
                <w:rFonts w:ascii="Arial" w:eastAsia="Calibri" w:hAnsi="Arial" w:cs="Arial"/>
                <w:szCs w:val="24"/>
              </w:rPr>
              <w:t>Date:</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0ADADD"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2025</w:t>
            </w:r>
          </w:p>
        </w:tc>
      </w:tr>
      <w:tr w:rsidR="00C17D82" w:rsidRPr="00C17D82" w14:paraId="26B4FA02" w14:textId="77777777" w:rsidTr="00891755">
        <w:tc>
          <w:tcPr>
            <w:tcW w:w="4957" w:type="dxa"/>
            <w:tcBorders>
              <w:top w:val="single" w:sz="4" w:space="0" w:color="auto"/>
              <w:left w:val="single" w:sz="4" w:space="0" w:color="auto"/>
              <w:bottom w:val="single" w:sz="4" w:space="0" w:color="auto"/>
              <w:right w:val="single" w:sz="4" w:space="0" w:color="auto"/>
            </w:tcBorders>
            <w:shd w:val="clear" w:color="auto" w:fill="auto"/>
          </w:tcPr>
          <w:p w14:paraId="6295AD94" w14:textId="77777777" w:rsidR="00C17D82" w:rsidRPr="00C17D82" w:rsidRDefault="00C17D82" w:rsidP="00B41966">
            <w:pPr>
              <w:rPr>
                <w:rFonts w:ascii="Arial" w:eastAsia="Calibri" w:hAnsi="Arial" w:cs="Arial"/>
                <w:szCs w:val="24"/>
              </w:rPr>
            </w:pPr>
            <w:r w:rsidRPr="00C17D82">
              <w:rPr>
                <w:rFonts w:ascii="Arial" w:eastAsia="Calibri" w:hAnsi="Arial" w:cs="Arial"/>
                <w:szCs w:val="24"/>
              </w:rPr>
              <w:t>Contact: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30EB06" w14:textId="77777777" w:rsidR="00C17D82" w:rsidRPr="00C17D82" w:rsidRDefault="00C17D82" w:rsidP="00B41966">
            <w:pPr>
              <w:spacing w:line="259" w:lineRule="auto"/>
              <w:rPr>
                <w:rFonts w:ascii="Arial" w:hAnsi="Arial" w:cs="Arial"/>
                <w:szCs w:val="24"/>
              </w:rPr>
            </w:pPr>
            <w:r w:rsidRPr="00C17D82">
              <w:rPr>
                <w:rFonts w:ascii="Arial" w:hAnsi="Arial" w:cs="Arial"/>
                <w:szCs w:val="24"/>
              </w:rPr>
              <w:t>Steven Brown</w:t>
            </w:r>
          </w:p>
        </w:tc>
      </w:tr>
      <w:tr w:rsidR="00C17D82" w:rsidRPr="00C17D82" w14:paraId="07CEFA89" w14:textId="77777777" w:rsidTr="00891755">
        <w:tc>
          <w:tcPr>
            <w:tcW w:w="4957" w:type="dxa"/>
            <w:shd w:val="clear" w:color="auto" w:fill="auto"/>
          </w:tcPr>
          <w:p w14:paraId="07E7D461" w14:textId="77777777" w:rsidR="00C17D82" w:rsidRPr="00C17D82" w:rsidRDefault="00C17D82" w:rsidP="00B41966">
            <w:pPr>
              <w:rPr>
                <w:rFonts w:ascii="Arial" w:eastAsia="Calibri" w:hAnsi="Arial" w:cs="Arial"/>
                <w:szCs w:val="24"/>
              </w:rPr>
            </w:pPr>
            <w:r w:rsidRPr="00C17D82">
              <w:rPr>
                <w:rFonts w:ascii="Arial" w:eastAsia="Calibri" w:hAnsi="Arial" w:cs="Arial"/>
                <w:szCs w:val="24"/>
              </w:rPr>
              <w:t>Reason for inclusion in Part 2 if appropriate:</w:t>
            </w:r>
          </w:p>
        </w:tc>
        <w:tc>
          <w:tcPr>
            <w:tcW w:w="4111" w:type="dxa"/>
            <w:shd w:val="clear" w:color="auto" w:fill="auto"/>
          </w:tcPr>
          <w:p w14:paraId="63CB42CF" w14:textId="77777777" w:rsidR="00C17D82" w:rsidRPr="00C17D82" w:rsidRDefault="00C17D82" w:rsidP="00B41966">
            <w:pPr>
              <w:rPr>
                <w:rFonts w:ascii="Arial" w:eastAsia="Calibri" w:hAnsi="Arial" w:cs="Arial"/>
                <w:szCs w:val="24"/>
              </w:rPr>
            </w:pPr>
          </w:p>
        </w:tc>
      </w:tr>
    </w:tbl>
    <w:bookmarkEnd w:id="11"/>
    <w:p w14:paraId="2A6E0C7F" w14:textId="77777777" w:rsidR="00C17D82" w:rsidRPr="00C17D82" w:rsidRDefault="00C17D82" w:rsidP="00B41966">
      <w:pPr>
        <w:pStyle w:val="Header"/>
        <w:rPr>
          <w:rFonts w:ascii="Arial" w:hAnsi="Arial" w:cs="Arial"/>
          <w:b/>
          <w:sz w:val="24"/>
          <w:szCs w:val="24"/>
        </w:rPr>
      </w:pPr>
      <w:r w:rsidRPr="00C17D82">
        <w:rPr>
          <w:rFonts w:ascii="Arial" w:hAnsi="Arial" w:cs="Arial"/>
          <w:sz w:val="24"/>
          <w:szCs w:val="24"/>
          <w:highlight w:val="yellow"/>
        </w:rPr>
        <w:t xml:space="preserve"> </w:t>
      </w:r>
      <w:r w:rsidRPr="00C17D82">
        <w:rPr>
          <w:rFonts w:ascii="Arial" w:hAnsi="Arial" w:cs="Arial"/>
          <w:b/>
          <w:sz w:val="24"/>
          <w:szCs w:val="24"/>
        </w:rPr>
        <w:br w:type="page"/>
      </w:r>
    </w:p>
    <w:p w14:paraId="5AE23CDA" w14:textId="77777777" w:rsidR="00C17D82" w:rsidRPr="00C17D82" w:rsidRDefault="00C17D82" w:rsidP="00B41966">
      <w:pPr>
        <w:spacing w:line="259" w:lineRule="auto"/>
        <w:ind w:left="34"/>
        <w:rPr>
          <w:rFonts w:ascii="Arial" w:hAnsi="Arial" w:cs="Arial"/>
          <w:szCs w:val="24"/>
        </w:rPr>
      </w:pPr>
      <w:r w:rsidRPr="00C17D82">
        <w:rPr>
          <w:rFonts w:ascii="Arial" w:hAnsi="Arial" w:cs="Arial"/>
          <w:b/>
          <w:szCs w:val="24"/>
        </w:rPr>
        <w:lastRenderedPageBreak/>
        <w:t>APPENDIX 1</w:t>
      </w:r>
    </w:p>
    <w:p w14:paraId="3445536F" w14:textId="77777777" w:rsidR="00C17D82" w:rsidRPr="00C17D82" w:rsidRDefault="00C17D82" w:rsidP="00B41966">
      <w:pPr>
        <w:spacing w:line="259" w:lineRule="auto"/>
        <w:rPr>
          <w:rFonts w:ascii="Arial" w:hAnsi="Arial" w:cs="Arial"/>
          <w:szCs w:val="24"/>
        </w:rPr>
      </w:pPr>
    </w:p>
    <w:p w14:paraId="629E93CD" w14:textId="77777777" w:rsidR="00C17D82" w:rsidRPr="00C17D82" w:rsidRDefault="00C17D82" w:rsidP="00B41966">
      <w:pPr>
        <w:pStyle w:val="Heading1"/>
        <w:spacing w:after="0"/>
        <w:ind w:left="29"/>
        <w:rPr>
          <w:szCs w:val="24"/>
        </w:rPr>
      </w:pPr>
      <w:r w:rsidRPr="00C17D82">
        <w:rPr>
          <w:szCs w:val="24"/>
        </w:rPr>
        <w:t xml:space="preserve">Treasury Management Policy Statement </w:t>
      </w:r>
    </w:p>
    <w:p w14:paraId="78990E70" w14:textId="77777777" w:rsidR="00C17D82" w:rsidRPr="00C17D82" w:rsidRDefault="00C17D82" w:rsidP="00B41966">
      <w:pPr>
        <w:spacing w:line="259" w:lineRule="auto"/>
        <w:ind w:left="34"/>
        <w:rPr>
          <w:rFonts w:ascii="Arial" w:hAnsi="Arial" w:cs="Arial"/>
          <w:szCs w:val="24"/>
        </w:rPr>
      </w:pPr>
    </w:p>
    <w:p w14:paraId="22CBDF44"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 adopts the key recommendations of CIPFA’s Treasury Management in the Public Services: Code of Practice (the Code), as described in Section 5 of the Code. </w:t>
      </w:r>
    </w:p>
    <w:p w14:paraId="024101DC" w14:textId="77777777" w:rsidR="00C17D82" w:rsidRPr="00C17D82" w:rsidRDefault="00C17D82" w:rsidP="00B41966">
      <w:pPr>
        <w:ind w:left="29" w:right="53"/>
        <w:rPr>
          <w:rFonts w:ascii="Arial" w:hAnsi="Arial" w:cs="Arial"/>
          <w:szCs w:val="24"/>
        </w:rPr>
      </w:pPr>
    </w:p>
    <w:p w14:paraId="12F0F359" w14:textId="77777777" w:rsidR="00C17D82" w:rsidRPr="00C17D82" w:rsidRDefault="00C17D82" w:rsidP="00B41966">
      <w:pPr>
        <w:ind w:left="29" w:right="53"/>
        <w:rPr>
          <w:rFonts w:ascii="Arial" w:hAnsi="Arial" w:cs="Arial"/>
          <w:szCs w:val="24"/>
        </w:rPr>
      </w:pPr>
      <w:r w:rsidRPr="00C17D82">
        <w:rPr>
          <w:rFonts w:ascii="Arial" w:hAnsi="Arial" w:cs="Arial"/>
          <w:szCs w:val="24"/>
        </w:rPr>
        <w:tab/>
        <w:t xml:space="preserve">Accordingly, the Authority will create and maintain, as the cornerstones for effective treasury </w:t>
      </w:r>
      <w:proofErr w:type="gramStart"/>
      <w:r w:rsidRPr="00C17D82">
        <w:rPr>
          <w:rFonts w:ascii="Arial" w:hAnsi="Arial" w:cs="Arial"/>
          <w:szCs w:val="24"/>
        </w:rPr>
        <w:t>management:-</w:t>
      </w:r>
      <w:proofErr w:type="gramEnd"/>
    </w:p>
    <w:p w14:paraId="40B44712" w14:textId="77777777" w:rsidR="00C17D82" w:rsidRPr="00C17D82" w:rsidRDefault="00C17D82" w:rsidP="00C17D82">
      <w:pPr>
        <w:pStyle w:val="ListParagraph"/>
        <w:numPr>
          <w:ilvl w:val="0"/>
          <w:numId w:val="18"/>
        </w:numPr>
        <w:spacing w:line="249" w:lineRule="auto"/>
        <w:ind w:right="53"/>
        <w:rPr>
          <w:rFonts w:ascii="Arial" w:hAnsi="Arial" w:cs="Arial"/>
          <w:szCs w:val="24"/>
        </w:rPr>
      </w:pPr>
      <w:r w:rsidRPr="00C17D82">
        <w:rPr>
          <w:rFonts w:ascii="Arial" w:hAnsi="Arial" w:cs="Arial"/>
          <w:szCs w:val="24"/>
        </w:rPr>
        <w:t>A treasury management policy statement stating the policies, objectives and approach to risk management of its treasury management activities</w:t>
      </w:r>
    </w:p>
    <w:p w14:paraId="5F174EAF" w14:textId="77777777" w:rsidR="00C17D82" w:rsidRPr="00C17D82" w:rsidRDefault="00C17D82" w:rsidP="00C17D82">
      <w:pPr>
        <w:pStyle w:val="ListParagraph"/>
        <w:numPr>
          <w:ilvl w:val="0"/>
          <w:numId w:val="18"/>
        </w:numPr>
        <w:spacing w:line="249" w:lineRule="auto"/>
        <w:ind w:right="53"/>
        <w:rPr>
          <w:rFonts w:ascii="Arial" w:hAnsi="Arial" w:cs="Arial"/>
          <w:szCs w:val="24"/>
        </w:rPr>
      </w:pPr>
      <w:r w:rsidRPr="00C17D82">
        <w:rPr>
          <w:rFonts w:ascii="Arial" w:hAnsi="Arial" w:cs="Arial"/>
          <w:szCs w:val="24"/>
        </w:rPr>
        <w:t xml:space="preserve">Suitable treasury management practices (TMPs), setting out the </w:t>
      </w:r>
      <w:proofErr w:type="gramStart"/>
      <w:r w:rsidRPr="00C17D82">
        <w:rPr>
          <w:rFonts w:ascii="Arial" w:hAnsi="Arial" w:cs="Arial"/>
          <w:szCs w:val="24"/>
        </w:rPr>
        <w:t>manner in which</w:t>
      </w:r>
      <w:proofErr w:type="gramEnd"/>
      <w:r w:rsidRPr="00C17D82">
        <w:rPr>
          <w:rFonts w:ascii="Arial" w:hAnsi="Arial" w:cs="Arial"/>
          <w:szCs w:val="24"/>
        </w:rPr>
        <w:t xml:space="preserve"> the Authority will seek to achieve those policies and objectives, and prescribing how it will manage and control those activities</w:t>
      </w:r>
    </w:p>
    <w:p w14:paraId="1C3284EA" w14:textId="77777777" w:rsidR="00C17D82" w:rsidRPr="00C17D82" w:rsidRDefault="00C17D82" w:rsidP="00B41966">
      <w:pPr>
        <w:ind w:left="29" w:right="53"/>
        <w:rPr>
          <w:rFonts w:ascii="Arial" w:hAnsi="Arial" w:cs="Arial"/>
          <w:szCs w:val="24"/>
        </w:rPr>
      </w:pPr>
      <w:r w:rsidRPr="00C17D82">
        <w:rPr>
          <w:rFonts w:ascii="Arial" w:hAnsi="Arial" w:cs="Arial"/>
          <w:szCs w:val="24"/>
        </w:rPr>
        <w:tab/>
      </w:r>
    </w:p>
    <w:p w14:paraId="5921C9B7" w14:textId="77777777" w:rsidR="00C17D82" w:rsidRPr="00C17D82" w:rsidRDefault="00C17D82" w:rsidP="00B41966">
      <w:pPr>
        <w:ind w:left="29" w:right="53"/>
        <w:rPr>
          <w:rFonts w:ascii="Arial" w:hAnsi="Arial" w:cs="Arial"/>
          <w:szCs w:val="24"/>
        </w:rPr>
      </w:pPr>
      <w:r w:rsidRPr="00C17D82">
        <w:rPr>
          <w:rFonts w:ascii="Arial" w:hAnsi="Arial" w:cs="Arial"/>
          <w:szCs w:val="24"/>
        </w:rPr>
        <w:tab/>
        <w:t>The Authority delegates responsibility for the implementation and monitoring of its treasury management policies and practices to the Resources Committee and for the execution and administration of treasury management decisions to the Director of Corporate Services, who will act in accordance with the organisation’s policy statement and TMPs, IMPs and CIPFA’s Standard of Professional Practice on treasury management.</w:t>
      </w:r>
    </w:p>
    <w:p w14:paraId="004460FA" w14:textId="77777777" w:rsidR="00C17D82" w:rsidRPr="00C17D82" w:rsidRDefault="00C17D82" w:rsidP="00B41966">
      <w:pPr>
        <w:ind w:left="29" w:right="53"/>
        <w:rPr>
          <w:rFonts w:ascii="Arial" w:hAnsi="Arial" w:cs="Arial"/>
          <w:szCs w:val="24"/>
        </w:rPr>
      </w:pPr>
    </w:p>
    <w:p w14:paraId="5A491516" w14:textId="77777777" w:rsidR="00C17D82" w:rsidRPr="00C17D82" w:rsidRDefault="00C17D82" w:rsidP="00B41966">
      <w:pPr>
        <w:ind w:left="29" w:right="53"/>
        <w:rPr>
          <w:rFonts w:ascii="Arial" w:hAnsi="Arial" w:cs="Arial"/>
          <w:szCs w:val="24"/>
        </w:rPr>
      </w:pPr>
      <w:r w:rsidRPr="00C17D82">
        <w:rPr>
          <w:rFonts w:ascii="Arial" w:hAnsi="Arial" w:cs="Arial"/>
          <w:szCs w:val="24"/>
        </w:rPr>
        <w:t>The Authority nominates the Resources Committee to be responsible for ensuring effective scrutiny of the treasury management strategy and policies.</w:t>
      </w:r>
    </w:p>
    <w:p w14:paraId="40BAC4A9" w14:textId="77777777" w:rsidR="00C17D82" w:rsidRPr="00C17D82" w:rsidRDefault="00C17D82" w:rsidP="00B41966">
      <w:pPr>
        <w:spacing w:line="259" w:lineRule="auto"/>
        <w:ind w:left="34"/>
        <w:rPr>
          <w:rFonts w:ascii="Arial" w:hAnsi="Arial" w:cs="Arial"/>
          <w:szCs w:val="24"/>
        </w:rPr>
      </w:pPr>
    </w:p>
    <w:p w14:paraId="58175D30" w14:textId="77777777" w:rsidR="00C17D82" w:rsidRPr="00C17D82" w:rsidRDefault="00C17D82" w:rsidP="00B41966">
      <w:pPr>
        <w:pStyle w:val="Heading2"/>
        <w:ind w:left="29"/>
        <w:rPr>
          <w:szCs w:val="24"/>
        </w:rPr>
      </w:pPr>
      <w:r w:rsidRPr="00C17D82">
        <w:rPr>
          <w:szCs w:val="24"/>
        </w:rPr>
        <w:t xml:space="preserve">Definition </w:t>
      </w:r>
    </w:p>
    <w:p w14:paraId="135ED375"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Authority defines its treasury management activities as: the management of the Authority’s investments and cash flows, its banking, money market and capital market transactions; the effective control of the risks associated with those activities; and the pursuit of optimum performance consistent with those risks. </w:t>
      </w:r>
    </w:p>
    <w:p w14:paraId="37E2DAE3" w14:textId="77777777" w:rsidR="00C17D82" w:rsidRPr="00C17D82" w:rsidRDefault="00C17D82" w:rsidP="00B41966">
      <w:pPr>
        <w:spacing w:line="259" w:lineRule="auto"/>
        <w:ind w:left="34"/>
        <w:rPr>
          <w:rFonts w:ascii="Arial" w:hAnsi="Arial" w:cs="Arial"/>
          <w:szCs w:val="24"/>
        </w:rPr>
      </w:pPr>
    </w:p>
    <w:p w14:paraId="14F416D3" w14:textId="77777777" w:rsidR="00C17D82" w:rsidRPr="00C17D82" w:rsidRDefault="00C17D82" w:rsidP="00B41966">
      <w:pPr>
        <w:pStyle w:val="Heading2"/>
        <w:ind w:left="29"/>
        <w:rPr>
          <w:szCs w:val="24"/>
        </w:rPr>
      </w:pPr>
      <w:r w:rsidRPr="00C17D82">
        <w:rPr>
          <w:szCs w:val="24"/>
        </w:rPr>
        <w:t xml:space="preserve">Risk management </w:t>
      </w:r>
    </w:p>
    <w:p w14:paraId="731C66C1"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 regards the successful identification, monitoring and control of risk to be the prime criteria by which the effectiveness of its treasury management activities will be measured.  Accordingly, the analysis and reporting of treasury management activities will focus on their risk implications for the organisation, and any financial instruments </w:t>
      </w:r>
      <w:proofErr w:type="gramStart"/>
      <w:r w:rsidRPr="00C17D82">
        <w:rPr>
          <w:rFonts w:ascii="Arial" w:hAnsi="Arial" w:cs="Arial"/>
          <w:szCs w:val="24"/>
        </w:rPr>
        <w:t>entered into</w:t>
      </w:r>
      <w:proofErr w:type="gramEnd"/>
      <w:r w:rsidRPr="00C17D82">
        <w:rPr>
          <w:rFonts w:ascii="Arial" w:hAnsi="Arial" w:cs="Arial"/>
          <w:szCs w:val="24"/>
        </w:rPr>
        <w:t xml:space="preserve"> to manage these risks. </w:t>
      </w:r>
    </w:p>
    <w:p w14:paraId="239EEC9B" w14:textId="77777777" w:rsidR="00C17D82" w:rsidRPr="00C17D82" w:rsidRDefault="00C17D82" w:rsidP="00B41966">
      <w:pPr>
        <w:spacing w:line="259" w:lineRule="auto"/>
        <w:ind w:left="34"/>
        <w:rPr>
          <w:rFonts w:ascii="Arial" w:hAnsi="Arial" w:cs="Arial"/>
          <w:szCs w:val="24"/>
        </w:rPr>
      </w:pPr>
    </w:p>
    <w:p w14:paraId="22E7BEC4" w14:textId="77777777" w:rsidR="00C17D82" w:rsidRPr="00C17D82" w:rsidRDefault="00C17D82" w:rsidP="00B41966">
      <w:pPr>
        <w:pStyle w:val="Heading2"/>
        <w:ind w:left="29"/>
        <w:rPr>
          <w:szCs w:val="24"/>
        </w:rPr>
      </w:pPr>
      <w:r w:rsidRPr="00C17D82">
        <w:rPr>
          <w:szCs w:val="24"/>
        </w:rPr>
        <w:t xml:space="preserve">Value for money </w:t>
      </w:r>
    </w:p>
    <w:p w14:paraId="2F8E317B"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 acknowledges that effective treasury management will provide support towards the achievement of its business and service objectives.  It is therefore committed to the principles of achieving value for money in treasury management, and to employing suitable comprehensive performance measurement techniques, within the context of effective risk management. </w:t>
      </w:r>
    </w:p>
    <w:p w14:paraId="7D0D1213" w14:textId="77777777" w:rsidR="00C17D82" w:rsidRPr="00C17D82" w:rsidRDefault="00C17D82" w:rsidP="00B41966">
      <w:pPr>
        <w:spacing w:line="259" w:lineRule="auto"/>
        <w:ind w:left="34"/>
        <w:rPr>
          <w:rFonts w:ascii="Arial" w:hAnsi="Arial" w:cs="Arial"/>
          <w:szCs w:val="24"/>
        </w:rPr>
      </w:pPr>
    </w:p>
    <w:p w14:paraId="797B4D4C" w14:textId="77777777" w:rsidR="00C17D82" w:rsidRPr="00C17D82" w:rsidRDefault="00C17D82" w:rsidP="00B41966">
      <w:pPr>
        <w:pStyle w:val="Heading2"/>
        <w:ind w:left="29"/>
        <w:rPr>
          <w:szCs w:val="24"/>
        </w:rPr>
      </w:pPr>
      <w:r w:rsidRPr="00C17D82">
        <w:rPr>
          <w:szCs w:val="24"/>
        </w:rPr>
        <w:t xml:space="preserve">Borrowing policy  </w:t>
      </w:r>
    </w:p>
    <w:p w14:paraId="0A515A1E"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 greatly values revenue budget stability and will therefore borrow </w:t>
      </w:r>
      <w:proofErr w:type="gramStart"/>
      <w:r w:rsidRPr="00C17D82">
        <w:rPr>
          <w:rFonts w:ascii="Arial" w:hAnsi="Arial" w:cs="Arial"/>
          <w:szCs w:val="24"/>
        </w:rPr>
        <w:t>the majority of</w:t>
      </w:r>
      <w:proofErr w:type="gramEnd"/>
      <w:r w:rsidRPr="00C17D82">
        <w:rPr>
          <w:rFonts w:ascii="Arial" w:hAnsi="Arial" w:cs="Arial"/>
          <w:szCs w:val="24"/>
        </w:rPr>
        <w:t xml:space="preserve"> its long-term funding needs at long-term fixed rates of interest. </w:t>
      </w:r>
      <w:r w:rsidRPr="00C17D82">
        <w:rPr>
          <w:rFonts w:ascii="Arial" w:hAnsi="Arial" w:cs="Arial"/>
          <w:szCs w:val="24"/>
        </w:rPr>
        <w:lastRenderedPageBreak/>
        <w:t xml:space="preserve">However, short term and variable rate loans may be borrowed to either offset short-term and variable rate investments or to produce revenue savings. The Authority will also constantly evaluate debt restructuring opportunities of the existing portfolio. </w:t>
      </w:r>
    </w:p>
    <w:p w14:paraId="6DFAEDF6" w14:textId="77777777" w:rsidR="00C17D82" w:rsidRPr="00C17D82" w:rsidRDefault="00C17D82" w:rsidP="00B41966">
      <w:pPr>
        <w:ind w:left="29" w:right="53"/>
        <w:rPr>
          <w:rFonts w:ascii="Arial" w:hAnsi="Arial" w:cs="Arial"/>
          <w:szCs w:val="24"/>
        </w:rPr>
      </w:pPr>
    </w:p>
    <w:p w14:paraId="4E87F7FE"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 will set an affordable borrowing limit each year in compliance with the </w:t>
      </w:r>
      <w:r w:rsidRPr="00C17D82">
        <w:rPr>
          <w:rFonts w:ascii="Arial" w:hAnsi="Arial" w:cs="Arial"/>
          <w:i/>
          <w:szCs w:val="24"/>
        </w:rPr>
        <w:t>Local Government Act 2003</w:t>
      </w:r>
      <w:r w:rsidRPr="00C17D82">
        <w:rPr>
          <w:rFonts w:ascii="Arial" w:hAnsi="Arial" w:cs="Arial"/>
          <w:szCs w:val="24"/>
        </w:rPr>
        <w:t xml:space="preserve"> and will have regard to the </w:t>
      </w:r>
      <w:r w:rsidRPr="00C17D82">
        <w:rPr>
          <w:rFonts w:ascii="Arial" w:hAnsi="Arial" w:cs="Arial"/>
          <w:i/>
          <w:szCs w:val="24"/>
        </w:rPr>
        <w:t xml:space="preserve">CIPFA Prudential Code for Capital Finance in Local Authorities </w:t>
      </w:r>
      <w:r w:rsidRPr="00C17D82">
        <w:rPr>
          <w:rFonts w:ascii="Arial" w:hAnsi="Arial" w:cs="Arial"/>
          <w:szCs w:val="24"/>
        </w:rPr>
        <w:t xml:space="preserve">when setting that limit.  It will also set limits on its exposure to changes in interest rates and limits on the maturity structure of its borrowing in the treasury management strategy report each year. </w:t>
      </w:r>
    </w:p>
    <w:p w14:paraId="5141AE67" w14:textId="77777777" w:rsidR="00C17D82" w:rsidRPr="00C17D82" w:rsidRDefault="00C17D82" w:rsidP="00B41966">
      <w:pPr>
        <w:spacing w:line="259" w:lineRule="auto"/>
        <w:ind w:left="34"/>
        <w:rPr>
          <w:rFonts w:ascii="Arial" w:hAnsi="Arial" w:cs="Arial"/>
          <w:szCs w:val="24"/>
        </w:rPr>
      </w:pPr>
    </w:p>
    <w:p w14:paraId="5FCC8B2B" w14:textId="77777777" w:rsidR="00C17D82" w:rsidRPr="00C17D82" w:rsidRDefault="00C17D82" w:rsidP="00B41966">
      <w:pPr>
        <w:pStyle w:val="Heading2"/>
        <w:ind w:left="29"/>
        <w:rPr>
          <w:szCs w:val="24"/>
        </w:rPr>
      </w:pPr>
      <w:r w:rsidRPr="00C17D82">
        <w:rPr>
          <w:szCs w:val="24"/>
        </w:rPr>
        <w:t xml:space="preserve">Investment policy  </w:t>
      </w:r>
    </w:p>
    <w:p w14:paraId="4503E416" w14:textId="77777777" w:rsidR="00C17D82" w:rsidRPr="00C17D82" w:rsidRDefault="00C17D82" w:rsidP="00B41966">
      <w:pPr>
        <w:ind w:left="29" w:right="53"/>
        <w:rPr>
          <w:rFonts w:ascii="Arial" w:hAnsi="Arial" w:cs="Arial"/>
          <w:szCs w:val="24"/>
        </w:rPr>
      </w:pPr>
      <w:r w:rsidRPr="00C17D82">
        <w:rPr>
          <w:rFonts w:ascii="Arial" w:hAnsi="Arial" w:cs="Arial"/>
          <w:szCs w:val="24"/>
        </w:rPr>
        <w:t xml:space="preserve">The Fire Authority’s primary objectives for the investment of its surplus funds are to protect the principal sums invested from loss, and to ensure adequate liquidity so that funds are available for expenditure when needed.  The generation of investment income to support the provision of local authority services is an important, but secondary, objective.  </w:t>
      </w:r>
    </w:p>
    <w:p w14:paraId="4151F64F" w14:textId="77777777" w:rsidR="00C17D82" w:rsidRPr="00C17D82" w:rsidRDefault="00C17D82" w:rsidP="00B41966">
      <w:pPr>
        <w:ind w:left="29" w:right="53"/>
        <w:rPr>
          <w:rFonts w:ascii="Arial" w:hAnsi="Arial" w:cs="Arial"/>
          <w:szCs w:val="24"/>
        </w:rPr>
      </w:pPr>
    </w:p>
    <w:p w14:paraId="00631822" w14:textId="77777777" w:rsidR="00C17D82" w:rsidRPr="00C17D82" w:rsidRDefault="00C17D82" w:rsidP="00B41966">
      <w:pPr>
        <w:ind w:left="29" w:right="53"/>
        <w:rPr>
          <w:rFonts w:ascii="Arial" w:hAnsi="Arial" w:cs="Arial"/>
          <w:szCs w:val="24"/>
        </w:rPr>
      </w:pPr>
      <w:r w:rsidRPr="00C17D82">
        <w:rPr>
          <w:rFonts w:ascii="Arial" w:hAnsi="Arial" w:cs="Arial"/>
          <w:szCs w:val="24"/>
        </w:rPr>
        <w:t>The Fire Authority will have regard to the then Ministry of Housing, Communities and Local Government Guidance on Local Government Investments. It will approve an Investment Strategy each year as part of the Treasury Management Strategy.  The strategy will set criteria to determine suitable organisations with which cash may be invested, limits on the maximum duration of such investments and limits on the amount of cash that may be invested with any one organisation.</w:t>
      </w:r>
    </w:p>
    <w:p w14:paraId="7F03D31F" w14:textId="77777777" w:rsidR="00C17D82" w:rsidRPr="00C17D82" w:rsidRDefault="00C17D82">
      <w:pPr>
        <w:spacing w:after="160" w:line="259" w:lineRule="auto"/>
        <w:rPr>
          <w:rFonts w:ascii="Arial" w:hAnsi="Arial"/>
          <w:bCs/>
          <w:sz w:val="28"/>
          <w:szCs w:val="28"/>
        </w:rPr>
      </w:pPr>
    </w:p>
    <w:sectPr w:rsidR="00C17D82" w:rsidRPr="00C17D8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Dobson, Paul" w:date="2024-01-19T18:51:00Z" w:initials="DP">
    <w:p w14:paraId="555E7CB6" w14:textId="77777777" w:rsidR="00C17D82" w:rsidRDefault="00C17D82" w:rsidP="00207337">
      <w:pPr>
        <w:pStyle w:val="CommentText"/>
        <w:ind w:left="0" w:firstLine="0"/>
        <w:jc w:val="left"/>
      </w:pPr>
      <w:r>
        <w:rPr>
          <w:rStyle w:val="CommentReference"/>
        </w:rPr>
        <w:annotationRef/>
      </w:r>
      <w:r>
        <w:t>Is this still the case?</w:t>
      </w:r>
    </w:p>
  </w:comment>
  <w:comment w:id="9" w:author="Crotty, Paul" w:date="2024-02-06T14:47:00Z" w:initials="CP">
    <w:p w14:paraId="24E329B6" w14:textId="77777777" w:rsidR="00C17D82" w:rsidRDefault="00C17D82" w:rsidP="00D64EC8">
      <w:pPr>
        <w:pStyle w:val="CommentText"/>
        <w:ind w:left="0" w:firstLine="0"/>
        <w:jc w:val="lef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E7CB6" w15:done="1"/>
  <w15:commentEx w15:paraId="24E329B6" w15:paraIdParent="555E7C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54343" w16cex:dateUtc="2024-01-19T18:51:00Z"/>
  <w16cex:commentExtensible w16cex:durableId="296CC50E" w16cex:dateUtc="2024-02-0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E7CB6" w16cid:durableId="29554343"/>
  <w16cid:commentId w16cid:paraId="24E329B6" w16cid:durableId="296CC5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871A" w14:textId="77777777" w:rsidR="00C60E35" w:rsidRDefault="00C60E35">
      <w:r>
        <w:separator/>
      </w:r>
    </w:p>
  </w:endnote>
  <w:endnote w:type="continuationSeparator" w:id="0">
    <w:p w14:paraId="6F1BD1C5" w14:textId="77777777" w:rsidR="00C60E35" w:rsidRDefault="00C6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1FE2" w14:textId="77777777" w:rsidR="005266B8" w:rsidRDefault="005266B8">
    <w:pPr>
      <w:tabs>
        <w:tab w:val="center" w:pos="4847"/>
      </w:tabs>
      <w:spacing w:line="259" w:lineRule="auto"/>
    </w:pPr>
    <w:r>
      <w:rPr>
        <w:noProof/>
      </w:rPr>
      <mc:AlternateContent>
        <mc:Choice Requires="wps">
          <w:drawing>
            <wp:anchor distT="0" distB="0" distL="0" distR="0" simplePos="0" relativeHeight="251659264" behindDoc="0" locked="0" layoutInCell="1" allowOverlap="1" wp14:anchorId="1EBCFB6F" wp14:editId="53068C71">
              <wp:simplePos x="635" y="635"/>
              <wp:positionH relativeFrom="page">
                <wp:align>left</wp:align>
              </wp:positionH>
              <wp:positionV relativeFrom="page">
                <wp:align>bottom</wp:align>
              </wp:positionV>
              <wp:extent cx="1379855" cy="351155"/>
              <wp:effectExtent l="0" t="0" r="10795" b="0"/>
              <wp:wrapNone/>
              <wp:docPr id="1077887446" name="Text Box 2"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9855" cy="351155"/>
                      </a:xfrm>
                      <a:prstGeom prst="rect">
                        <a:avLst/>
                      </a:prstGeom>
                      <a:noFill/>
                      <a:ln>
                        <a:noFill/>
                      </a:ln>
                    </wps:spPr>
                    <wps:txbx>
                      <w:txbxContent>
                        <w:p w14:paraId="39C3EB8E"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CFB6F" id="_x0000_t202" coordsize="21600,21600" o:spt="202" path="m,l,21600r21600,l21600,xe">
              <v:stroke joinstyle="miter"/>
              <v:path gradientshapeok="t" o:connecttype="rect"/>
            </v:shapetype>
            <v:shape id="Text Box 2" o:spid="_x0000_s1026" type="#_x0000_t202" alt="OFFICIAL – Restricted" style="position:absolute;margin-left:0;margin-top:0;width:108.65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" filled="f" stroked="f">
              <v:textbox style="mso-fit-shape-to-text:t" inset="20pt,0,0,15pt">
                <w:txbxContent>
                  <w:p w14:paraId="39C3EB8E"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v:textbox>
              <w10:wrap anchorx="page" anchory="page"/>
            </v:shape>
          </w:pict>
        </mc:Fallback>
      </mc:AlternateContent>
    </w:r>
    <w:r>
      <w:t xml:space="preserve"> </w:t>
    </w:r>
    <w:r>
      <w:tab/>
    </w:r>
    <w:r>
      <w:fldChar w:fldCharType="begin"/>
    </w:r>
    <w:r>
      <w:instrText xml:space="preserve"> PAGE   \* MERGEFORMAT </w:instrText>
    </w:r>
    <w:r>
      <w:fldChar w:fldCharType="separate"/>
    </w:r>
    <w:r>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96CE" w14:textId="77777777" w:rsidR="005266B8" w:rsidRDefault="005266B8">
    <w:pPr>
      <w:tabs>
        <w:tab w:val="center" w:pos="4847"/>
      </w:tabs>
      <w:spacing w:line="259" w:lineRule="auto"/>
    </w:pPr>
    <w:r>
      <w:rPr>
        <w:noProof/>
      </w:rPr>
      <mc:AlternateContent>
        <mc:Choice Requires="wps">
          <w:drawing>
            <wp:anchor distT="0" distB="0" distL="0" distR="0" simplePos="0" relativeHeight="251660288" behindDoc="0" locked="0" layoutInCell="1" allowOverlap="1" wp14:anchorId="3D46B0F4" wp14:editId="5BFF5BAD">
              <wp:simplePos x="779145" y="10170795"/>
              <wp:positionH relativeFrom="page">
                <wp:align>left</wp:align>
              </wp:positionH>
              <wp:positionV relativeFrom="page">
                <wp:align>bottom</wp:align>
              </wp:positionV>
              <wp:extent cx="1379855" cy="351155"/>
              <wp:effectExtent l="0" t="0" r="10795" b="0"/>
              <wp:wrapNone/>
              <wp:docPr id="2016955049" name="Text Box 3"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9855" cy="351155"/>
                      </a:xfrm>
                      <a:prstGeom prst="rect">
                        <a:avLst/>
                      </a:prstGeom>
                      <a:noFill/>
                      <a:ln>
                        <a:noFill/>
                      </a:ln>
                    </wps:spPr>
                    <wps:txbx>
                      <w:txbxContent>
                        <w:p w14:paraId="5CF2194D"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46B0F4" id="_x0000_t202" coordsize="21600,21600" o:spt="202" path="m,l,21600r21600,l21600,xe">
              <v:stroke joinstyle="miter"/>
              <v:path gradientshapeok="t" o:connecttype="rect"/>
            </v:shapetype>
            <v:shape id="Text Box 3" o:spid="_x0000_s1027" type="#_x0000_t202" alt="OFFICIAL – Restricted" style="position:absolute;margin-left:0;margin-top:0;width:108.65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" filled="f" stroked="f">
              <v:textbox style="mso-fit-shape-to-text:t" inset="20pt,0,0,15pt">
                <w:txbxContent>
                  <w:p w14:paraId="5CF2194D"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v:textbox>
              <w10:wrap anchorx="page" anchory="page"/>
            </v:shape>
          </w:pict>
        </mc:Fallback>
      </mc:AlternateContent>
    </w:r>
    <w:r>
      <w:t xml:space="preserve"> </w:t>
    </w:r>
    <w:r>
      <w:tab/>
    </w: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2CD0" w14:textId="77777777" w:rsidR="005266B8" w:rsidRDefault="005266B8">
    <w:pPr>
      <w:spacing w:line="259" w:lineRule="auto"/>
      <w:ind w:left="7"/>
      <w:jc w:val="center"/>
    </w:pPr>
    <w:r>
      <w:rPr>
        <w:noProof/>
      </w:rPr>
      <mc:AlternateContent>
        <mc:Choice Requires="wps">
          <w:drawing>
            <wp:anchor distT="0" distB="0" distL="0" distR="0" simplePos="0" relativeHeight="251661312" behindDoc="0" locked="0" layoutInCell="1" allowOverlap="1" wp14:anchorId="6E6CF049" wp14:editId="644B04B2">
              <wp:simplePos x="781050" y="10172700"/>
              <wp:positionH relativeFrom="page">
                <wp:align>left</wp:align>
              </wp:positionH>
              <wp:positionV relativeFrom="page">
                <wp:align>bottom</wp:align>
              </wp:positionV>
              <wp:extent cx="1379855" cy="351155"/>
              <wp:effectExtent l="0" t="0" r="10795" b="0"/>
              <wp:wrapNone/>
              <wp:docPr id="1129175102" name="Text Box 1"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9855" cy="351155"/>
                      </a:xfrm>
                      <a:prstGeom prst="rect">
                        <a:avLst/>
                      </a:prstGeom>
                      <a:noFill/>
                      <a:ln>
                        <a:noFill/>
                      </a:ln>
                    </wps:spPr>
                    <wps:txbx>
                      <w:txbxContent>
                        <w:p w14:paraId="717DBBA0"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CF049" id="_x0000_t202" coordsize="21600,21600" o:spt="202" path="m,l,21600r21600,l21600,xe">
              <v:stroke joinstyle="miter"/>
              <v:path gradientshapeok="t" o:connecttype="rect"/>
            </v:shapetype>
            <v:shape id="Text Box 1" o:spid="_x0000_s1028" type="#_x0000_t202" alt="OFFICIAL – Restricted" style="position:absolute;left:0;text-align:left;margin-left:0;margin-top:0;width:108.65pt;height:27.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" filled="f" stroked="f">
              <v:textbox style="mso-fit-shape-to-text:t" inset="20pt,0,0,15pt">
                <w:txbxContent>
                  <w:p w14:paraId="717DBBA0" w14:textId="77777777" w:rsidR="005266B8" w:rsidRPr="000D0A7A" w:rsidRDefault="005266B8" w:rsidP="000D0A7A">
                    <w:pPr>
                      <w:rPr>
                        <w:rFonts w:ascii="Calibri" w:eastAsia="Calibri" w:hAnsi="Calibri" w:cs="Calibri"/>
                        <w:noProof/>
                        <w:sz w:val="20"/>
                      </w:rPr>
                    </w:pPr>
                    <w:r w:rsidRPr="000D0A7A">
                      <w:rPr>
                        <w:rFonts w:ascii="Calibri" w:eastAsia="Calibri" w:hAnsi="Calibri" w:cs="Calibri"/>
                        <w:noProof/>
                        <w:sz w:val="20"/>
                      </w:rPr>
                      <w:t>OFFICIAL – Restricted</w:t>
                    </w: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861C" w14:textId="77777777" w:rsidR="00C60E35" w:rsidRDefault="00C60E35">
      <w:r>
        <w:separator/>
      </w:r>
    </w:p>
  </w:footnote>
  <w:footnote w:type="continuationSeparator" w:id="0">
    <w:p w14:paraId="5B0FED74" w14:textId="77777777" w:rsidR="00C60E35" w:rsidRDefault="00C60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1C5"/>
    <w:multiLevelType w:val="hybridMultilevel"/>
    <w:tmpl w:val="AC86037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2830A74"/>
    <w:multiLevelType w:val="hybridMultilevel"/>
    <w:tmpl w:val="7ECCDE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03039D4"/>
    <w:multiLevelType w:val="hybridMultilevel"/>
    <w:tmpl w:val="A9B63F4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3" w15:restartNumberingAfterBreak="0">
    <w:nsid w:val="107F1AF8"/>
    <w:multiLevelType w:val="hybridMultilevel"/>
    <w:tmpl w:val="BDC0F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06056"/>
    <w:multiLevelType w:val="hybridMultilevel"/>
    <w:tmpl w:val="C92E8518"/>
    <w:lvl w:ilvl="0" w:tplc="5D20F30E">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A7638">
      <w:start w:val="1"/>
      <w:numFmt w:val="bullet"/>
      <w:lvlText w:val="o"/>
      <w:lvlJc w:val="left"/>
      <w:pPr>
        <w:ind w:left="1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AA2FE4">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B6B004">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83802">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43164">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618B0">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A24C6">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0D614">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AA194B"/>
    <w:multiLevelType w:val="hybridMultilevel"/>
    <w:tmpl w:val="13AAC99A"/>
    <w:lvl w:ilvl="0" w:tplc="D180A5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B29E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A67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0E28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2C37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3658B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C8FE1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B86D4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382D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D04D5B"/>
    <w:multiLevelType w:val="hybridMultilevel"/>
    <w:tmpl w:val="B18E3156"/>
    <w:lvl w:ilvl="0" w:tplc="38D0124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5C2B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A829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24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453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07A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E4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611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F4F1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D86F4A"/>
    <w:multiLevelType w:val="hybridMultilevel"/>
    <w:tmpl w:val="E7C4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74C67"/>
    <w:multiLevelType w:val="singleLevel"/>
    <w:tmpl w:val="55A8656E"/>
    <w:lvl w:ilvl="0">
      <w:start w:val="1"/>
      <w:numFmt w:val="decimal"/>
      <w:lvlText w:val="%1."/>
      <w:lvlJc w:val="left"/>
      <w:pPr>
        <w:tabs>
          <w:tab w:val="num" w:pos="720"/>
        </w:tabs>
        <w:ind w:left="720" w:hanging="720"/>
      </w:pPr>
      <w:rPr>
        <w:rFonts w:cs="Times New Roman"/>
      </w:rPr>
    </w:lvl>
  </w:abstractNum>
  <w:abstractNum w:abstractNumId="9" w15:restartNumberingAfterBreak="0">
    <w:nsid w:val="4C220573"/>
    <w:multiLevelType w:val="hybridMultilevel"/>
    <w:tmpl w:val="B640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A3F4A"/>
    <w:multiLevelType w:val="hybridMultilevel"/>
    <w:tmpl w:val="F91063CA"/>
    <w:lvl w:ilvl="0" w:tplc="468E12D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F80B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AE4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5A81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234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EC5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84E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AA87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B466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B00941"/>
    <w:multiLevelType w:val="hybridMultilevel"/>
    <w:tmpl w:val="82F694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59346C11"/>
    <w:multiLevelType w:val="hybridMultilevel"/>
    <w:tmpl w:val="4A82E1F6"/>
    <w:lvl w:ilvl="0" w:tplc="468E12D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3" w15:restartNumberingAfterBreak="0">
    <w:nsid w:val="5B5D410D"/>
    <w:multiLevelType w:val="hybridMultilevel"/>
    <w:tmpl w:val="C7AEFFF6"/>
    <w:lvl w:ilvl="0" w:tplc="465A8194">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4A7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1C7E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4EB4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A26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D892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721D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20F3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EE7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747C21"/>
    <w:multiLevelType w:val="hybridMultilevel"/>
    <w:tmpl w:val="C8B08836"/>
    <w:lvl w:ilvl="0" w:tplc="468E12D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E1304E"/>
    <w:multiLevelType w:val="hybridMultilevel"/>
    <w:tmpl w:val="A0F0C7C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630073C"/>
    <w:multiLevelType w:val="hybridMultilevel"/>
    <w:tmpl w:val="6D68C3D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7" w15:restartNumberingAfterBreak="0">
    <w:nsid w:val="77264B78"/>
    <w:multiLevelType w:val="hybridMultilevel"/>
    <w:tmpl w:val="F028EF8E"/>
    <w:lvl w:ilvl="0" w:tplc="B76882A4">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086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AEB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C4B7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CA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E83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EB9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68C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D4D0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64227B"/>
    <w:multiLevelType w:val="hybridMultilevel"/>
    <w:tmpl w:val="2C62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055309">
    <w:abstractNumId w:val="15"/>
  </w:num>
  <w:num w:numId="2" w16cid:durableId="180317721">
    <w:abstractNumId w:val="3"/>
  </w:num>
  <w:num w:numId="3" w16cid:durableId="1053431047">
    <w:abstractNumId w:val="9"/>
  </w:num>
  <w:num w:numId="4" w16cid:durableId="1679623839">
    <w:abstractNumId w:val="10"/>
  </w:num>
  <w:num w:numId="5" w16cid:durableId="734740872">
    <w:abstractNumId w:val="6"/>
  </w:num>
  <w:num w:numId="6" w16cid:durableId="1392459286">
    <w:abstractNumId w:val="17"/>
  </w:num>
  <w:num w:numId="7" w16cid:durableId="777220047">
    <w:abstractNumId w:val="13"/>
  </w:num>
  <w:num w:numId="8" w16cid:durableId="269750045">
    <w:abstractNumId w:val="4"/>
  </w:num>
  <w:num w:numId="9" w16cid:durableId="2024435110">
    <w:abstractNumId w:val="5"/>
  </w:num>
  <w:num w:numId="10" w16cid:durableId="2141611767">
    <w:abstractNumId w:val="0"/>
  </w:num>
  <w:num w:numId="11" w16cid:durableId="1532500280">
    <w:abstractNumId w:val="11"/>
  </w:num>
  <w:num w:numId="12" w16cid:durableId="171340948">
    <w:abstractNumId w:val="14"/>
  </w:num>
  <w:num w:numId="13" w16cid:durableId="31344858">
    <w:abstractNumId w:val="12"/>
  </w:num>
  <w:num w:numId="14" w16cid:durableId="46883791">
    <w:abstractNumId w:val="8"/>
  </w:num>
  <w:num w:numId="15" w16cid:durableId="1201213000">
    <w:abstractNumId w:val="1"/>
  </w:num>
  <w:num w:numId="16" w16cid:durableId="1040279743">
    <w:abstractNumId w:val="16"/>
  </w:num>
  <w:num w:numId="17" w16cid:durableId="1371806949">
    <w:abstractNumId w:val="18"/>
  </w:num>
  <w:num w:numId="18" w16cid:durableId="1439637646">
    <w:abstractNumId w:val="2"/>
  </w:num>
  <w:num w:numId="19" w16cid:durableId="167032387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bson, Paul">
    <w15:presenceInfo w15:providerId="AD" w15:userId="S::Paul.Dobson@lancashire.gov.uk::ad5f7c3a-ae33-41dd-9771-16ee58a73810"/>
  </w15:person>
  <w15:person w15:author="Crotty, Paul">
    <w15:presenceInfo w15:providerId="AD" w15:userId="S::Paul.Crotty@lancashire.gov.uk::68e24d1b-b34e-4276-9850-195db68d3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24"/>
    <w:rsid w:val="00006AF3"/>
    <w:rsid w:val="000071DB"/>
    <w:rsid w:val="00011036"/>
    <w:rsid w:val="00014192"/>
    <w:rsid w:val="000A2B3C"/>
    <w:rsid w:val="000D1445"/>
    <w:rsid w:val="00116ECB"/>
    <w:rsid w:val="001228F9"/>
    <w:rsid w:val="0019362E"/>
    <w:rsid w:val="001C7BA0"/>
    <w:rsid w:val="00214169"/>
    <w:rsid w:val="002225A0"/>
    <w:rsid w:val="002423F6"/>
    <w:rsid w:val="00250D83"/>
    <w:rsid w:val="002571D0"/>
    <w:rsid w:val="00280EAB"/>
    <w:rsid w:val="002A5C5A"/>
    <w:rsid w:val="00314730"/>
    <w:rsid w:val="00323845"/>
    <w:rsid w:val="003540F9"/>
    <w:rsid w:val="003639DC"/>
    <w:rsid w:val="00372152"/>
    <w:rsid w:val="003F2BD1"/>
    <w:rsid w:val="00424F21"/>
    <w:rsid w:val="00425320"/>
    <w:rsid w:val="0044014A"/>
    <w:rsid w:val="00451D31"/>
    <w:rsid w:val="004614E7"/>
    <w:rsid w:val="00465E0F"/>
    <w:rsid w:val="004923BA"/>
    <w:rsid w:val="004948C8"/>
    <w:rsid w:val="004D0DDB"/>
    <w:rsid w:val="005223E7"/>
    <w:rsid w:val="005266B8"/>
    <w:rsid w:val="005372AA"/>
    <w:rsid w:val="00542CB7"/>
    <w:rsid w:val="005626F8"/>
    <w:rsid w:val="005B0288"/>
    <w:rsid w:val="005B1024"/>
    <w:rsid w:val="005E5B8C"/>
    <w:rsid w:val="00602D74"/>
    <w:rsid w:val="006329CC"/>
    <w:rsid w:val="006403F2"/>
    <w:rsid w:val="00663C69"/>
    <w:rsid w:val="006F70E0"/>
    <w:rsid w:val="00734C6A"/>
    <w:rsid w:val="007609B9"/>
    <w:rsid w:val="0080774D"/>
    <w:rsid w:val="00861594"/>
    <w:rsid w:val="008C79A8"/>
    <w:rsid w:val="008D33FC"/>
    <w:rsid w:val="009166DA"/>
    <w:rsid w:val="00923A12"/>
    <w:rsid w:val="00977B9F"/>
    <w:rsid w:val="009C2BD1"/>
    <w:rsid w:val="00A37816"/>
    <w:rsid w:val="00B50A33"/>
    <w:rsid w:val="00BB56FC"/>
    <w:rsid w:val="00BD287A"/>
    <w:rsid w:val="00BE706A"/>
    <w:rsid w:val="00C17D82"/>
    <w:rsid w:val="00C60E35"/>
    <w:rsid w:val="00C75E53"/>
    <w:rsid w:val="00CB7180"/>
    <w:rsid w:val="00D24CA9"/>
    <w:rsid w:val="00D572DA"/>
    <w:rsid w:val="00D65621"/>
    <w:rsid w:val="00D86AEC"/>
    <w:rsid w:val="00DD1541"/>
    <w:rsid w:val="00E03FD8"/>
    <w:rsid w:val="00E613F0"/>
    <w:rsid w:val="00E66A23"/>
    <w:rsid w:val="00F2115D"/>
    <w:rsid w:val="00F52722"/>
    <w:rsid w:val="00F71230"/>
    <w:rsid w:val="00F93754"/>
    <w:rsid w:val="00FC3424"/>
    <w:rsid w:val="00FE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7A1A"/>
  <w15:chartTrackingRefBased/>
  <w15:docId w15:val="{251A78BF-3325-4604-B5A3-45466F2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2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next w:val="Normal"/>
    <w:link w:val="Heading1Char"/>
    <w:uiPriority w:val="9"/>
    <w:unhideWhenUsed/>
    <w:qFormat/>
    <w:rsid w:val="00C17D82"/>
    <w:pPr>
      <w:keepNext/>
      <w:keepLines/>
      <w:spacing w:after="5" w:line="250" w:lineRule="auto"/>
      <w:ind w:left="44" w:hanging="10"/>
      <w:outlineLvl w:val="0"/>
    </w:pPr>
    <w:rPr>
      <w:rFonts w:ascii="Arial" w:eastAsia="Arial" w:hAnsi="Arial" w:cs="Arial"/>
      <w:b/>
      <w:color w:val="000000"/>
      <w:kern w:val="0"/>
      <w:sz w:val="24"/>
      <w:lang w:eastAsia="en-GB"/>
      <w14:ligatures w14:val="none"/>
    </w:rPr>
  </w:style>
  <w:style w:type="paragraph" w:styleId="Heading2">
    <w:name w:val="heading 2"/>
    <w:next w:val="Normal"/>
    <w:link w:val="Heading2Char"/>
    <w:uiPriority w:val="9"/>
    <w:unhideWhenUsed/>
    <w:qFormat/>
    <w:rsid w:val="00C17D82"/>
    <w:pPr>
      <w:keepNext/>
      <w:keepLines/>
      <w:spacing w:after="0"/>
      <w:ind w:left="44" w:hanging="10"/>
      <w:outlineLvl w:val="1"/>
    </w:pPr>
    <w:rPr>
      <w:rFonts w:ascii="Arial" w:eastAsia="Arial" w:hAnsi="Arial" w:cs="Arial"/>
      <w:i/>
      <w:color w:val="000000"/>
      <w:kern w:val="0"/>
      <w:sz w:val="24"/>
      <w:lang w:eastAsia="en-GB"/>
      <w14:ligatures w14:val="none"/>
    </w:rPr>
  </w:style>
  <w:style w:type="paragraph" w:styleId="Heading3">
    <w:name w:val="heading 3"/>
    <w:basedOn w:val="Normal"/>
    <w:next w:val="Normal"/>
    <w:link w:val="Heading3Char"/>
    <w:qFormat/>
    <w:rsid w:val="00E03FD8"/>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C3424"/>
    <w:pPr>
      <w:ind w:left="720"/>
      <w:contextualSpacing/>
    </w:pPr>
  </w:style>
  <w:style w:type="paragraph" w:customStyle="1" w:styleId="Default">
    <w:name w:val="Default"/>
    <w:rsid w:val="00FC3424"/>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5372AA"/>
    <w:pPr>
      <w:spacing w:after="0" w:line="240" w:lineRule="auto"/>
    </w:pPr>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rsid w:val="00E03FD8"/>
    <w:rPr>
      <w:rFonts w:ascii="Times New Roman" w:eastAsia="Times New Roman" w:hAnsi="Times New Roman" w:cs="Times New Roman"/>
      <w:b/>
      <w:kern w:val="0"/>
      <w:sz w:val="24"/>
      <w:szCs w:val="20"/>
      <w14:ligatures w14:val="none"/>
    </w:rPr>
  </w:style>
  <w:style w:type="character" w:styleId="Hyperlink">
    <w:name w:val="Hyperlink"/>
    <w:basedOn w:val="DefaultParagraphFont"/>
    <w:uiPriority w:val="99"/>
    <w:semiHidden/>
    <w:unhideWhenUsed/>
    <w:rsid w:val="00C17D82"/>
    <w:rPr>
      <w:color w:val="0000FF"/>
      <w:u w:val="single"/>
    </w:rPr>
  </w:style>
  <w:style w:type="character" w:styleId="FollowedHyperlink">
    <w:name w:val="FollowedHyperlink"/>
    <w:basedOn w:val="DefaultParagraphFont"/>
    <w:uiPriority w:val="99"/>
    <w:semiHidden/>
    <w:unhideWhenUsed/>
    <w:rsid w:val="00C17D82"/>
    <w:rPr>
      <w:color w:val="800080"/>
      <w:u w:val="single"/>
    </w:rPr>
  </w:style>
  <w:style w:type="paragraph" w:customStyle="1" w:styleId="msonormal0">
    <w:name w:val="msonormal"/>
    <w:basedOn w:val="Normal"/>
    <w:rsid w:val="00C17D82"/>
    <w:pPr>
      <w:spacing w:before="100" w:beforeAutospacing="1" w:after="100" w:afterAutospacing="1"/>
    </w:pPr>
    <w:rPr>
      <w:szCs w:val="24"/>
      <w:lang w:eastAsia="en-GB"/>
    </w:rPr>
  </w:style>
  <w:style w:type="paragraph" w:customStyle="1" w:styleId="font5">
    <w:name w:val="font5"/>
    <w:basedOn w:val="Normal"/>
    <w:rsid w:val="00C17D82"/>
    <w:pPr>
      <w:spacing w:before="100" w:beforeAutospacing="1" w:after="100" w:afterAutospacing="1"/>
    </w:pPr>
    <w:rPr>
      <w:rFonts w:ascii="Tahoma" w:hAnsi="Tahoma" w:cs="Tahoma"/>
      <w:b/>
      <w:bCs/>
      <w:color w:val="000000"/>
      <w:sz w:val="18"/>
      <w:szCs w:val="18"/>
      <w:lang w:eastAsia="en-GB"/>
    </w:rPr>
  </w:style>
  <w:style w:type="paragraph" w:customStyle="1" w:styleId="font6">
    <w:name w:val="font6"/>
    <w:basedOn w:val="Normal"/>
    <w:rsid w:val="00C17D82"/>
    <w:pPr>
      <w:spacing w:before="100" w:beforeAutospacing="1" w:after="100" w:afterAutospacing="1"/>
    </w:pPr>
    <w:rPr>
      <w:rFonts w:ascii="Tahoma" w:hAnsi="Tahoma" w:cs="Tahoma"/>
      <w:color w:val="000000"/>
      <w:sz w:val="18"/>
      <w:szCs w:val="18"/>
      <w:lang w:eastAsia="en-GB"/>
    </w:rPr>
  </w:style>
  <w:style w:type="paragraph" w:customStyle="1" w:styleId="font7">
    <w:name w:val="font7"/>
    <w:basedOn w:val="Normal"/>
    <w:rsid w:val="00C17D82"/>
    <w:pPr>
      <w:spacing w:before="100" w:beforeAutospacing="1" w:after="100" w:afterAutospacing="1"/>
    </w:pPr>
    <w:rPr>
      <w:rFonts w:ascii="Tahoma" w:hAnsi="Tahoma" w:cs="Tahoma"/>
      <w:color w:val="000000"/>
      <w:sz w:val="18"/>
      <w:szCs w:val="18"/>
      <w:lang w:eastAsia="en-GB"/>
    </w:rPr>
  </w:style>
  <w:style w:type="paragraph" w:customStyle="1" w:styleId="font8">
    <w:name w:val="font8"/>
    <w:basedOn w:val="Normal"/>
    <w:rsid w:val="00C17D82"/>
    <w:pPr>
      <w:spacing w:before="100" w:beforeAutospacing="1" w:after="100" w:afterAutospacing="1"/>
    </w:pPr>
    <w:rPr>
      <w:rFonts w:ascii="Tahoma" w:hAnsi="Tahoma" w:cs="Tahoma"/>
      <w:b/>
      <w:bCs/>
      <w:color w:val="000000"/>
      <w:sz w:val="18"/>
      <w:szCs w:val="18"/>
      <w:lang w:eastAsia="en-GB"/>
    </w:rPr>
  </w:style>
  <w:style w:type="paragraph" w:customStyle="1" w:styleId="xl98">
    <w:name w:val="xl98"/>
    <w:basedOn w:val="Normal"/>
    <w:rsid w:val="00C17D82"/>
    <w:pPr>
      <w:spacing w:before="100" w:beforeAutospacing="1" w:after="100" w:afterAutospacing="1"/>
      <w:jc w:val="center"/>
      <w:textAlignment w:val="center"/>
    </w:pPr>
    <w:rPr>
      <w:b/>
      <w:bCs/>
      <w:szCs w:val="24"/>
      <w:lang w:eastAsia="en-GB"/>
    </w:rPr>
  </w:style>
  <w:style w:type="paragraph" w:customStyle="1" w:styleId="xl99">
    <w:name w:val="xl99"/>
    <w:basedOn w:val="Normal"/>
    <w:rsid w:val="00C17D82"/>
    <w:pPr>
      <w:spacing w:before="100" w:beforeAutospacing="1" w:after="100" w:afterAutospacing="1"/>
      <w:textAlignment w:val="center"/>
    </w:pPr>
    <w:rPr>
      <w:b/>
      <w:bCs/>
      <w:szCs w:val="24"/>
      <w:lang w:eastAsia="en-GB"/>
    </w:rPr>
  </w:style>
  <w:style w:type="paragraph" w:customStyle="1" w:styleId="xl100">
    <w:name w:val="xl100"/>
    <w:basedOn w:val="Normal"/>
    <w:rsid w:val="00C17D82"/>
    <w:pPr>
      <w:spacing w:before="100" w:beforeAutospacing="1" w:after="100" w:afterAutospacing="1"/>
      <w:textAlignment w:val="center"/>
    </w:pPr>
    <w:rPr>
      <w:szCs w:val="24"/>
      <w:lang w:eastAsia="en-GB"/>
    </w:rPr>
  </w:style>
  <w:style w:type="paragraph" w:customStyle="1" w:styleId="xl101">
    <w:name w:val="xl101"/>
    <w:basedOn w:val="Normal"/>
    <w:rsid w:val="00C17D82"/>
    <w:pPr>
      <w:spacing w:before="100" w:beforeAutospacing="1" w:after="100" w:afterAutospacing="1"/>
      <w:textAlignment w:val="center"/>
    </w:pPr>
    <w:rPr>
      <w:szCs w:val="24"/>
      <w:lang w:eastAsia="en-GB"/>
    </w:rPr>
  </w:style>
  <w:style w:type="paragraph" w:customStyle="1" w:styleId="xl102">
    <w:name w:val="xl102"/>
    <w:basedOn w:val="Normal"/>
    <w:rsid w:val="00C17D82"/>
    <w:pPr>
      <w:spacing w:before="100" w:beforeAutospacing="1" w:after="100" w:afterAutospacing="1"/>
      <w:textAlignment w:val="center"/>
    </w:pPr>
    <w:rPr>
      <w:szCs w:val="24"/>
      <w:lang w:eastAsia="en-GB"/>
    </w:rPr>
  </w:style>
  <w:style w:type="paragraph" w:customStyle="1" w:styleId="xl103">
    <w:name w:val="xl103"/>
    <w:basedOn w:val="Normal"/>
    <w:rsid w:val="00C17D82"/>
    <w:pPr>
      <w:pBdr>
        <w:top w:val="single" w:sz="4" w:space="0" w:color="auto"/>
        <w:bottom w:val="single" w:sz="4" w:space="0" w:color="auto"/>
      </w:pBdr>
      <w:spacing w:before="100" w:beforeAutospacing="1" w:after="100" w:afterAutospacing="1"/>
      <w:textAlignment w:val="center"/>
    </w:pPr>
    <w:rPr>
      <w:b/>
      <w:bCs/>
      <w:szCs w:val="24"/>
      <w:lang w:eastAsia="en-GB"/>
    </w:rPr>
  </w:style>
  <w:style w:type="paragraph" w:customStyle="1" w:styleId="xl104">
    <w:name w:val="xl104"/>
    <w:basedOn w:val="Normal"/>
    <w:rsid w:val="00C17D82"/>
    <w:pPr>
      <w:shd w:val="clear" w:color="000000" w:fill="FFFFFF"/>
      <w:spacing w:before="100" w:beforeAutospacing="1" w:after="100" w:afterAutospacing="1"/>
    </w:pPr>
    <w:rPr>
      <w:szCs w:val="24"/>
      <w:lang w:eastAsia="en-GB"/>
    </w:rPr>
  </w:style>
  <w:style w:type="paragraph" w:customStyle="1" w:styleId="xl105">
    <w:name w:val="xl105"/>
    <w:basedOn w:val="Normal"/>
    <w:rsid w:val="00C17D82"/>
    <w:pPr>
      <w:shd w:val="clear" w:color="000000" w:fill="F2F2F2"/>
      <w:spacing w:before="100" w:beforeAutospacing="1" w:after="100" w:afterAutospacing="1"/>
      <w:textAlignment w:val="center"/>
    </w:pPr>
    <w:rPr>
      <w:szCs w:val="24"/>
      <w:lang w:eastAsia="en-GB"/>
    </w:rPr>
  </w:style>
  <w:style w:type="paragraph" w:customStyle="1" w:styleId="xl106">
    <w:name w:val="xl106"/>
    <w:basedOn w:val="Normal"/>
    <w:rsid w:val="00C17D82"/>
    <w:pPr>
      <w:pBdr>
        <w:top w:val="single" w:sz="4" w:space="0" w:color="auto"/>
        <w:bottom w:val="single" w:sz="4" w:space="0" w:color="auto"/>
      </w:pBdr>
      <w:shd w:val="clear" w:color="000000" w:fill="F2F2F2"/>
      <w:spacing w:before="100" w:beforeAutospacing="1" w:after="100" w:afterAutospacing="1"/>
      <w:textAlignment w:val="center"/>
    </w:pPr>
    <w:rPr>
      <w:b/>
      <w:bCs/>
      <w:szCs w:val="24"/>
      <w:lang w:eastAsia="en-GB"/>
    </w:rPr>
  </w:style>
  <w:style w:type="paragraph" w:customStyle="1" w:styleId="xl107">
    <w:name w:val="xl107"/>
    <w:basedOn w:val="Normal"/>
    <w:rsid w:val="00C17D82"/>
    <w:pPr>
      <w:shd w:val="clear" w:color="000000" w:fill="FFFF00"/>
      <w:spacing w:before="100" w:beforeAutospacing="1" w:after="100" w:afterAutospacing="1"/>
      <w:jc w:val="center"/>
      <w:textAlignment w:val="center"/>
    </w:pPr>
    <w:rPr>
      <w:b/>
      <w:bCs/>
      <w:szCs w:val="24"/>
      <w:lang w:eastAsia="en-GB"/>
    </w:rPr>
  </w:style>
  <w:style w:type="paragraph" w:customStyle="1" w:styleId="xl108">
    <w:name w:val="xl108"/>
    <w:basedOn w:val="Normal"/>
    <w:rsid w:val="00C17D82"/>
    <w:pPr>
      <w:spacing w:before="100" w:beforeAutospacing="1" w:after="100" w:afterAutospacing="1"/>
      <w:textAlignment w:val="center"/>
    </w:pPr>
    <w:rPr>
      <w:i/>
      <w:iCs/>
      <w:szCs w:val="24"/>
      <w:lang w:eastAsia="en-GB"/>
    </w:rPr>
  </w:style>
  <w:style w:type="paragraph" w:customStyle="1" w:styleId="xl109">
    <w:name w:val="xl109"/>
    <w:basedOn w:val="Normal"/>
    <w:rsid w:val="00C17D82"/>
    <w:pPr>
      <w:spacing w:before="100" w:beforeAutospacing="1" w:after="100" w:afterAutospacing="1"/>
      <w:jc w:val="center"/>
      <w:textAlignment w:val="center"/>
    </w:pPr>
    <w:rPr>
      <w:b/>
      <w:bCs/>
      <w:i/>
      <w:iCs/>
      <w:szCs w:val="24"/>
      <w:lang w:eastAsia="en-GB"/>
    </w:rPr>
  </w:style>
  <w:style w:type="paragraph" w:customStyle="1" w:styleId="xl110">
    <w:name w:val="xl110"/>
    <w:basedOn w:val="Normal"/>
    <w:rsid w:val="00C17D82"/>
    <w:pPr>
      <w:pBdr>
        <w:top w:val="single" w:sz="4" w:space="0" w:color="auto"/>
        <w:bottom w:val="single" w:sz="4" w:space="0" w:color="auto"/>
      </w:pBdr>
      <w:spacing w:before="100" w:beforeAutospacing="1" w:after="100" w:afterAutospacing="1"/>
      <w:textAlignment w:val="center"/>
    </w:pPr>
    <w:rPr>
      <w:b/>
      <w:bCs/>
      <w:i/>
      <w:iCs/>
      <w:szCs w:val="24"/>
      <w:lang w:eastAsia="en-GB"/>
    </w:rPr>
  </w:style>
  <w:style w:type="paragraph" w:customStyle="1" w:styleId="xl111">
    <w:name w:val="xl111"/>
    <w:basedOn w:val="Normal"/>
    <w:rsid w:val="00C17D82"/>
    <w:pPr>
      <w:spacing w:before="100" w:beforeAutospacing="1" w:after="100" w:afterAutospacing="1"/>
      <w:textAlignment w:val="center"/>
    </w:pPr>
    <w:rPr>
      <w:color w:val="FF0000"/>
      <w:szCs w:val="24"/>
      <w:lang w:eastAsia="en-GB"/>
    </w:rPr>
  </w:style>
  <w:style w:type="paragraph" w:customStyle="1" w:styleId="xl112">
    <w:name w:val="xl112"/>
    <w:basedOn w:val="Normal"/>
    <w:rsid w:val="00C17D82"/>
    <w:pPr>
      <w:shd w:val="clear" w:color="000000" w:fill="D9D9D9"/>
      <w:spacing w:before="100" w:beforeAutospacing="1" w:after="100" w:afterAutospacing="1"/>
      <w:textAlignment w:val="center"/>
    </w:pPr>
    <w:rPr>
      <w:b/>
      <w:bCs/>
      <w:szCs w:val="24"/>
      <w:lang w:eastAsia="en-GB"/>
    </w:rPr>
  </w:style>
  <w:style w:type="paragraph" w:customStyle="1" w:styleId="xl113">
    <w:name w:val="xl113"/>
    <w:basedOn w:val="Normal"/>
    <w:rsid w:val="00C17D82"/>
    <w:pPr>
      <w:pBdr>
        <w:top w:val="single" w:sz="4" w:space="0" w:color="auto"/>
        <w:bottom w:val="single" w:sz="4" w:space="0" w:color="auto"/>
      </w:pBdr>
      <w:shd w:val="clear" w:color="000000" w:fill="D9D9D9"/>
      <w:spacing w:before="100" w:beforeAutospacing="1" w:after="100" w:afterAutospacing="1"/>
      <w:textAlignment w:val="center"/>
    </w:pPr>
    <w:rPr>
      <w:b/>
      <w:bCs/>
      <w:szCs w:val="24"/>
      <w:lang w:eastAsia="en-GB"/>
    </w:rPr>
  </w:style>
  <w:style w:type="paragraph" w:customStyle="1" w:styleId="xl114">
    <w:name w:val="xl114"/>
    <w:basedOn w:val="Normal"/>
    <w:rsid w:val="00C17D82"/>
    <w:pPr>
      <w:pBdr>
        <w:top w:val="single" w:sz="4" w:space="0" w:color="auto"/>
        <w:bottom w:val="single" w:sz="4" w:space="0" w:color="auto"/>
      </w:pBdr>
      <w:shd w:val="clear" w:color="000000" w:fill="D9D9D9"/>
      <w:spacing w:before="100" w:beforeAutospacing="1" w:after="100" w:afterAutospacing="1"/>
      <w:textAlignment w:val="center"/>
    </w:pPr>
    <w:rPr>
      <w:b/>
      <w:bCs/>
      <w:i/>
      <w:iCs/>
      <w:szCs w:val="24"/>
      <w:lang w:eastAsia="en-GB"/>
    </w:rPr>
  </w:style>
  <w:style w:type="table" w:styleId="TableGrid">
    <w:name w:val="Table Grid"/>
    <w:basedOn w:val="TableNormal"/>
    <w:uiPriority w:val="39"/>
    <w:rsid w:val="00C1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C17D82"/>
    <w:pPr>
      <w:spacing w:before="100" w:beforeAutospacing="1" w:after="100" w:afterAutospacing="1"/>
    </w:pPr>
    <w:rPr>
      <w:rFonts w:ascii="Arial" w:hAnsi="Arial" w:cs="Arial"/>
      <w:sz w:val="20"/>
      <w:lang w:eastAsia="en-GB"/>
    </w:rPr>
  </w:style>
  <w:style w:type="character" w:customStyle="1" w:styleId="Heading1Char">
    <w:name w:val="Heading 1 Char"/>
    <w:basedOn w:val="DefaultParagraphFont"/>
    <w:link w:val="Heading1"/>
    <w:uiPriority w:val="9"/>
    <w:rsid w:val="00C17D82"/>
    <w:rPr>
      <w:rFonts w:ascii="Arial" w:eastAsia="Arial" w:hAnsi="Arial" w:cs="Arial"/>
      <w:b/>
      <w:color w:val="000000"/>
      <w:kern w:val="0"/>
      <w:sz w:val="24"/>
      <w:lang w:eastAsia="en-GB"/>
      <w14:ligatures w14:val="none"/>
    </w:rPr>
  </w:style>
  <w:style w:type="character" w:customStyle="1" w:styleId="Heading2Char">
    <w:name w:val="Heading 2 Char"/>
    <w:basedOn w:val="DefaultParagraphFont"/>
    <w:link w:val="Heading2"/>
    <w:uiPriority w:val="9"/>
    <w:rsid w:val="00C17D82"/>
    <w:rPr>
      <w:rFonts w:ascii="Arial" w:eastAsia="Arial" w:hAnsi="Arial" w:cs="Arial"/>
      <w:i/>
      <w:color w:val="000000"/>
      <w:kern w:val="0"/>
      <w:sz w:val="24"/>
      <w:lang w:eastAsia="en-GB"/>
      <w14:ligatures w14:val="none"/>
    </w:rPr>
  </w:style>
  <w:style w:type="table" w:customStyle="1" w:styleId="TableGrid0">
    <w:name w:val="TableGrid"/>
    <w:rsid w:val="00C17D8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17D82"/>
    <w:pPr>
      <w:ind w:left="44" w:hanging="10"/>
      <w:jc w:val="both"/>
    </w:pPr>
    <w:rPr>
      <w:rFonts w:ascii="Segoe UI" w:eastAsia="Arial"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C17D82"/>
    <w:rPr>
      <w:rFonts w:ascii="Segoe UI" w:eastAsia="Arial" w:hAnsi="Segoe UI" w:cs="Segoe UI"/>
      <w:color w:val="000000"/>
      <w:kern w:val="0"/>
      <w:sz w:val="18"/>
      <w:szCs w:val="18"/>
      <w:lang w:eastAsia="en-GB"/>
      <w14:ligatures w14:val="none"/>
    </w:rPr>
  </w:style>
  <w:style w:type="character" w:styleId="CommentReference">
    <w:name w:val="annotation reference"/>
    <w:basedOn w:val="DefaultParagraphFont"/>
    <w:uiPriority w:val="99"/>
    <w:semiHidden/>
    <w:unhideWhenUsed/>
    <w:rsid w:val="00C17D82"/>
    <w:rPr>
      <w:sz w:val="16"/>
      <w:szCs w:val="16"/>
    </w:rPr>
  </w:style>
  <w:style w:type="paragraph" w:styleId="CommentText">
    <w:name w:val="annotation text"/>
    <w:basedOn w:val="Normal"/>
    <w:link w:val="CommentTextChar"/>
    <w:uiPriority w:val="99"/>
    <w:unhideWhenUsed/>
    <w:rsid w:val="00C17D82"/>
    <w:pPr>
      <w:spacing w:after="5"/>
      <w:ind w:left="44" w:hanging="10"/>
      <w:jc w:val="both"/>
    </w:pPr>
    <w:rPr>
      <w:rFonts w:ascii="Arial" w:eastAsia="Arial" w:hAnsi="Arial" w:cs="Arial"/>
      <w:color w:val="000000"/>
      <w:sz w:val="20"/>
      <w:lang w:eastAsia="en-GB"/>
    </w:rPr>
  </w:style>
  <w:style w:type="character" w:customStyle="1" w:styleId="CommentTextChar">
    <w:name w:val="Comment Text Char"/>
    <w:basedOn w:val="DefaultParagraphFont"/>
    <w:link w:val="CommentText"/>
    <w:uiPriority w:val="99"/>
    <w:rsid w:val="00C17D82"/>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17D82"/>
    <w:rPr>
      <w:b/>
      <w:bCs/>
    </w:rPr>
  </w:style>
  <w:style w:type="character" w:customStyle="1" w:styleId="CommentSubjectChar">
    <w:name w:val="Comment Subject Char"/>
    <w:basedOn w:val="CommentTextChar"/>
    <w:link w:val="CommentSubject"/>
    <w:uiPriority w:val="99"/>
    <w:semiHidden/>
    <w:rsid w:val="00C17D82"/>
    <w:rPr>
      <w:rFonts w:ascii="Arial" w:eastAsia="Arial" w:hAnsi="Arial" w:cs="Arial"/>
      <w:b/>
      <w:bCs/>
      <w:color w:val="000000"/>
      <w:kern w:val="0"/>
      <w:sz w:val="20"/>
      <w:szCs w:val="20"/>
      <w:lang w:eastAsia="en-GB"/>
      <w14:ligatures w14:val="none"/>
    </w:rPr>
  </w:style>
  <w:style w:type="paragraph" w:styleId="BodyText">
    <w:name w:val="Body Text"/>
    <w:basedOn w:val="Normal"/>
    <w:link w:val="BodyTextChar"/>
    <w:rsid w:val="00C17D82"/>
    <w:rPr>
      <w:rFonts w:ascii="Arial" w:hAnsi="Arial"/>
      <w:lang w:eastAsia="en-GB"/>
    </w:rPr>
  </w:style>
  <w:style w:type="character" w:customStyle="1" w:styleId="BodyTextChar">
    <w:name w:val="Body Text Char"/>
    <w:basedOn w:val="DefaultParagraphFont"/>
    <w:link w:val="BodyText"/>
    <w:rsid w:val="00C17D82"/>
    <w:rPr>
      <w:rFonts w:ascii="Arial" w:eastAsia="Times New Roman" w:hAnsi="Arial" w:cs="Times New Roman"/>
      <w:kern w:val="0"/>
      <w:sz w:val="24"/>
      <w:szCs w:val="20"/>
      <w:lang w:eastAsia="en-GB"/>
      <w14:ligatures w14:val="none"/>
    </w:rPr>
  </w:style>
  <w:style w:type="table" w:customStyle="1" w:styleId="TableGrid2">
    <w:name w:val="Table Grid2"/>
    <w:basedOn w:val="TableNormal"/>
    <w:next w:val="TableGrid"/>
    <w:uiPriority w:val="59"/>
    <w:rsid w:val="00C17D82"/>
    <w:pPr>
      <w:spacing w:after="0" w:line="240" w:lineRule="auto"/>
    </w:pPr>
    <w:rPr>
      <w:rFonts w:ascii="Arial" w:eastAsia="Times New Roman"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7D82"/>
    <w:pPr>
      <w:spacing w:after="0" w:line="240" w:lineRule="auto"/>
    </w:pPr>
    <w:rPr>
      <w:rFonts w:ascii="Arial" w:eastAsia="Times New Roman"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C17D82"/>
    <w:rPr>
      <w:rFonts w:ascii="Times New Roman" w:eastAsia="Times New Roman" w:hAnsi="Times New Roman" w:cs="Times New Roman"/>
      <w:kern w:val="0"/>
      <w:sz w:val="24"/>
      <w:szCs w:val="20"/>
      <w14:ligatures w14:val="none"/>
    </w:rPr>
  </w:style>
  <w:style w:type="paragraph" w:styleId="Header">
    <w:name w:val="header"/>
    <w:basedOn w:val="Normal"/>
    <w:link w:val="HeaderChar"/>
    <w:rsid w:val="00C17D82"/>
    <w:pPr>
      <w:tabs>
        <w:tab w:val="center" w:pos="4153"/>
        <w:tab w:val="right" w:pos="8306"/>
      </w:tabs>
    </w:pPr>
    <w:rPr>
      <w:rFonts w:ascii="Univers" w:hAnsi="Univers"/>
      <w:sz w:val="22"/>
      <w:lang w:eastAsia="en-GB"/>
    </w:rPr>
  </w:style>
  <w:style w:type="character" w:customStyle="1" w:styleId="HeaderChar">
    <w:name w:val="Header Char"/>
    <w:basedOn w:val="DefaultParagraphFont"/>
    <w:link w:val="Header"/>
    <w:rsid w:val="00C17D82"/>
    <w:rPr>
      <w:rFonts w:ascii="Univers" w:eastAsia="Times New Roman" w:hAnsi="Univers" w:cs="Times New Roman"/>
      <w:kern w:val="0"/>
      <w:szCs w:val="20"/>
      <w:lang w:eastAsia="en-GB"/>
      <w14:ligatures w14:val="none"/>
    </w:rPr>
  </w:style>
  <w:style w:type="paragraph" w:styleId="Caption">
    <w:name w:val="caption"/>
    <w:basedOn w:val="Normal"/>
    <w:next w:val="Normal"/>
    <w:uiPriority w:val="35"/>
    <w:qFormat/>
    <w:rsid w:val="00C17D82"/>
    <w:pPr>
      <w:jc w:val="both"/>
    </w:pPr>
    <w:rPr>
      <w:rFonts w:ascii="Arial" w:hAnsi="Arial"/>
      <w:vanish/>
      <w:color w:val="FF0000"/>
      <w:lang w:eastAsia="en-GB"/>
    </w:rPr>
  </w:style>
  <w:style w:type="paragraph" w:styleId="Footer">
    <w:name w:val="footer"/>
    <w:basedOn w:val="Normal"/>
    <w:link w:val="FooterChar"/>
    <w:uiPriority w:val="99"/>
    <w:semiHidden/>
    <w:unhideWhenUsed/>
    <w:rsid w:val="00C17D82"/>
    <w:pPr>
      <w:tabs>
        <w:tab w:val="center" w:pos="4513"/>
        <w:tab w:val="right" w:pos="9026"/>
      </w:tabs>
      <w:ind w:left="44" w:hanging="10"/>
      <w:jc w:val="both"/>
    </w:pPr>
    <w:rPr>
      <w:rFonts w:ascii="Arial" w:eastAsia="Arial" w:hAnsi="Arial" w:cs="Arial"/>
      <w:color w:val="000000"/>
      <w:szCs w:val="22"/>
      <w:lang w:eastAsia="en-GB"/>
    </w:rPr>
  </w:style>
  <w:style w:type="character" w:customStyle="1" w:styleId="FooterChar">
    <w:name w:val="Footer Char"/>
    <w:basedOn w:val="DefaultParagraphFont"/>
    <w:link w:val="Footer"/>
    <w:uiPriority w:val="99"/>
    <w:semiHidden/>
    <w:rsid w:val="00C17D82"/>
    <w:rPr>
      <w:rFonts w:ascii="Arial" w:eastAsia="Arial" w:hAnsi="Arial" w:cs="Arial"/>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https://lfrsict.sharepoint.com/sites/SDEP-Finance/Shared%20Documents/Other/CFA%20Items/2024-25/CFA/Budget%20Papers/Appendix%20D%20Liability-Benchmark-Template-2025-(updated-with-TM-Code-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2000" b="1">
                <a:solidFill>
                  <a:sysClr val="windowText" lastClr="000000"/>
                </a:solidFill>
                <a:latin typeface="Arial" panose="020B0604020202020204" pitchFamily="34" charset="0"/>
                <a:cs typeface="Arial" panose="020B0604020202020204" pitchFamily="34" charset="0"/>
              </a:rPr>
              <a:t>Liability Benchmark</a:t>
            </a:r>
          </a:p>
        </c:rich>
      </c:tx>
      <c:layout>
        <c:manualLayout>
          <c:xMode val="edge"/>
          <c:yMode val="edge"/>
          <c:x val="0.41572737834000256"/>
          <c:y val="2.9277940675825571E-2"/>
        </c:manualLayout>
      </c:layout>
      <c:overlay val="0"/>
      <c:spPr>
        <a:noFill/>
        <a:ln>
          <a:noFill/>
        </a:ln>
        <a:effectLst/>
      </c:spPr>
    </c:title>
    <c:autoTitleDeleted val="0"/>
    <c:plotArea>
      <c:layout>
        <c:manualLayout>
          <c:layoutTarget val="inner"/>
          <c:xMode val="edge"/>
          <c:yMode val="edge"/>
          <c:x val="0.13753554902022788"/>
          <c:y val="3.2759723216416133E-2"/>
          <c:w val="0.79056141131641544"/>
          <c:h val="0.67572908556410427"/>
        </c:manualLayout>
      </c:layout>
      <c:barChart>
        <c:barDir val="col"/>
        <c:grouping val="stacked"/>
        <c:varyColors val="0"/>
        <c:ser>
          <c:idx val="0"/>
          <c:order val="0"/>
          <c:tx>
            <c:strRef>
              <c:f>Calculations!$A$5</c:f>
              <c:strCache>
                <c:ptCount val="1"/>
                <c:pt idx="0">
                  <c:v>PWLB Loans</c:v>
                </c:pt>
              </c:strCache>
            </c:strRef>
          </c:tx>
          <c:spPr>
            <a:solidFill>
              <a:srgbClr val="337EBC"/>
            </a:solidFill>
            <a:ln>
              <a:solidFill>
                <a:schemeClr val="bg1"/>
              </a:solidFill>
            </a:ln>
            <a:effectLst/>
          </c:spPr>
          <c:invertIfNegative val="0"/>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Calculations!$B$5:$BF$5</c:f>
              <c:numCache>
                <c:formatCode>"£"#,##0</c:formatCode>
                <c:ptCount val="57"/>
                <c:pt idx="0">
                  <c:v>2000</c:v>
                </c:pt>
                <c:pt idx="1">
                  <c:v>2000</c:v>
                </c:pt>
                <c:pt idx="2">
                  <c:v>2000</c:v>
                </c:pt>
                <c:pt idx="3">
                  <c:v>2000</c:v>
                </c:pt>
                <c:pt idx="4">
                  <c:v>2000</c:v>
                </c:pt>
                <c:pt idx="5">
                  <c:v>2000</c:v>
                </c:pt>
                <c:pt idx="6">
                  <c:v>2000</c:v>
                </c:pt>
                <c:pt idx="7">
                  <c:v>2000</c:v>
                </c:pt>
                <c:pt idx="8">
                  <c:v>2000</c:v>
                </c:pt>
                <c:pt idx="9">
                  <c:v>2000</c:v>
                </c:pt>
                <c:pt idx="10">
                  <c:v>2000</c:v>
                </c:pt>
                <c:pt idx="11">
                  <c:v>2000</c:v>
                </c:pt>
                <c:pt idx="12">
                  <c:v>1350</c:v>
                </c:pt>
                <c:pt idx="13">
                  <c:v>650</c:v>
                </c:pt>
              </c:numCache>
            </c:numRef>
          </c:val>
          <c:extLst>
            <c:ext xmlns:c16="http://schemas.microsoft.com/office/drawing/2014/chart" uri="{C3380CC4-5D6E-409C-BE32-E72D297353CC}">
              <c16:uniqueId val="{00000000-814C-48E9-B009-270BF476DA6C}"/>
            </c:ext>
          </c:extLst>
        </c:ser>
        <c:ser>
          <c:idx val="1"/>
          <c:order val="1"/>
          <c:tx>
            <c:strRef>
              <c:f>Calculations!$A$6</c:f>
              <c:strCache>
                <c:ptCount val="1"/>
                <c:pt idx="0">
                  <c:v>Market Loans (excl LOBO loans)</c:v>
                </c:pt>
              </c:strCache>
            </c:strRef>
          </c:tx>
          <c:spPr>
            <a:solidFill>
              <a:schemeClr val="accent2">
                <a:lumMod val="75000"/>
              </a:schemeClr>
            </a:solidFill>
            <a:ln>
              <a:solidFill>
                <a:schemeClr val="bg1"/>
              </a:solidFill>
            </a:ln>
            <a:effectLst/>
          </c:spPr>
          <c:invertIfNegative val="0"/>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Calculations!$B$6:$BF$6</c:f>
              <c:numCache>
                <c:formatCode>General</c:formatCode>
                <c:ptCount val="57"/>
              </c:numCache>
            </c:numRef>
          </c:val>
          <c:extLst>
            <c:ext xmlns:c16="http://schemas.microsoft.com/office/drawing/2014/chart" uri="{C3380CC4-5D6E-409C-BE32-E72D297353CC}">
              <c16:uniqueId val="{00000001-814C-48E9-B009-270BF476DA6C}"/>
            </c:ext>
          </c:extLst>
        </c:ser>
        <c:ser>
          <c:idx val="7"/>
          <c:order val="2"/>
          <c:tx>
            <c:strRef>
              <c:f>Calculations!$A$7</c:f>
              <c:strCache>
                <c:ptCount val="1"/>
                <c:pt idx="0">
                  <c:v>LOBO Loans</c:v>
                </c:pt>
              </c:strCache>
            </c:strRef>
          </c:tx>
          <c:spPr>
            <a:solidFill>
              <a:srgbClr val="D6D6D6"/>
            </a:solidFill>
            <a:ln>
              <a:solidFill>
                <a:schemeClr val="bg1"/>
              </a:solidFill>
            </a:ln>
            <a:effectLst/>
          </c:spPr>
          <c:invertIfNegative val="0"/>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Calculations!$B$7:$BF$7</c:f>
              <c:numCache>
                <c:formatCode>General</c:formatCode>
                <c:ptCount val="57"/>
              </c:numCache>
            </c:numRef>
          </c:val>
          <c:extLst>
            <c:ext xmlns:c16="http://schemas.microsoft.com/office/drawing/2014/chart" uri="{C3380CC4-5D6E-409C-BE32-E72D297353CC}">
              <c16:uniqueId val="{00000002-814C-48E9-B009-270BF476DA6C}"/>
            </c:ext>
          </c:extLst>
        </c:ser>
        <c:ser>
          <c:idx val="9"/>
          <c:order val="3"/>
          <c:tx>
            <c:strRef>
              <c:f>Calculations!$A$8</c:f>
              <c:strCache>
                <c:ptCount val="1"/>
                <c:pt idx="0">
                  <c:v>Short Term inc LA Temporary Borrowing (&lt;1 year)</c:v>
                </c:pt>
              </c:strCache>
            </c:strRef>
          </c:tx>
          <c:spPr>
            <a:solidFill>
              <a:srgbClr val="DC5A5B"/>
            </a:solidFill>
            <a:ln>
              <a:solidFill>
                <a:schemeClr val="bg1"/>
              </a:solidFill>
            </a:ln>
            <a:effectLst/>
          </c:spPr>
          <c:invertIfNegative val="0"/>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Calculations!$B$8:$BF$8</c:f>
              <c:numCache>
                <c:formatCode>General</c:formatCode>
                <c:ptCount val="57"/>
              </c:numCache>
            </c:numRef>
          </c:val>
          <c:extLst>
            <c:ext xmlns:c16="http://schemas.microsoft.com/office/drawing/2014/chart" uri="{C3380CC4-5D6E-409C-BE32-E72D297353CC}">
              <c16:uniqueId val="{00000003-814C-48E9-B009-270BF476DA6C}"/>
            </c:ext>
          </c:extLst>
        </c:ser>
        <c:ser>
          <c:idx val="3"/>
          <c:order val="4"/>
          <c:tx>
            <c:strRef>
              <c:f>Calculations!$A$9</c:f>
              <c:strCache>
                <c:ptCount val="1"/>
                <c:pt idx="0">
                  <c:v>Variable rate loans</c:v>
                </c:pt>
              </c:strCache>
            </c:strRef>
          </c:tx>
          <c:spPr>
            <a:solidFill>
              <a:srgbClr val="00AEE0"/>
            </a:solidFill>
            <a:ln>
              <a:solidFill>
                <a:schemeClr val="bg1"/>
              </a:solidFill>
            </a:ln>
            <a:effectLst/>
          </c:spPr>
          <c:invertIfNegative val="0"/>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Calculations!$B$9:$BF$9</c:f>
              <c:numCache>
                <c:formatCode>General</c:formatCode>
                <c:ptCount val="57"/>
              </c:numCache>
            </c:numRef>
          </c:val>
          <c:extLst>
            <c:ext xmlns:c16="http://schemas.microsoft.com/office/drawing/2014/chart" uri="{C3380CC4-5D6E-409C-BE32-E72D297353CC}">
              <c16:uniqueId val="{00000004-814C-48E9-B009-270BF476DA6C}"/>
            </c:ext>
          </c:extLst>
        </c:ser>
        <c:dLbls>
          <c:showLegendKey val="0"/>
          <c:showVal val="0"/>
          <c:showCatName val="0"/>
          <c:showSerName val="0"/>
          <c:showPercent val="0"/>
          <c:showBubbleSize val="0"/>
        </c:dLbls>
        <c:gapWidth val="0"/>
        <c:overlap val="100"/>
        <c:axId val="1152628360"/>
        <c:axId val="1152628936"/>
      </c:barChart>
      <c:lineChart>
        <c:grouping val="standard"/>
        <c:varyColors val="0"/>
        <c:ser>
          <c:idx val="4"/>
          <c:order val="5"/>
          <c:tx>
            <c:strRef>
              <c:f>Calculations!$A$10</c:f>
              <c:strCache>
                <c:ptCount val="1"/>
                <c:pt idx="0">
                  <c:v>Existing Loan Debt Outstanding</c:v>
                </c:pt>
              </c:strCache>
            </c:strRef>
          </c:tx>
          <c:spPr>
            <a:ln w="47625" cap="rnd">
              <a:solidFill>
                <a:schemeClr val="tx1"/>
              </a:solidFill>
              <a:round/>
            </a:ln>
            <a:effectLst/>
          </c:spPr>
          <c:marker>
            <c:symbol val="none"/>
          </c:marker>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Calculations!$B$10:$BF$10</c:f>
              <c:numCache>
                <c:formatCode>"£"#,##0</c:formatCode>
                <c:ptCount val="57"/>
                <c:pt idx="0">
                  <c:v>2000</c:v>
                </c:pt>
                <c:pt idx="1">
                  <c:v>2000</c:v>
                </c:pt>
                <c:pt idx="2">
                  <c:v>2000</c:v>
                </c:pt>
                <c:pt idx="3">
                  <c:v>2000</c:v>
                </c:pt>
                <c:pt idx="4">
                  <c:v>2000</c:v>
                </c:pt>
                <c:pt idx="5">
                  <c:v>2000</c:v>
                </c:pt>
                <c:pt idx="6">
                  <c:v>2000</c:v>
                </c:pt>
                <c:pt idx="7">
                  <c:v>2000</c:v>
                </c:pt>
                <c:pt idx="8">
                  <c:v>2000</c:v>
                </c:pt>
                <c:pt idx="9">
                  <c:v>2000</c:v>
                </c:pt>
                <c:pt idx="10">
                  <c:v>2000</c:v>
                </c:pt>
                <c:pt idx="11">
                  <c:v>2000</c:v>
                </c:pt>
                <c:pt idx="12">
                  <c:v>1350</c:v>
                </c:pt>
                <c:pt idx="13">
                  <c:v>650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numCache>
            </c:numRef>
          </c:val>
          <c:smooth val="0"/>
          <c:extLst>
            <c:ext xmlns:c16="http://schemas.microsoft.com/office/drawing/2014/chart" uri="{C3380CC4-5D6E-409C-BE32-E72D297353CC}">
              <c16:uniqueId val="{00000005-814C-48E9-B009-270BF476DA6C}"/>
            </c:ext>
          </c:extLst>
        </c:ser>
        <c:ser>
          <c:idx val="2"/>
          <c:order val="6"/>
          <c:tx>
            <c:strRef>
              <c:f>Calculations!$A$17</c:f>
              <c:strCache>
                <c:ptCount val="1"/>
                <c:pt idx="0">
                  <c:v>Net Loans Requirement (forecast net loan debt)</c:v>
                </c:pt>
              </c:strCache>
            </c:strRef>
          </c:tx>
          <c:spPr>
            <a:ln w="44450" cap="rnd">
              <a:solidFill>
                <a:srgbClr val="F26729"/>
              </a:solidFill>
              <a:round/>
            </a:ln>
            <a:effectLst/>
          </c:spPr>
          <c:marker>
            <c:symbol val="none"/>
          </c:marker>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Calculations!$B$17:$BF$17</c:f>
              <c:numCache>
                <c:formatCode>"£"#,##0</c:formatCode>
                <c:ptCount val="57"/>
                <c:pt idx="0">
                  <c:v>-21500</c:v>
                </c:pt>
                <c:pt idx="1">
                  <c:v>-21500</c:v>
                </c:pt>
                <c:pt idx="2">
                  <c:v>-21500</c:v>
                </c:pt>
                <c:pt idx="3">
                  <c:v>-17322</c:v>
                </c:pt>
                <c:pt idx="4">
                  <c:v>9172.4399999999987</c:v>
                </c:pt>
                <c:pt idx="5">
                  <c:v>17373.759999999998</c:v>
                </c:pt>
                <c:pt idx="6">
                  <c:v>25722.159999999996</c:v>
                </c:pt>
                <c:pt idx="7">
                  <c:v>24394.399999999998</c:v>
                </c:pt>
                <c:pt idx="8">
                  <c:v>23066.639999999999</c:v>
                </c:pt>
                <c:pt idx="9">
                  <c:v>21738.880000000001</c:v>
                </c:pt>
                <c:pt idx="10">
                  <c:v>20411.120000000003</c:v>
                </c:pt>
                <c:pt idx="11">
                  <c:v>19083.360000000004</c:v>
                </c:pt>
                <c:pt idx="12">
                  <c:v>17755.600000000006</c:v>
                </c:pt>
                <c:pt idx="13">
                  <c:v>16427.840000000007</c:v>
                </c:pt>
                <c:pt idx="14">
                  <c:v>15100.080000000007</c:v>
                </c:pt>
                <c:pt idx="15">
                  <c:v>13772.320000000007</c:v>
                </c:pt>
                <c:pt idx="16">
                  <c:v>12444.560000000007</c:v>
                </c:pt>
                <c:pt idx="17">
                  <c:v>11116.800000000007</c:v>
                </c:pt>
                <c:pt idx="18">
                  <c:v>9789.0400000000063</c:v>
                </c:pt>
                <c:pt idx="19">
                  <c:v>8461.2800000000061</c:v>
                </c:pt>
                <c:pt idx="20">
                  <c:v>7133.5200000000059</c:v>
                </c:pt>
                <c:pt idx="21">
                  <c:v>5805.7600000000057</c:v>
                </c:pt>
                <c:pt idx="22">
                  <c:v>4478.0000000000055</c:v>
                </c:pt>
                <c:pt idx="23">
                  <c:v>3150.2400000000052</c:v>
                </c:pt>
                <c:pt idx="24">
                  <c:v>1822.4800000000052</c:v>
                </c:pt>
                <c:pt idx="25">
                  <c:v>494.72000000000526</c:v>
                </c:pt>
                <c:pt idx="26">
                  <c:v>-833.03999999999473</c:v>
                </c:pt>
                <c:pt idx="27">
                  <c:v>-2160.7999999999947</c:v>
                </c:pt>
                <c:pt idx="28">
                  <c:v>-3488.5599999999949</c:v>
                </c:pt>
                <c:pt idx="29">
                  <c:v>-4816.3199999999952</c:v>
                </c:pt>
                <c:pt idx="30">
                  <c:v>-5480.9599999999955</c:v>
                </c:pt>
                <c:pt idx="31">
                  <c:v>-6143.6799999999957</c:v>
                </c:pt>
                <c:pt idx="32">
                  <c:v>-6791.2399999999961</c:v>
                </c:pt>
                <c:pt idx="33">
                  <c:v>-7438.7999999999956</c:v>
                </c:pt>
                <c:pt idx="34">
                  <c:v>-8086.3599999999951</c:v>
                </c:pt>
                <c:pt idx="35">
                  <c:v>-8733.9199999999946</c:v>
                </c:pt>
                <c:pt idx="36">
                  <c:v>-9381.4799999999941</c:v>
                </c:pt>
                <c:pt idx="37">
                  <c:v>-10029.039999999994</c:v>
                </c:pt>
                <c:pt idx="38">
                  <c:v>-10676.599999999993</c:v>
                </c:pt>
                <c:pt idx="39">
                  <c:v>-11324.159999999993</c:v>
                </c:pt>
                <c:pt idx="40">
                  <c:v>-11971.719999999992</c:v>
                </c:pt>
                <c:pt idx="41">
                  <c:v>-12619.279999999992</c:v>
                </c:pt>
                <c:pt idx="42">
                  <c:v>-13266.839999999991</c:v>
                </c:pt>
                <c:pt idx="43">
                  <c:v>-13914.399999999991</c:v>
                </c:pt>
                <c:pt idx="44">
                  <c:v>-14561.95999999999</c:v>
                </c:pt>
                <c:pt idx="45">
                  <c:v>-15209.51999999999</c:v>
                </c:pt>
                <c:pt idx="46">
                  <c:v>-15857.079999999989</c:v>
                </c:pt>
                <c:pt idx="47">
                  <c:v>-16504.639999999989</c:v>
                </c:pt>
                <c:pt idx="48">
                  <c:v>-17152.19999999999</c:v>
                </c:pt>
                <c:pt idx="49">
                  <c:v>-17799.759999999991</c:v>
                </c:pt>
                <c:pt idx="50">
                  <c:v>-18447.319999999992</c:v>
                </c:pt>
                <c:pt idx="51">
                  <c:v>-19094.879999999994</c:v>
                </c:pt>
                <c:pt idx="52">
                  <c:v>-19742.439999999995</c:v>
                </c:pt>
                <c:pt idx="53">
                  <c:v>-20389.999999999996</c:v>
                </c:pt>
                <c:pt idx="54">
                  <c:v>-20953.999999999996</c:v>
                </c:pt>
                <c:pt idx="55">
                  <c:v>-21317.999999999996</c:v>
                </c:pt>
                <c:pt idx="56">
                  <c:v>-21499.999999999996</c:v>
                </c:pt>
              </c:numCache>
            </c:numRef>
          </c:val>
          <c:smooth val="0"/>
          <c:extLst>
            <c:ext xmlns:c16="http://schemas.microsoft.com/office/drawing/2014/chart" uri="{C3380CC4-5D6E-409C-BE32-E72D297353CC}">
              <c16:uniqueId val="{00000006-814C-48E9-B009-270BF476DA6C}"/>
            </c:ext>
          </c:extLst>
        </c:ser>
        <c:ser>
          <c:idx val="5"/>
          <c:order val="7"/>
          <c:tx>
            <c:strRef>
              <c:f>Calculations!$A$22</c:f>
              <c:strCache>
                <c:ptCount val="1"/>
                <c:pt idx="0">
                  <c:v>Loans CFR</c:v>
                </c:pt>
              </c:strCache>
            </c:strRef>
          </c:tx>
          <c:spPr>
            <a:ln w="44450" cap="rnd">
              <a:solidFill>
                <a:srgbClr val="E60000"/>
              </a:solidFill>
              <a:round/>
            </a:ln>
            <a:effectLst/>
          </c:spPr>
          <c:marker>
            <c:symbol val="none"/>
          </c:marker>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Calculations!$B$22:$BF$22</c:f>
              <c:numCache>
                <c:formatCode>"£"#,##0</c:formatCode>
                <c:ptCount val="57"/>
                <c:pt idx="0">
                  <c:v>0</c:v>
                </c:pt>
                <c:pt idx="1">
                  <c:v>0</c:v>
                </c:pt>
                <c:pt idx="2">
                  <c:v>0</c:v>
                </c:pt>
                <c:pt idx="3">
                  <c:v>4178</c:v>
                </c:pt>
                <c:pt idx="4">
                  <c:v>30672.44</c:v>
                </c:pt>
                <c:pt idx="5">
                  <c:v>38873.759999999995</c:v>
                </c:pt>
                <c:pt idx="6">
                  <c:v>47222.159999999996</c:v>
                </c:pt>
                <c:pt idx="7">
                  <c:v>45894.399999999994</c:v>
                </c:pt>
                <c:pt idx="8">
                  <c:v>44566.639999999992</c:v>
                </c:pt>
                <c:pt idx="9">
                  <c:v>43238.87999999999</c:v>
                </c:pt>
                <c:pt idx="10">
                  <c:v>41911.119999999988</c:v>
                </c:pt>
                <c:pt idx="11">
                  <c:v>40583.359999999986</c:v>
                </c:pt>
                <c:pt idx="12">
                  <c:v>39255.599999999984</c:v>
                </c:pt>
                <c:pt idx="13">
                  <c:v>37927.839999999982</c:v>
                </c:pt>
                <c:pt idx="14">
                  <c:v>36600.07999999998</c:v>
                </c:pt>
                <c:pt idx="15">
                  <c:v>35272.319999999978</c:v>
                </c:pt>
                <c:pt idx="16">
                  <c:v>33944.559999999976</c:v>
                </c:pt>
                <c:pt idx="17">
                  <c:v>32616.799999999977</c:v>
                </c:pt>
                <c:pt idx="18">
                  <c:v>31289.039999999979</c:v>
                </c:pt>
                <c:pt idx="19">
                  <c:v>29961.279999999981</c:v>
                </c:pt>
                <c:pt idx="20">
                  <c:v>28633.519999999982</c:v>
                </c:pt>
                <c:pt idx="21">
                  <c:v>27305.759999999984</c:v>
                </c:pt>
                <c:pt idx="22">
                  <c:v>25977.999999999985</c:v>
                </c:pt>
                <c:pt idx="23">
                  <c:v>24650.239999999987</c:v>
                </c:pt>
                <c:pt idx="24">
                  <c:v>23322.479999999989</c:v>
                </c:pt>
                <c:pt idx="25">
                  <c:v>21994.71999999999</c:v>
                </c:pt>
                <c:pt idx="26">
                  <c:v>20666.959999999992</c:v>
                </c:pt>
                <c:pt idx="27">
                  <c:v>19339.199999999993</c:v>
                </c:pt>
                <c:pt idx="28">
                  <c:v>18011.439999999995</c:v>
                </c:pt>
                <c:pt idx="29">
                  <c:v>16683.679999999997</c:v>
                </c:pt>
                <c:pt idx="30">
                  <c:v>16019.039999999997</c:v>
                </c:pt>
                <c:pt idx="31">
                  <c:v>15356.319999999998</c:v>
                </c:pt>
                <c:pt idx="32">
                  <c:v>14708.759999999998</c:v>
                </c:pt>
                <c:pt idx="33">
                  <c:v>14061.199999999999</c:v>
                </c:pt>
                <c:pt idx="34">
                  <c:v>13413.64</c:v>
                </c:pt>
                <c:pt idx="35">
                  <c:v>12766.08</c:v>
                </c:pt>
                <c:pt idx="36">
                  <c:v>12118.52</c:v>
                </c:pt>
                <c:pt idx="37">
                  <c:v>11470.960000000001</c:v>
                </c:pt>
                <c:pt idx="38">
                  <c:v>10823.400000000001</c:v>
                </c:pt>
                <c:pt idx="39">
                  <c:v>10175.840000000002</c:v>
                </c:pt>
                <c:pt idx="40">
                  <c:v>9528.2800000000025</c:v>
                </c:pt>
                <c:pt idx="41">
                  <c:v>8880.720000000003</c:v>
                </c:pt>
                <c:pt idx="42">
                  <c:v>8233.1600000000035</c:v>
                </c:pt>
                <c:pt idx="43">
                  <c:v>7585.600000000004</c:v>
                </c:pt>
                <c:pt idx="44">
                  <c:v>6938.0400000000045</c:v>
                </c:pt>
                <c:pt idx="45">
                  <c:v>6290.480000000005</c:v>
                </c:pt>
                <c:pt idx="46">
                  <c:v>5642.9200000000055</c:v>
                </c:pt>
                <c:pt idx="47">
                  <c:v>4995.360000000006</c:v>
                </c:pt>
                <c:pt idx="48">
                  <c:v>4347.8000000000065</c:v>
                </c:pt>
                <c:pt idx="49">
                  <c:v>3700.2400000000066</c:v>
                </c:pt>
                <c:pt idx="50">
                  <c:v>3052.6800000000067</c:v>
                </c:pt>
                <c:pt idx="51">
                  <c:v>2405.1200000000067</c:v>
                </c:pt>
                <c:pt idx="52">
                  <c:v>1757.5600000000068</c:v>
                </c:pt>
                <c:pt idx="53">
                  <c:v>1110.0000000000068</c:v>
                </c:pt>
                <c:pt idx="54">
                  <c:v>546.00000000000682</c:v>
                </c:pt>
                <c:pt idx="55">
                  <c:v>546.00000000000682</c:v>
                </c:pt>
                <c:pt idx="56">
                  <c:v>546.00000000000682</c:v>
                </c:pt>
              </c:numCache>
            </c:numRef>
          </c:val>
          <c:smooth val="0"/>
          <c:extLst>
            <c:ext xmlns:c16="http://schemas.microsoft.com/office/drawing/2014/chart" uri="{C3380CC4-5D6E-409C-BE32-E72D297353CC}">
              <c16:uniqueId val="{00000007-814C-48E9-B009-270BF476DA6C}"/>
            </c:ext>
          </c:extLst>
        </c:ser>
        <c:ser>
          <c:idx val="6"/>
          <c:order val="8"/>
          <c:tx>
            <c:strRef>
              <c:f>Calculations!$A$25</c:f>
              <c:strCache>
                <c:ptCount val="1"/>
                <c:pt idx="0">
                  <c:v>Liability Benchmark (Gross Loans Requirement)</c:v>
                </c:pt>
              </c:strCache>
            </c:strRef>
          </c:tx>
          <c:spPr>
            <a:ln w="44450" cap="rnd">
              <a:solidFill>
                <a:srgbClr val="4E4E50"/>
              </a:solidFill>
              <a:prstDash val="sysDash"/>
              <a:round/>
            </a:ln>
            <a:effectLst/>
          </c:spPr>
          <c:marker>
            <c:symbol val="none"/>
          </c:marker>
          <c:cat>
            <c:numRef>
              <c:f>Calculations!$B$3:$BF$3</c:f>
              <c:numCache>
                <c:formatCode>General</c:formatCode>
                <c:ptCount val="5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pt idx="47">
                  <c:v>2071</c:v>
                </c:pt>
                <c:pt idx="48">
                  <c:v>2072</c:v>
                </c:pt>
                <c:pt idx="49">
                  <c:v>2073</c:v>
                </c:pt>
                <c:pt idx="50">
                  <c:v>2074</c:v>
                </c:pt>
                <c:pt idx="51">
                  <c:v>2075</c:v>
                </c:pt>
                <c:pt idx="52">
                  <c:v>2076</c:v>
                </c:pt>
                <c:pt idx="53">
                  <c:v>2077</c:v>
                </c:pt>
                <c:pt idx="54">
                  <c:v>2078</c:v>
                </c:pt>
                <c:pt idx="55">
                  <c:v>2079</c:v>
                </c:pt>
                <c:pt idx="56">
                  <c:v>2080</c:v>
                </c:pt>
              </c:numCache>
            </c:numRef>
          </c:cat>
          <c:val>
            <c:numRef>
              <c:f>Calculations!$B$25:$BF$25</c:f>
              <c:numCache>
                <c:formatCode>"£"#,##0</c:formatCode>
                <c:ptCount val="57"/>
                <c:pt idx="0">
                  <c:v>-11500</c:v>
                </c:pt>
                <c:pt idx="1">
                  <c:v>-11500</c:v>
                </c:pt>
                <c:pt idx="2">
                  <c:v>-11500</c:v>
                </c:pt>
                <c:pt idx="3">
                  <c:v>-7322</c:v>
                </c:pt>
                <c:pt idx="4">
                  <c:v>19172.439999999999</c:v>
                </c:pt>
                <c:pt idx="5">
                  <c:v>27373.759999999998</c:v>
                </c:pt>
                <c:pt idx="6">
                  <c:v>35722.159999999996</c:v>
                </c:pt>
                <c:pt idx="7">
                  <c:v>34394.399999999994</c:v>
                </c:pt>
                <c:pt idx="8">
                  <c:v>33066.639999999999</c:v>
                </c:pt>
                <c:pt idx="9">
                  <c:v>31738.880000000001</c:v>
                </c:pt>
                <c:pt idx="10">
                  <c:v>30411.120000000003</c:v>
                </c:pt>
                <c:pt idx="11">
                  <c:v>29083.360000000004</c:v>
                </c:pt>
                <c:pt idx="12">
                  <c:v>27755.600000000006</c:v>
                </c:pt>
                <c:pt idx="13">
                  <c:v>26427.840000000007</c:v>
                </c:pt>
                <c:pt idx="14">
                  <c:v>25100.080000000009</c:v>
                </c:pt>
                <c:pt idx="15">
                  <c:v>23772.320000000007</c:v>
                </c:pt>
                <c:pt idx="16">
                  <c:v>22444.560000000005</c:v>
                </c:pt>
                <c:pt idx="17">
                  <c:v>21116.800000000007</c:v>
                </c:pt>
                <c:pt idx="18">
                  <c:v>19789.040000000008</c:v>
                </c:pt>
                <c:pt idx="19">
                  <c:v>18461.280000000006</c:v>
                </c:pt>
                <c:pt idx="20">
                  <c:v>17133.520000000004</c:v>
                </c:pt>
                <c:pt idx="21">
                  <c:v>15805.760000000006</c:v>
                </c:pt>
                <c:pt idx="22">
                  <c:v>14478.000000000005</c:v>
                </c:pt>
                <c:pt idx="23">
                  <c:v>13150.240000000005</c:v>
                </c:pt>
                <c:pt idx="24">
                  <c:v>11822.480000000005</c:v>
                </c:pt>
                <c:pt idx="25">
                  <c:v>10494.720000000005</c:v>
                </c:pt>
                <c:pt idx="26">
                  <c:v>9166.9600000000046</c:v>
                </c:pt>
                <c:pt idx="27">
                  <c:v>7839.2000000000053</c:v>
                </c:pt>
                <c:pt idx="28">
                  <c:v>6511.4400000000051</c:v>
                </c:pt>
                <c:pt idx="29">
                  <c:v>5183.6800000000048</c:v>
                </c:pt>
                <c:pt idx="30">
                  <c:v>4519.0400000000045</c:v>
                </c:pt>
                <c:pt idx="31">
                  <c:v>3856.3200000000043</c:v>
                </c:pt>
                <c:pt idx="32">
                  <c:v>3208.7600000000039</c:v>
                </c:pt>
                <c:pt idx="33">
                  <c:v>2561.2000000000044</c:v>
                </c:pt>
                <c:pt idx="34">
                  <c:v>1913.6400000000049</c:v>
                </c:pt>
                <c:pt idx="35">
                  <c:v>1266.0800000000054</c:v>
                </c:pt>
                <c:pt idx="36">
                  <c:v>618.52000000000589</c:v>
                </c:pt>
                <c:pt idx="37">
                  <c:v>-29.039999999993597</c:v>
                </c:pt>
                <c:pt idx="38">
                  <c:v>-676.59999999999309</c:v>
                </c:pt>
                <c:pt idx="39">
                  <c:v>-1324.1599999999926</c:v>
                </c:pt>
                <c:pt idx="40">
                  <c:v>-1971.7199999999921</c:v>
                </c:pt>
                <c:pt idx="41">
                  <c:v>-2619.2799999999916</c:v>
                </c:pt>
                <c:pt idx="42">
                  <c:v>-3266.8399999999911</c:v>
                </c:pt>
                <c:pt idx="43">
                  <c:v>-3914.3999999999905</c:v>
                </c:pt>
                <c:pt idx="44">
                  <c:v>-4561.95999999999</c:v>
                </c:pt>
                <c:pt idx="45">
                  <c:v>-5209.5199999999895</c:v>
                </c:pt>
                <c:pt idx="46">
                  <c:v>-5857.079999999989</c:v>
                </c:pt>
                <c:pt idx="47">
                  <c:v>-6504.6399999999885</c:v>
                </c:pt>
                <c:pt idx="48">
                  <c:v>-7152.1999999999898</c:v>
                </c:pt>
                <c:pt idx="49">
                  <c:v>-7799.7599999999911</c:v>
                </c:pt>
                <c:pt idx="50">
                  <c:v>-8447.3199999999924</c:v>
                </c:pt>
                <c:pt idx="51">
                  <c:v>-9094.8799999999937</c:v>
                </c:pt>
                <c:pt idx="52">
                  <c:v>-9742.4399999999951</c:v>
                </c:pt>
                <c:pt idx="53">
                  <c:v>-10389.999999999996</c:v>
                </c:pt>
                <c:pt idx="54">
                  <c:v>-10953.999999999996</c:v>
                </c:pt>
                <c:pt idx="55">
                  <c:v>-11317.999999999996</c:v>
                </c:pt>
                <c:pt idx="56">
                  <c:v>-11499.999999999996</c:v>
                </c:pt>
              </c:numCache>
            </c:numRef>
          </c:val>
          <c:smooth val="0"/>
          <c:extLst>
            <c:ext xmlns:c16="http://schemas.microsoft.com/office/drawing/2014/chart" uri="{C3380CC4-5D6E-409C-BE32-E72D297353CC}">
              <c16:uniqueId val="{00000008-814C-48E9-B009-270BF476DA6C}"/>
            </c:ext>
          </c:extLst>
        </c:ser>
        <c:dLbls>
          <c:showLegendKey val="0"/>
          <c:showVal val="0"/>
          <c:showCatName val="0"/>
          <c:showSerName val="0"/>
          <c:showPercent val="0"/>
          <c:showBubbleSize val="0"/>
        </c:dLbls>
        <c:marker val="1"/>
        <c:smooth val="0"/>
        <c:axId val="1152628360"/>
        <c:axId val="1152628936"/>
      </c:lineChart>
      <c:catAx>
        <c:axId val="11526283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52628936"/>
        <c:crosses val="autoZero"/>
        <c:auto val="0"/>
        <c:lblAlgn val="ctr"/>
        <c:lblOffset val="100"/>
        <c:noMultiLvlLbl val="0"/>
      </c:catAx>
      <c:valAx>
        <c:axId val="1152628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200" b="1">
                    <a:solidFill>
                      <a:sysClr val="windowText" lastClr="000000"/>
                    </a:solidFill>
                    <a:latin typeface="Arial" panose="020B0604020202020204" pitchFamily="34" charset="0"/>
                    <a:cs typeface="Arial" panose="020B0604020202020204" pitchFamily="34" charset="0"/>
                  </a:rPr>
                  <a:t>Total Amount (£'000)</a:t>
                </a:r>
              </a:p>
            </c:rich>
          </c:tx>
          <c:layout>
            <c:manualLayout>
              <c:xMode val="edge"/>
              <c:yMode val="edge"/>
              <c:x val="1.6479776444393201E-2"/>
              <c:y val="0.32551486753335229"/>
            </c:manualLayout>
          </c:layout>
          <c:overlay val="0"/>
          <c:spPr>
            <a:noFill/>
            <a:ln>
              <a:noFill/>
            </a:ln>
            <a:effectLst/>
          </c:sp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52628360"/>
        <c:crosses val="autoZero"/>
        <c:crossBetween val="between"/>
      </c:valAx>
      <c:spPr>
        <a:noFill/>
        <a:ln>
          <a:solidFill>
            <a:schemeClr val="bg2"/>
          </a:solidFill>
        </a:ln>
        <a:effectLst/>
      </c:spPr>
    </c:plotArea>
    <c:legend>
      <c:legendPos val="b"/>
      <c:legendEntry>
        <c:idx val="0"/>
        <c:delete val="1"/>
      </c:legendEntry>
      <c:legendEntry>
        <c:idx val="1"/>
        <c:delete val="1"/>
      </c:legendEntry>
      <c:legendEntry>
        <c:idx val="2"/>
        <c:delete val="1"/>
      </c:legendEntry>
      <c:legendEntry>
        <c:idx val="3"/>
        <c:delete val="1"/>
      </c:legendEntry>
      <c:layout>
        <c:manualLayout>
          <c:xMode val="edge"/>
          <c:yMode val="edge"/>
          <c:x val="3.5927749201406421E-2"/>
          <c:y val="0.86516822411090688"/>
          <c:w val="0.90900376923899218"/>
          <c:h val="0.1264485419608912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1f56c-e7af-43bb-a133-6deb2041e9af" xsi:nil="true"/>
    <lcf76f155ced4ddcb4097134ff3c332f xmlns="8045da27-7bcf-4150-8e82-71b46f84ff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940F4E2DC8946B491E00B713C6592" ma:contentTypeVersion="13" ma:contentTypeDescription="Create a new document." ma:contentTypeScope="" ma:versionID="6d6b0c9f7476bcef5db24777133d2116">
  <xsd:schema xmlns:xsd="http://www.w3.org/2001/XMLSchema" xmlns:xs="http://www.w3.org/2001/XMLSchema" xmlns:p="http://schemas.microsoft.com/office/2006/metadata/properties" xmlns:ns2="8045da27-7bcf-4150-8e82-71b46f84ffac" xmlns:ns3="6c41f56c-e7af-43bb-a133-6deb2041e9af" targetNamespace="http://schemas.microsoft.com/office/2006/metadata/properties" ma:root="true" ma:fieldsID="12dd156eaca4e56a724ac921d8e2514a" ns2:_="" ns3:_="">
    <xsd:import namespace="8045da27-7bcf-4150-8e82-71b46f84ffac"/>
    <xsd:import namespace="6c41f56c-e7af-43bb-a133-6deb2041e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da27-7bcf-4150-8e82-71b46f84f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1f56c-e7af-43bb-a133-6deb2041e9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99ebd8-4278-45f7-a1bf-548b18c36915}" ma:internalName="TaxCatchAll" ma:showField="CatchAllData" ma:web="6c41f56c-e7af-43bb-a133-6deb2041e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5C535-607D-40BF-990A-480E2CF88CE5}">
  <ds:schemaRefs>
    <ds:schemaRef ds:uri="http://schemas.microsoft.com/sharepoint/v3/contenttype/forms"/>
  </ds:schemaRefs>
</ds:datastoreItem>
</file>

<file path=customXml/itemProps2.xml><?xml version="1.0" encoding="utf-8"?>
<ds:datastoreItem xmlns:ds="http://schemas.openxmlformats.org/officeDocument/2006/customXml" ds:itemID="{33958A09-0B1B-4BFA-B9CE-7383C596191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6c41f56c-e7af-43bb-a133-6deb2041e9af"/>
    <ds:schemaRef ds:uri="http://schemas.microsoft.com/office/2006/documentManagement/types"/>
    <ds:schemaRef ds:uri="8045da27-7bcf-4150-8e82-71b46f84ffac"/>
    <ds:schemaRef ds:uri="http://www.w3.org/XML/1998/namespace"/>
    <ds:schemaRef ds:uri="http://purl.org/dc/dcmitype/"/>
  </ds:schemaRefs>
</ds:datastoreItem>
</file>

<file path=customXml/itemProps3.xml><?xml version="1.0" encoding="utf-8"?>
<ds:datastoreItem xmlns:ds="http://schemas.openxmlformats.org/officeDocument/2006/customXml" ds:itemID="{C1A2D268-1C4C-4D59-972F-9E219FF6F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da27-7bcf-4150-8e82-71b46f84ffac"/>
    <ds:schemaRef ds:uri="6c41f56c-e7af-43bb-a133-6deb2041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12808</Words>
  <Characters>73007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Brown, Steven</dc:creator>
  <cp:keywords/>
  <dc:description/>
  <cp:lastModifiedBy>SHQ - Rogers, Jane</cp:lastModifiedBy>
  <cp:revision>3</cp:revision>
  <cp:lastPrinted>2025-02-05T14:19:00Z</cp:lastPrinted>
  <dcterms:created xsi:type="dcterms:W3CDTF">2025-06-16T15:34:00Z</dcterms:created>
  <dcterms:modified xsi:type="dcterms:W3CDTF">2025-06-16T15:39:00Z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0x010100FF1940F4E2DC8946B491E00B713C6592</vt:lpwstr>
  </property>
  <property fmtid="{D5CDD505-2E9C-101B-9397-08002B2CF9AE}" pid="3" name="Order">
    <vt:r8>100</vt:r8>
  </property>
  <property fmtid="{D5CDD505-2E9C-101B-9397-08002B2CF9AE}" pid="4" name="MSIP_Label_dae4dd26-59c6-49ea-9323-b1507cb0fc81_Enabled">
    <vt:lpwstr>True</vt:lpwstr>
  </property>
  <property fmtid="{D5CDD505-2E9C-101B-9397-08002B2CF9AE}" pid="5" name="MSIP_Label_dae4dd26-59c6-49ea-9323-b1507cb0fc81_SiteId">
    <vt:lpwstr>f3108379-ec3f-4459-9a6d-f531e8ec0724</vt:lpwstr>
  </property>
  <property fmtid="{D5CDD505-2E9C-101B-9397-08002B2CF9AE}" pid="6" name="MSIP_Label_dae4dd26-59c6-49ea-9323-b1507cb0fc81_SetDate">
    <vt:lpwstr>2024-10-28T13:17:25Z</vt:lpwstr>
  </property>
  <property fmtid="{D5CDD505-2E9C-101B-9397-08002B2CF9AE}" pid="7" name="MSIP_Label_dae4dd26-59c6-49ea-9323-b1507cb0fc81_Name">
    <vt:lpwstr>OFFICIAL – Restricted</vt:lpwstr>
  </property>
  <property fmtid="{D5CDD505-2E9C-101B-9397-08002B2CF9AE}" pid="8" name="MSIP_Label_dae4dd26-59c6-49ea-9323-b1507cb0fc81_ActionId">
    <vt:lpwstr>1752c3d6-928d-41ad-9f77-574cb8a4b39e</vt:lpwstr>
  </property>
  <property fmtid="{D5CDD505-2E9C-101B-9397-08002B2CF9AE}" pid="9" name="MSIP_Label_dae4dd26-59c6-49ea-9323-b1507cb0fc81_Removed">
    <vt:lpwstr>False</vt:lpwstr>
  </property>
  <property fmtid="{D5CDD505-2E9C-101B-9397-08002B2CF9AE}" pid="10" name="MSIP_Label_dae4dd26-59c6-49ea-9323-b1507cb0fc81_Extended_MSFT_Method">
    <vt:lpwstr>Standard</vt:lpwstr>
  </property>
  <property fmtid="{D5CDD505-2E9C-101B-9397-08002B2CF9AE}" pid="11" name="Sensitivity">
    <vt:lpwstr>OFFICIAL – Restricted</vt:lpwstr>
  </property>
  <property fmtid="{D5CDD505-2E9C-101B-9397-08002B2CF9AE}" pid="12" name="MediaServiceImageTags">
    <vt:lpwstr/>
  </property>
</Properties>
</file>