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4DE54" w14:textId="1C175640" w:rsidR="00D83842" w:rsidRDefault="001D69CB" w:rsidP="00D45BB2">
      <w:pPr>
        <w:spacing w:after="0" w:line="407" w:lineRule="auto"/>
        <w:ind w:left="-15" w:right="0" w:firstLine="0"/>
        <w:jc w:val="left"/>
      </w:pPr>
      <w:r>
        <w:rPr>
          <w:b/>
          <w:sz w:val="29"/>
        </w:rPr>
        <w:t xml:space="preserve">Lancashire Fire and Rescue Service’s </w:t>
      </w:r>
      <w:r w:rsidR="00000000">
        <w:rPr>
          <w:b/>
          <w:sz w:val="29"/>
        </w:rPr>
        <w:t xml:space="preserve">Medium Term Financial Strategy </w:t>
      </w:r>
      <w:r>
        <w:rPr>
          <w:b/>
          <w:sz w:val="29"/>
        </w:rPr>
        <w:t>2024/25</w:t>
      </w:r>
    </w:p>
    <w:p w14:paraId="73322497" w14:textId="77777777" w:rsidR="00D83842" w:rsidRDefault="00000000">
      <w:pPr>
        <w:pStyle w:val="Heading1"/>
        <w:ind w:left="-5"/>
      </w:pPr>
      <w:r>
        <w:t xml:space="preserve">Introduction </w:t>
      </w:r>
    </w:p>
    <w:p w14:paraId="65B29A3B" w14:textId="2ADDCAA9" w:rsidR="00D83842" w:rsidRDefault="00000000" w:rsidP="00BA5F13">
      <w:pPr>
        <w:spacing w:after="226"/>
        <w:ind w:left="0" w:firstLine="0"/>
      </w:pPr>
      <w:r>
        <w:t xml:space="preserve">The purpose of the </w:t>
      </w:r>
      <w:proofErr w:type="gramStart"/>
      <w:r>
        <w:t>Medium Term</w:t>
      </w:r>
      <w:proofErr w:type="gramEnd"/>
      <w:r>
        <w:t xml:space="preserve"> Financial Strategy (MTFS) is to provide the Authority, staff, the public and other stakeholders with information on the financial outlook and the estimated available funding over the next five years. The MTFS </w:t>
      </w:r>
      <w:proofErr w:type="gramStart"/>
      <w:r>
        <w:t>takes into account</w:t>
      </w:r>
      <w:proofErr w:type="gramEnd"/>
      <w:r>
        <w:t xml:space="preserve"> future high level, potential revenue and capital expenditure over the period based upon current known information and estimates. </w:t>
      </w:r>
    </w:p>
    <w:p w14:paraId="0FD3C07F" w14:textId="77777777" w:rsidR="00D83842" w:rsidRDefault="00000000" w:rsidP="00BA5F13">
      <w:pPr>
        <w:pStyle w:val="Heading1"/>
        <w:ind w:left="0" w:firstLine="0"/>
      </w:pPr>
      <w:r>
        <w:t xml:space="preserve">The Budget Strategy </w:t>
      </w:r>
    </w:p>
    <w:p w14:paraId="498C93AA" w14:textId="77777777" w:rsidR="00D83842" w:rsidRDefault="00000000" w:rsidP="00BA5F13">
      <w:pPr>
        <w:spacing w:after="247"/>
        <w:ind w:left="0" w:right="148" w:firstLine="0"/>
      </w:pPr>
      <w:r>
        <w:t xml:space="preserve">The purpose of the budget strategy is to provide a basis for determining:  </w:t>
      </w:r>
    </w:p>
    <w:p w14:paraId="3109BE32" w14:textId="77777777" w:rsidR="00D83842" w:rsidRDefault="00000000" w:rsidP="00BA5F13">
      <w:pPr>
        <w:pStyle w:val="ListParagraph"/>
        <w:numPr>
          <w:ilvl w:val="0"/>
          <w:numId w:val="20"/>
        </w:numPr>
        <w:spacing w:after="121"/>
        <w:ind w:right="105"/>
      </w:pPr>
      <w:r>
        <w:t xml:space="preserve">The level of funding available in the future to deliver national and local priorities.  </w:t>
      </w:r>
    </w:p>
    <w:p w14:paraId="5DD24B0B" w14:textId="77777777" w:rsidR="00D83842" w:rsidRDefault="00000000" w:rsidP="00BA5F13">
      <w:pPr>
        <w:pStyle w:val="ListParagraph"/>
        <w:numPr>
          <w:ilvl w:val="0"/>
          <w:numId w:val="20"/>
        </w:numPr>
        <w:ind w:right="105"/>
      </w:pPr>
      <w:r>
        <w:t xml:space="preserve">The future demands upon the revenue budget.  </w:t>
      </w:r>
    </w:p>
    <w:p w14:paraId="6795DEC1" w14:textId="77777777" w:rsidR="00D83842" w:rsidRDefault="00000000" w:rsidP="00BA5F13">
      <w:pPr>
        <w:pStyle w:val="ListParagraph"/>
        <w:numPr>
          <w:ilvl w:val="0"/>
          <w:numId w:val="20"/>
        </w:numPr>
        <w:ind w:right="105"/>
      </w:pPr>
      <w:r>
        <w:t xml:space="preserve">The impact of external factors.  </w:t>
      </w:r>
    </w:p>
    <w:p w14:paraId="7B8F7251" w14:textId="77777777" w:rsidR="00D83842" w:rsidRDefault="00000000" w:rsidP="00BA5F13">
      <w:pPr>
        <w:pStyle w:val="ListParagraph"/>
        <w:numPr>
          <w:ilvl w:val="0"/>
          <w:numId w:val="20"/>
        </w:numPr>
        <w:ind w:right="105"/>
      </w:pPr>
      <w:r>
        <w:t xml:space="preserve">The financial implications of collaborations, partnerships etc.  </w:t>
      </w:r>
    </w:p>
    <w:p w14:paraId="49219652" w14:textId="77777777" w:rsidR="00D83842" w:rsidRDefault="00000000" w:rsidP="00BA5F13">
      <w:pPr>
        <w:pStyle w:val="ListParagraph"/>
        <w:numPr>
          <w:ilvl w:val="0"/>
          <w:numId w:val="20"/>
        </w:numPr>
        <w:spacing w:after="137"/>
        <w:ind w:right="105"/>
      </w:pPr>
      <w:r>
        <w:t xml:space="preserve">The amount of capital investment which is required to achieve corporate objectives.  </w:t>
      </w:r>
    </w:p>
    <w:p w14:paraId="28909C3C" w14:textId="77777777" w:rsidR="00D83842" w:rsidRDefault="00000000" w:rsidP="00BA5F13">
      <w:pPr>
        <w:pStyle w:val="ListParagraph"/>
        <w:numPr>
          <w:ilvl w:val="0"/>
          <w:numId w:val="20"/>
        </w:numPr>
        <w:ind w:right="105"/>
      </w:pPr>
      <w:r>
        <w:t xml:space="preserve">The revenue consequences of such capital investment.  </w:t>
      </w:r>
    </w:p>
    <w:p w14:paraId="4EC67879" w14:textId="77777777" w:rsidR="00D83842" w:rsidRDefault="00000000" w:rsidP="00BA5F13">
      <w:pPr>
        <w:pStyle w:val="ListParagraph"/>
        <w:numPr>
          <w:ilvl w:val="0"/>
          <w:numId w:val="20"/>
        </w:numPr>
        <w:ind w:right="105"/>
      </w:pPr>
      <w:r>
        <w:t xml:space="preserve">The future reserve levels.  </w:t>
      </w:r>
    </w:p>
    <w:p w14:paraId="2F088928" w14:textId="77777777" w:rsidR="00D83842" w:rsidRDefault="00000000" w:rsidP="00BA5F13">
      <w:pPr>
        <w:pStyle w:val="ListParagraph"/>
        <w:numPr>
          <w:ilvl w:val="0"/>
          <w:numId w:val="20"/>
        </w:numPr>
        <w:spacing w:after="123"/>
        <w:ind w:right="105"/>
      </w:pPr>
      <w:r>
        <w:t xml:space="preserve">The impact of additional demands on the level of council tax that is required.  </w:t>
      </w:r>
    </w:p>
    <w:p w14:paraId="75829D24" w14:textId="77777777" w:rsidR="00D83842" w:rsidRDefault="00000000" w:rsidP="00BA5F13">
      <w:pPr>
        <w:pStyle w:val="ListParagraph"/>
        <w:numPr>
          <w:ilvl w:val="0"/>
          <w:numId w:val="20"/>
        </w:numPr>
        <w:ind w:right="105"/>
      </w:pPr>
      <w:r>
        <w:t xml:space="preserve">The potential impact of the main financial risks facing the organisation.  </w:t>
      </w:r>
    </w:p>
    <w:p w14:paraId="2ED37793" w14:textId="77777777" w:rsidR="00D83842" w:rsidRDefault="00000000" w:rsidP="00BA5F13">
      <w:pPr>
        <w:spacing w:after="257"/>
        <w:ind w:left="0" w:right="148" w:firstLine="0"/>
      </w:pPr>
      <w:r>
        <w:t xml:space="preserve">The above helps to establish the anticipated level of funding and demands on finances over the MTFS period enabling strategic financial planning processes to address the challenges and outcomes. The following sets out the key principles for that planning process:  </w:t>
      </w:r>
    </w:p>
    <w:p w14:paraId="019F01DF" w14:textId="77777777" w:rsidR="00D83842" w:rsidRDefault="00000000" w:rsidP="00BA5F13">
      <w:pPr>
        <w:pStyle w:val="ListParagraph"/>
        <w:numPr>
          <w:ilvl w:val="0"/>
          <w:numId w:val="21"/>
        </w:numPr>
        <w:spacing w:after="122"/>
        <w:ind w:right="105"/>
      </w:pPr>
      <w:r>
        <w:t xml:space="preserve">Ensure that plans contribute to improved outcomes in support of set priorities within the Community Risk Management Plan (CRMP). </w:t>
      </w:r>
    </w:p>
    <w:p w14:paraId="4C1775B8" w14:textId="77777777" w:rsidR="00D83842" w:rsidRDefault="00000000" w:rsidP="00BA5F13">
      <w:pPr>
        <w:pStyle w:val="ListParagraph"/>
        <w:numPr>
          <w:ilvl w:val="0"/>
          <w:numId w:val="21"/>
        </w:numPr>
        <w:ind w:right="105"/>
      </w:pPr>
      <w:r>
        <w:t xml:space="preserve">Set a comprehensive, timely, balanced, and realistic budget. </w:t>
      </w:r>
    </w:p>
    <w:p w14:paraId="3B0BE60B" w14:textId="77777777" w:rsidR="00D83842" w:rsidRDefault="00000000" w:rsidP="00BA5F13">
      <w:pPr>
        <w:pStyle w:val="ListParagraph"/>
        <w:numPr>
          <w:ilvl w:val="0"/>
          <w:numId w:val="21"/>
        </w:numPr>
        <w:ind w:right="105"/>
      </w:pPr>
      <w:proofErr w:type="gramStart"/>
      <w:r>
        <w:t>Take into account</w:t>
      </w:r>
      <w:proofErr w:type="gramEnd"/>
      <w:r>
        <w:t xml:space="preserve"> pay and price inflation and achievability of savings. </w:t>
      </w:r>
    </w:p>
    <w:p w14:paraId="5284FCE7" w14:textId="77777777" w:rsidR="00D83842" w:rsidRDefault="00000000" w:rsidP="00BA5F13">
      <w:pPr>
        <w:pStyle w:val="ListParagraph"/>
        <w:numPr>
          <w:ilvl w:val="0"/>
          <w:numId w:val="21"/>
        </w:numPr>
        <w:ind w:right="105"/>
      </w:pPr>
      <w:r>
        <w:t xml:space="preserve">Ensure compliance with the approved capital strategy. </w:t>
      </w:r>
    </w:p>
    <w:p w14:paraId="52E6F9A4" w14:textId="77777777" w:rsidR="00D83842" w:rsidRDefault="00000000" w:rsidP="00BA5F13">
      <w:pPr>
        <w:pStyle w:val="ListParagraph"/>
        <w:numPr>
          <w:ilvl w:val="0"/>
          <w:numId w:val="21"/>
        </w:numPr>
        <w:ind w:right="105"/>
      </w:pPr>
      <w:r>
        <w:t xml:space="preserve">Ensure compliance with the approved reserves strategy. </w:t>
      </w:r>
    </w:p>
    <w:p w14:paraId="0203EC9D" w14:textId="77777777" w:rsidR="00D83842" w:rsidRDefault="00000000" w:rsidP="00BA5F13">
      <w:pPr>
        <w:pStyle w:val="ListParagraph"/>
        <w:numPr>
          <w:ilvl w:val="0"/>
          <w:numId w:val="21"/>
        </w:numPr>
        <w:ind w:right="105"/>
      </w:pPr>
      <w:r>
        <w:t xml:space="preserve">Ensure compliance with the approved treasury management strategy. </w:t>
      </w:r>
    </w:p>
    <w:p w14:paraId="6B98E2F4" w14:textId="77777777" w:rsidR="00D83842" w:rsidRDefault="00000000" w:rsidP="00BA5F13">
      <w:pPr>
        <w:pStyle w:val="ListParagraph"/>
        <w:numPr>
          <w:ilvl w:val="0"/>
          <w:numId w:val="21"/>
        </w:numPr>
        <w:ind w:right="105"/>
      </w:pPr>
      <w:r>
        <w:lastRenderedPageBreak/>
        <w:t xml:space="preserve">Raise awareness of and communicate key financial messages both internally and externally. </w:t>
      </w:r>
    </w:p>
    <w:p w14:paraId="63479304" w14:textId="77777777" w:rsidR="00D83842" w:rsidRDefault="00000000" w:rsidP="00BA5F13">
      <w:pPr>
        <w:pStyle w:val="ListParagraph"/>
        <w:numPr>
          <w:ilvl w:val="0"/>
          <w:numId w:val="21"/>
        </w:numPr>
        <w:spacing w:after="138"/>
        <w:ind w:right="105"/>
      </w:pPr>
      <w:r>
        <w:t xml:space="preserve">Ensure budgets set are affordable and do not jeopardise financial stability either in the short or long term. </w:t>
      </w:r>
    </w:p>
    <w:p w14:paraId="4BDFF245" w14:textId="77777777" w:rsidR="00D83842" w:rsidRDefault="00000000" w:rsidP="00BA5F13">
      <w:pPr>
        <w:pStyle w:val="ListParagraph"/>
        <w:numPr>
          <w:ilvl w:val="0"/>
          <w:numId w:val="21"/>
        </w:numPr>
        <w:ind w:right="105"/>
      </w:pPr>
      <w:r>
        <w:t xml:space="preserve">Demonstrate that all spending plans achieve value for money. </w:t>
      </w:r>
    </w:p>
    <w:p w14:paraId="695E1788" w14:textId="77777777" w:rsidR="00D83842" w:rsidRDefault="00000000" w:rsidP="00BA5F13">
      <w:pPr>
        <w:pStyle w:val="ListParagraph"/>
        <w:numPr>
          <w:ilvl w:val="0"/>
          <w:numId w:val="21"/>
        </w:numPr>
        <w:spacing w:after="121"/>
        <w:ind w:right="105"/>
      </w:pPr>
      <w:r>
        <w:t xml:space="preserve">Agree spending only when the necessary funding is identified and approved. </w:t>
      </w:r>
    </w:p>
    <w:p w14:paraId="59B9ADC6" w14:textId="77777777" w:rsidR="00D83842" w:rsidRDefault="00000000" w:rsidP="00BA5F13">
      <w:pPr>
        <w:pStyle w:val="ListParagraph"/>
        <w:numPr>
          <w:ilvl w:val="0"/>
          <w:numId w:val="21"/>
        </w:numPr>
        <w:spacing w:after="120"/>
        <w:ind w:right="105"/>
      </w:pPr>
      <w:r>
        <w:t xml:space="preserve">Seek external funding wherever it can be used in a sustainable manner that does not lead to unforeseen costs. </w:t>
      </w:r>
    </w:p>
    <w:p w14:paraId="434C57F3" w14:textId="77777777" w:rsidR="00D83842" w:rsidRDefault="00000000" w:rsidP="00BA5F13">
      <w:pPr>
        <w:pStyle w:val="ListParagraph"/>
        <w:numPr>
          <w:ilvl w:val="0"/>
          <w:numId w:val="21"/>
        </w:numPr>
        <w:spacing w:after="210"/>
        <w:ind w:right="105"/>
      </w:pPr>
      <w:r>
        <w:t xml:space="preserve">Publicise significant budget proposals and where appropriate consult with key stakeholders. </w:t>
      </w:r>
    </w:p>
    <w:p w14:paraId="62D6E901" w14:textId="77777777" w:rsidR="00D83842" w:rsidRDefault="00000000" w:rsidP="00BA5F13">
      <w:pPr>
        <w:pStyle w:val="Heading1"/>
        <w:ind w:left="0" w:firstLine="0"/>
      </w:pPr>
      <w:r>
        <w:t xml:space="preserve">Financial Scenario </w:t>
      </w:r>
    </w:p>
    <w:p w14:paraId="69B5C27F" w14:textId="77777777" w:rsidR="00D83842" w:rsidRDefault="00000000" w:rsidP="00BA5F13">
      <w:pPr>
        <w:spacing w:after="242"/>
        <w:ind w:left="0" w:right="205" w:firstLine="0"/>
      </w:pPr>
      <w:r>
        <w:t xml:space="preserve">It is imperative that the MTFS takes account of the local, regional, national, and global economies. This provides a basis for the estimates and assumptions used.  </w:t>
      </w:r>
    </w:p>
    <w:p w14:paraId="7CF37AFE" w14:textId="77777777" w:rsidR="00D83842" w:rsidRDefault="00000000" w:rsidP="00BA5F13">
      <w:pPr>
        <w:spacing w:after="242"/>
        <w:ind w:left="0" w:right="205" w:firstLine="0"/>
      </w:pPr>
      <w:r>
        <w:t xml:space="preserve">The Authority receives its main funding from three sources – Government grants, business rates and local council tax (known as a precept). Council Tax and Business Rates represents 85% of our funding.  </w:t>
      </w:r>
    </w:p>
    <w:p w14:paraId="23C261F4" w14:textId="77777777" w:rsidR="00D83842" w:rsidRDefault="00000000" w:rsidP="00BA5F13">
      <w:pPr>
        <w:spacing w:after="258"/>
        <w:ind w:left="0" w:right="205" w:firstLine="0"/>
      </w:pPr>
      <w:r>
        <w:t xml:space="preserve">On 5 February 2024, the Secretary of State for the Department for Levelling Up, Housing and Communities (DLUHC), released the final local government finance settlement 2024/25. It is for one year only and based on the Spending Review 2021 (SR21) funding levels, updated for the 2023 Autumn Statement announcements. The main headlines for the 2024/25 budget are: </w:t>
      </w:r>
    </w:p>
    <w:p w14:paraId="733494E5" w14:textId="77777777" w:rsidR="00D83842" w:rsidRDefault="00000000" w:rsidP="00BA5F13">
      <w:pPr>
        <w:spacing w:after="122"/>
        <w:ind w:left="0" w:right="105" w:firstLine="0"/>
      </w:pPr>
      <w:r>
        <w:t xml:space="preserve">The council tax referendum limit will be 2.99%. The fire sector had lobbied for a £5 increase (equivalent to 6.1% for the Authority) that is consistent with 2023/24 and reflects current inflationary and demand pressures. </w:t>
      </w:r>
    </w:p>
    <w:p w14:paraId="43410B6E" w14:textId="77777777" w:rsidR="00D83842" w:rsidRDefault="00000000" w:rsidP="00BA5F13">
      <w:pPr>
        <w:spacing w:after="137"/>
        <w:ind w:left="0" w:right="105" w:firstLine="0"/>
      </w:pPr>
      <w:r>
        <w:t xml:space="preserve">The Fire Services Pension Grant of £3.3m has been included in the Revenue Support Grant (RSG) from 2024/25, it was previously included in the service net budget. This has no overall impact, but it increases our net budget and sources of funding income by £3.3m. </w:t>
      </w:r>
    </w:p>
    <w:p w14:paraId="316046B7" w14:textId="77777777" w:rsidR="00D83842" w:rsidRDefault="00000000" w:rsidP="00BA5F13">
      <w:pPr>
        <w:spacing w:after="138"/>
        <w:ind w:left="0" w:right="105" w:firstLine="0"/>
      </w:pPr>
      <w:r>
        <w:t xml:space="preserve">The September CPI figure of 6.7% has been applied to increase business rates grant funding (£12.1m) and the Revenue Support Grant (£13.5m). </w:t>
      </w:r>
    </w:p>
    <w:p w14:paraId="5585A675" w14:textId="77777777" w:rsidR="00D83842" w:rsidRDefault="00000000" w:rsidP="00BA5F13">
      <w:pPr>
        <w:ind w:left="0" w:right="105" w:firstLine="0"/>
      </w:pPr>
      <w:r>
        <w:t xml:space="preserve">The Services Grant reduced from £0.6m in 2023/24 to £0.1m in 2024/25. </w:t>
      </w:r>
    </w:p>
    <w:p w14:paraId="034FB764" w14:textId="77777777" w:rsidR="00D83842" w:rsidRDefault="00000000" w:rsidP="00BA5F13">
      <w:pPr>
        <w:spacing w:after="106"/>
        <w:ind w:left="0" w:right="105" w:firstLine="0"/>
      </w:pPr>
      <w:r>
        <w:t xml:space="preserve">One year Funding Guarantee Grant received of £0.9m. We did not receive this in 2023/24 but it ensures each authority’s funding overall increases by at least 4%. </w:t>
      </w:r>
    </w:p>
    <w:p w14:paraId="243B257C" w14:textId="77777777" w:rsidR="00D83842" w:rsidRDefault="00000000" w:rsidP="00BA5F13">
      <w:pPr>
        <w:ind w:left="0" w:right="205" w:firstLine="0"/>
      </w:pPr>
      <w:r>
        <w:lastRenderedPageBreak/>
        <w:t xml:space="preserve">A precept is levied on the council tax to partly fund the authority and it is the responsibility of the Authority to set the level of precept as part of the annual budget setting process. To calculate the level of council tax funding, each local authority calculates the taxbase (the assimilated number of council tax bills issued) </w:t>
      </w:r>
      <w:proofErr w:type="gramStart"/>
      <w:r>
        <w:t>taking into account</w:t>
      </w:r>
      <w:proofErr w:type="gramEnd"/>
      <w:r>
        <w:t xml:space="preserve"> changes in the number of houses, council tax benefits etc. These vary each year and the MTFS includes assumptions for these changes based on discussions with and forecasts supplied by the local collection authorities.  </w:t>
      </w:r>
    </w:p>
    <w:p w14:paraId="0C19DBB2" w14:textId="77777777" w:rsidR="00D83842" w:rsidRDefault="00000000" w:rsidP="00BA5F13">
      <w:pPr>
        <w:spacing w:after="226"/>
        <w:ind w:left="0" w:right="205" w:firstLine="0"/>
      </w:pPr>
      <w:r>
        <w:t xml:space="preserve">It is now standard for the Government to set a limit on the amount by which a local authority can increase its council tax each year, with any increase above this limit requiring a referendum. The Provisional Local Government Finance Settlement confirmed that for 2024/25 this is 2.99% at Band D for one year only.  </w:t>
      </w:r>
    </w:p>
    <w:p w14:paraId="570DF761" w14:textId="77777777" w:rsidR="00D83842" w:rsidRDefault="00000000" w:rsidP="00BA5F13">
      <w:pPr>
        <w:spacing w:after="243" w:line="243" w:lineRule="auto"/>
        <w:ind w:left="0" w:right="205" w:firstLine="0"/>
      </w:pPr>
      <w:r>
        <w:t xml:space="preserve">Each year the council tax income is calculated based on assumed levels of collection rates by the local authorities. This means that at the end of each year, an adjustment </w:t>
      </w:r>
      <w:proofErr w:type="gramStart"/>
      <w:r>
        <w:t>has to</w:t>
      </w:r>
      <w:proofErr w:type="gramEnd"/>
      <w:r>
        <w:t xml:space="preserve"> be made to reflect the actual collection rate. If more has been collected, the fund will be in surplus; if less has been collected, the fund will be in deficit. The Authority will either receive its share of any surplus or be required to pay its share of any deficit and this is </w:t>
      </w:r>
      <w:proofErr w:type="gramStart"/>
      <w:r>
        <w:t>taken into account</w:t>
      </w:r>
      <w:proofErr w:type="gramEnd"/>
      <w:r>
        <w:t xml:space="preserve"> as part of the overall budget setting process. </w:t>
      </w:r>
    </w:p>
    <w:p w14:paraId="4DD83B86" w14:textId="77777777" w:rsidR="00D83842" w:rsidRDefault="00000000" w:rsidP="00BA5F13">
      <w:pPr>
        <w:spacing w:after="215" w:line="243" w:lineRule="auto"/>
        <w:ind w:left="0" w:right="205" w:firstLine="0"/>
      </w:pPr>
      <w:r>
        <w:t xml:space="preserve">The same process applies to the collection of local business rates in which the Authority has a 1% stake. The details of these are published by the end of the January prior to setting the budget. </w:t>
      </w:r>
    </w:p>
    <w:p w14:paraId="7B70641C" w14:textId="77777777" w:rsidR="00D83842" w:rsidRDefault="00000000" w:rsidP="00BA5F13">
      <w:pPr>
        <w:pStyle w:val="Heading1"/>
        <w:ind w:left="0" w:firstLine="0"/>
      </w:pPr>
      <w:r>
        <w:t xml:space="preserve">MTFS Key Financial Assumptions </w:t>
      </w:r>
    </w:p>
    <w:p w14:paraId="21BD7D9C" w14:textId="77777777" w:rsidR="00D83842" w:rsidRDefault="00000000" w:rsidP="00BA5F13">
      <w:pPr>
        <w:spacing w:after="11"/>
        <w:ind w:left="0" w:right="105" w:firstLine="0"/>
      </w:pPr>
      <w:r>
        <w:t xml:space="preserve">Some of the key financial assumptions and estimates in the five-year MTFS are set out below: </w:t>
      </w:r>
    </w:p>
    <w:tbl>
      <w:tblPr>
        <w:tblStyle w:val="TableGrid"/>
        <w:tblW w:w="8591" w:type="dxa"/>
        <w:tblInd w:w="0" w:type="dxa"/>
        <w:tblCellMar>
          <w:top w:w="0" w:type="dxa"/>
          <w:left w:w="97" w:type="dxa"/>
          <w:bottom w:w="0" w:type="dxa"/>
          <w:right w:w="31" w:type="dxa"/>
        </w:tblCellMar>
        <w:tblLook w:val="04A0" w:firstRow="1" w:lastRow="0" w:firstColumn="1" w:lastColumn="0" w:noHBand="0" w:noVBand="1"/>
      </w:tblPr>
      <w:tblGrid>
        <w:gridCol w:w="4191"/>
        <w:gridCol w:w="886"/>
        <w:gridCol w:w="871"/>
        <w:gridCol w:w="886"/>
        <w:gridCol w:w="871"/>
        <w:gridCol w:w="886"/>
      </w:tblGrid>
      <w:tr w:rsidR="00D83842" w14:paraId="419A5A17" w14:textId="77777777" w:rsidTr="00BA5F13">
        <w:trPr>
          <w:trHeight w:val="570"/>
        </w:trPr>
        <w:tc>
          <w:tcPr>
            <w:tcW w:w="4191" w:type="dxa"/>
            <w:tcBorders>
              <w:top w:val="nil"/>
              <w:left w:val="nil"/>
              <w:bottom w:val="single" w:sz="6" w:space="0" w:color="000000"/>
              <w:right w:val="single" w:sz="6" w:space="0" w:color="000000"/>
            </w:tcBorders>
            <w:vAlign w:val="center"/>
          </w:tcPr>
          <w:p w14:paraId="7D8891D3" w14:textId="77777777" w:rsidR="00D83842" w:rsidRDefault="00000000" w:rsidP="00BA5F13">
            <w:pPr>
              <w:spacing w:after="0" w:line="259" w:lineRule="auto"/>
              <w:ind w:left="0" w:right="0" w:firstLine="0"/>
              <w:jc w:val="left"/>
            </w:pPr>
            <w:r w:rsidRPr="00BA5F13">
              <w:rPr>
                <w:b/>
              </w:rPr>
              <w:t xml:space="preserve">Key Assumptions </w:t>
            </w:r>
          </w:p>
        </w:tc>
        <w:tc>
          <w:tcPr>
            <w:tcW w:w="886" w:type="dxa"/>
            <w:tcBorders>
              <w:top w:val="single" w:sz="6" w:space="0" w:color="000000"/>
              <w:left w:val="single" w:sz="6" w:space="0" w:color="000000"/>
              <w:bottom w:val="single" w:sz="6" w:space="0" w:color="000000"/>
              <w:right w:val="single" w:sz="6" w:space="0" w:color="000000"/>
            </w:tcBorders>
          </w:tcPr>
          <w:p w14:paraId="7B4F48C8" w14:textId="77777777" w:rsidR="00D83842" w:rsidRDefault="00000000" w:rsidP="00BA5F13">
            <w:pPr>
              <w:spacing w:after="0" w:line="259" w:lineRule="auto"/>
              <w:ind w:left="0" w:right="0" w:firstLine="0"/>
              <w:jc w:val="left"/>
            </w:pPr>
            <w:r w:rsidRPr="00BA5F13">
              <w:rPr>
                <w:b/>
              </w:rPr>
              <w:t xml:space="preserve">24/25 </w:t>
            </w:r>
          </w:p>
          <w:p w14:paraId="2BA807AF" w14:textId="307EF596" w:rsidR="00D83842" w:rsidRDefault="00D83842" w:rsidP="00BA5F13">
            <w:pPr>
              <w:spacing w:after="0" w:line="259" w:lineRule="auto"/>
              <w:ind w:left="0" w:right="0" w:firstLine="0"/>
              <w:jc w:val="center"/>
            </w:pPr>
          </w:p>
        </w:tc>
        <w:tc>
          <w:tcPr>
            <w:tcW w:w="871" w:type="dxa"/>
            <w:tcBorders>
              <w:top w:val="single" w:sz="6" w:space="0" w:color="000000"/>
              <w:left w:val="single" w:sz="6" w:space="0" w:color="000000"/>
              <w:bottom w:val="single" w:sz="6" w:space="0" w:color="000000"/>
              <w:right w:val="single" w:sz="6" w:space="0" w:color="000000"/>
            </w:tcBorders>
          </w:tcPr>
          <w:p w14:paraId="683B951F" w14:textId="77777777" w:rsidR="00D83842" w:rsidRDefault="00000000" w:rsidP="00BA5F13">
            <w:pPr>
              <w:spacing w:after="0" w:line="259" w:lineRule="auto"/>
              <w:ind w:left="0" w:right="0" w:firstLine="0"/>
              <w:jc w:val="left"/>
            </w:pPr>
            <w:r w:rsidRPr="00BA5F13">
              <w:rPr>
                <w:b/>
              </w:rPr>
              <w:t xml:space="preserve">25/26 </w:t>
            </w:r>
          </w:p>
          <w:p w14:paraId="50D4AA37" w14:textId="1BD9323D" w:rsidR="00D83842" w:rsidRDefault="00D83842" w:rsidP="00BA5F13">
            <w:pPr>
              <w:spacing w:after="0" w:line="259" w:lineRule="auto"/>
              <w:ind w:left="0" w:right="0" w:firstLine="0"/>
              <w:jc w:val="center"/>
            </w:pPr>
          </w:p>
        </w:tc>
        <w:tc>
          <w:tcPr>
            <w:tcW w:w="886" w:type="dxa"/>
            <w:tcBorders>
              <w:top w:val="single" w:sz="6" w:space="0" w:color="000000"/>
              <w:left w:val="single" w:sz="6" w:space="0" w:color="000000"/>
              <w:bottom w:val="single" w:sz="6" w:space="0" w:color="000000"/>
              <w:right w:val="single" w:sz="6" w:space="0" w:color="000000"/>
            </w:tcBorders>
          </w:tcPr>
          <w:p w14:paraId="0992E5A9" w14:textId="77777777" w:rsidR="00D83842" w:rsidRDefault="00000000" w:rsidP="00BA5F13">
            <w:pPr>
              <w:spacing w:after="0" w:line="259" w:lineRule="auto"/>
              <w:ind w:left="0" w:right="0" w:firstLine="0"/>
              <w:jc w:val="left"/>
            </w:pPr>
            <w:r w:rsidRPr="00BA5F13">
              <w:rPr>
                <w:b/>
              </w:rPr>
              <w:t xml:space="preserve">26/27 </w:t>
            </w:r>
          </w:p>
          <w:p w14:paraId="63814A87" w14:textId="39574156" w:rsidR="00D83842" w:rsidRDefault="00D83842" w:rsidP="00BA5F13">
            <w:pPr>
              <w:spacing w:after="0" w:line="259" w:lineRule="auto"/>
              <w:ind w:left="0" w:right="0" w:firstLine="0"/>
              <w:jc w:val="center"/>
            </w:pPr>
          </w:p>
        </w:tc>
        <w:tc>
          <w:tcPr>
            <w:tcW w:w="871" w:type="dxa"/>
            <w:tcBorders>
              <w:top w:val="single" w:sz="6" w:space="0" w:color="000000"/>
              <w:left w:val="single" w:sz="6" w:space="0" w:color="000000"/>
              <w:bottom w:val="single" w:sz="6" w:space="0" w:color="000000"/>
              <w:right w:val="single" w:sz="6" w:space="0" w:color="000000"/>
            </w:tcBorders>
          </w:tcPr>
          <w:p w14:paraId="7214F77B" w14:textId="77777777" w:rsidR="00D83842" w:rsidRDefault="00000000" w:rsidP="00BA5F13">
            <w:pPr>
              <w:spacing w:after="0" w:line="259" w:lineRule="auto"/>
              <w:ind w:left="0" w:right="0" w:firstLine="0"/>
              <w:jc w:val="left"/>
            </w:pPr>
            <w:r w:rsidRPr="00BA5F13">
              <w:rPr>
                <w:b/>
              </w:rPr>
              <w:t xml:space="preserve">27/28 </w:t>
            </w:r>
          </w:p>
          <w:p w14:paraId="29670CBE" w14:textId="3BD7F0DC" w:rsidR="00D83842" w:rsidRDefault="00D83842" w:rsidP="00BA5F13">
            <w:pPr>
              <w:spacing w:after="0" w:line="259" w:lineRule="auto"/>
              <w:ind w:left="0" w:right="0" w:firstLine="0"/>
              <w:jc w:val="center"/>
            </w:pPr>
          </w:p>
        </w:tc>
        <w:tc>
          <w:tcPr>
            <w:tcW w:w="886" w:type="dxa"/>
            <w:tcBorders>
              <w:top w:val="single" w:sz="6" w:space="0" w:color="000000"/>
              <w:left w:val="single" w:sz="6" w:space="0" w:color="000000"/>
              <w:bottom w:val="single" w:sz="6" w:space="0" w:color="000000"/>
              <w:right w:val="single" w:sz="6" w:space="0" w:color="000000"/>
            </w:tcBorders>
          </w:tcPr>
          <w:p w14:paraId="71608D97" w14:textId="77777777" w:rsidR="00D83842" w:rsidRDefault="00000000" w:rsidP="00BA5F13">
            <w:pPr>
              <w:spacing w:after="0" w:line="259" w:lineRule="auto"/>
              <w:ind w:left="0" w:right="0" w:firstLine="0"/>
              <w:jc w:val="left"/>
            </w:pPr>
            <w:r w:rsidRPr="00BA5F13">
              <w:rPr>
                <w:b/>
              </w:rPr>
              <w:t xml:space="preserve">28/29 </w:t>
            </w:r>
          </w:p>
          <w:p w14:paraId="2024DF61" w14:textId="595860F1" w:rsidR="00D83842" w:rsidRDefault="00D83842" w:rsidP="00BA5F13">
            <w:pPr>
              <w:spacing w:after="0" w:line="259" w:lineRule="auto"/>
              <w:ind w:left="0" w:right="0" w:firstLine="0"/>
              <w:jc w:val="center"/>
            </w:pPr>
          </w:p>
        </w:tc>
      </w:tr>
      <w:tr w:rsidR="00D83842" w14:paraId="354EA55A" w14:textId="77777777" w:rsidTr="00BA5F13">
        <w:trPr>
          <w:trHeight w:val="285"/>
        </w:trPr>
        <w:tc>
          <w:tcPr>
            <w:tcW w:w="4191" w:type="dxa"/>
            <w:tcBorders>
              <w:top w:val="single" w:sz="6" w:space="0" w:color="000000"/>
              <w:left w:val="single" w:sz="6" w:space="0" w:color="000000"/>
              <w:bottom w:val="single" w:sz="6" w:space="0" w:color="000000"/>
              <w:right w:val="single" w:sz="6" w:space="0" w:color="000000"/>
            </w:tcBorders>
          </w:tcPr>
          <w:p w14:paraId="597EF3A1" w14:textId="77777777" w:rsidR="00D83842" w:rsidRDefault="00000000" w:rsidP="00BA5F13">
            <w:pPr>
              <w:spacing w:after="0" w:line="259" w:lineRule="auto"/>
              <w:ind w:left="0" w:right="0" w:firstLine="0"/>
              <w:jc w:val="left"/>
            </w:pPr>
            <w:r>
              <w:t xml:space="preserve">Uniform Pay Award (Apr - Jun) </w:t>
            </w:r>
          </w:p>
        </w:tc>
        <w:tc>
          <w:tcPr>
            <w:tcW w:w="886" w:type="dxa"/>
            <w:tcBorders>
              <w:top w:val="single" w:sz="6" w:space="0" w:color="000000"/>
              <w:left w:val="single" w:sz="6" w:space="0" w:color="000000"/>
              <w:bottom w:val="single" w:sz="6" w:space="0" w:color="000000"/>
              <w:right w:val="single" w:sz="6" w:space="0" w:color="000000"/>
            </w:tcBorders>
          </w:tcPr>
          <w:p w14:paraId="76554811" w14:textId="77777777" w:rsidR="00D83842" w:rsidRDefault="00000000" w:rsidP="00BA5F13">
            <w:pPr>
              <w:spacing w:after="0" w:line="259" w:lineRule="auto"/>
              <w:ind w:left="0" w:right="0" w:firstLine="0"/>
              <w:jc w:val="left"/>
            </w:pPr>
            <w:r>
              <w:t xml:space="preserve">5% </w:t>
            </w:r>
          </w:p>
        </w:tc>
        <w:tc>
          <w:tcPr>
            <w:tcW w:w="871" w:type="dxa"/>
            <w:tcBorders>
              <w:top w:val="single" w:sz="6" w:space="0" w:color="000000"/>
              <w:left w:val="single" w:sz="6" w:space="0" w:color="000000"/>
              <w:bottom w:val="single" w:sz="6" w:space="0" w:color="000000"/>
              <w:right w:val="single" w:sz="6" w:space="0" w:color="000000"/>
            </w:tcBorders>
          </w:tcPr>
          <w:p w14:paraId="40BAB98C" w14:textId="77777777" w:rsidR="00D83842" w:rsidRDefault="00000000" w:rsidP="00BA5F13">
            <w:pPr>
              <w:spacing w:after="0" w:line="259" w:lineRule="auto"/>
              <w:ind w:left="0" w:right="0" w:firstLine="0"/>
              <w:jc w:val="left"/>
            </w:pPr>
            <w:r>
              <w:t xml:space="preserve">3% </w:t>
            </w:r>
          </w:p>
        </w:tc>
        <w:tc>
          <w:tcPr>
            <w:tcW w:w="886" w:type="dxa"/>
            <w:tcBorders>
              <w:top w:val="single" w:sz="6" w:space="0" w:color="000000"/>
              <w:left w:val="single" w:sz="6" w:space="0" w:color="000000"/>
              <w:bottom w:val="single" w:sz="6" w:space="0" w:color="000000"/>
              <w:right w:val="single" w:sz="6" w:space="0" w:color="000000"/>
            </w:tcBorders>
          </w:tcPr>
          <w:p w14:paraId="566D15FC" w14:textId="77777777" w:rsidR="00D83842" w:rsidRDefault="00000000" w:rsidP="00BA5F13">
            <w:pPr>
              <w:spacing w:after="0" w:line="259" w:lineRule="auto"/>
              <w:ind w:left="0" w:right="49" w:firstLine="0"/>
              <w:jc w:val="center"/>
            </w:pPr>
            <w:r>
              <w:t xml:space="preserve">2% </w:t>
            </w:r>
          </w:p>
        </w:tc>
        <w:tc>
          <w:tcPr>
            <w:tcW w:w="871" w:type="dxa"/>
            <w:tcBorders>
              <w:top w:val="single" w:sz="6" w:space="0" w:color="000000"/>
              <w:left w:val="single" w:sz="6" w:space="0" w:color="000000"/>
              <w:bottom w:val="single" w:sz="6" w:space="0" w:color="000000"/>
              <w:right w:val="single" w:sz="6" w:space="0" w:color="000000"/>
            </w:tcBorders>
          </w:tcPr>
          <w:p w14:paraId="31F1547E" w14:textId="77777777" w:rsidR="00D83842" w:rsidRDefault="00000000" w:rsidP="00BA5F13">
            <w:pPr>
              <w:spacing w:after="0" w:line="259" w:lineRule="auto"/>
              <w:ind w:left="0" w:right="0" w:firstLine="0"/>
              <w:jc w:val="left"/>
            </w:pPr>
            <w:r>
              <w:t xml:space="preserve">2% </w:t>
            </w:r>
          </w:p>
        </w:tc>
        <w:tc>
          <w:tcPr>
            <w:tcW w:w="886" w:type="dxa"/>
            <w:tcBorders>
              <w:top w:val="single" w:sz="6" w:space="0" w:color="000000"/>
              <w:left w:val="single" w:sz="6" w:space="0" w:color="000000"/>
              <w:bottom w:val="single" w:sz="6" w:space="0" w:color="000000"/>
              <w:right w:val="single" w:sz="6" w:space="0" w:color="000000"/>
            </w:tcBorders>
          </w:tcPr>
          <w:p w14:paraId="1243277D" w14:textId="77777777" w:rsidR="00D83842" w:rsidRDefault="00000000" w:rsidP="00BA5F13">
            <w:pPr>
              <w:spacing w:after="0" w:line="259" w:lineRule="auto"/>
              <w:ind w:left="0" w:right="48" w:firstLine="0"/>
              <w:jc w:val="center"/>
            </w:pPr>
            <w:r>
              <w:t xml:space="preserve">2% </w:t>
            </w:r>
          </w:p>
        </w:tc>
      </w:tr>
      <w:tr w:rsidR="00D83842" w14:paraId="23BE336A" w14:textId="77777777" w:rsidTr="00BA5F13">
        <w:trPr>
          <w:trHeight w:val="285"/>
        </w:trPr>
        <w:tc>
          <w:tcPr>
            <w:tcW w:w="4191" w:type="dxa"/>
            <w:tcBorders>
              <w:top w:val="single" w:sz="6" w:space="0" w:color="000000"/>
              <w:left w:val="single" w:sz="6" w:space="0" w:color="000000"/>
              <w:bottom w:val="single" w:sz="6" w:space="0" w:color="000000"/>
              <w:right w:val="single" w:sz="6" w:space="0" w:color="000000"/>
            </w:tcBorders>
          </w:tcPr>
          <w:p w14:paraId="252A375A" w14:textId="77777777" w:rsidR="00D83842" w:rsidRDefault="00000000" w:rsidP="00BA5F13">
            <w:pPr>
              <w:spacing w:after="0" w:line="259" w:lineRule="auto"/>
              <w:ind w:left="0" w:right="0" w:firstLine="0"/>
              <w:jc w:val="left"/>
            </w:pPr>
            <w:r>
              <w:t xml:space="preserve">Uniform Pay Award (Jul - Mar) </w:t>
            </w:r>
          </w:p>
        </w:tc>
        <w:tc>
          <w:tcPr>
            <w:tcW w:w="886" w:type="dxa"/>
            <w:tcBorders>
              <w:top w:val="single" w:sz="6" w:space="0" w:color="000000"/>
              <w:left w:val="single" w:sz="6" w:space="0" w:color="000000"/>
              <w:bottom w:val="single" w:sz="6" w:space="0" w:color="000000"/>
              <w:right w:val="single" w:sz="6" w:space="0" w:color="000000"/>
            </w:tcBorders>
          </w:tcPr>
          <w:p w14:paraId="5F9A4060" w14:textId="77777777" w:rsidR="00D83842" w:rsidRDefault="00000000" w:rsidP="00BA5F13">
            <w:pPr>
              <w:spacing w:after="0" w:line="259" w:lineRule="auto"/>
              <w:ind w:left="0" w:right="0" w:firstLine="0"/>
              <w:jc w:val="left"/>
            </w:pPr>
            <w:r>
              <w:t xml:space="preserve">3% </w:t>
            </w:r>
          </w:p>
        </w:tc>
        <w:tc>
          <w:tcPr>
            <w:tcW w:w="871" w:type="dxa"/>
            <w:tcBorders>
              <w:top w:val="single" w:sz="6" w:space="0" w:color="000000"/>
              <w:left w:val="single" w:sz="6" w:space="0" w:color="000000"/>
              <w:bottom w:val="single" w:sz="6" w:space="0" w:color="000000"/>
              <w:right w:val="single" w:sz="6" w:space="0" w:color="000000"/>
            </w:tcBorders>
          </w:tcPr>
          <w:p w14:paraId="3BA4840F" w14:textId="77777777" w:rsidR="00D83842" w:rsidRDefault="00000000" w:rsidP="00BA5F13">
            <w:pPr>
              <w:spacing w:after="0" w:line="259" w:lineRule="auto"/>
              <w:ind w:left="0" w:right="0" w:firstLine="0"/>
              <w:jc w:val="left"/>
            </w:pPr>
            <w:r>
              <w:t xml:space="preserve">2% </w:t>
            </w:r>
          </w:p>
        </w:tc>
        <w:tc>
          <w:tcPr>
            <w:tcW w:w="886" w:type="dxa"/>
            <w:tcBorders>
              <w:top w:val="single" w:sz="6" w:space="0" w:color="000000"/>
              <w:left w:val="single" w:sz="6" w:space="0" w:color="000000"/>
              <w:bottom w:val="single" w:sz="6" w:space="0" w:color="000000"/>
              <w:right w:val="single" w:sz="6" w:space="0" w:color="000000"/>
            </w:tcBorders>
          </w:tcPr>
          <w:p w14:paraId="316AFD7B" w14:textId="77777777" w:rsidR="00D83842" w:rsidRDefault="00000000" w:rsidP="00BA5F13">
            <w:pPr>
              <w:spacing w:after="0" w:line="259" w:lineRule="auto"/>
              <w:ind w:left="0" w:right="49" w:firstLine="0"/>
              <w:jc w:val="center"/>
            </w:pPr>
            <w:r>
              <w:t xml:space="preserve">2% </w:t>
            </w:r>
          </w:p>
        </w:tc>
        <w:tc>
          <w:tcPr>
            <w:tcW w:w="871" w:type="dxa"/>
            <w:tcBorders>
              <w:top w:val="single" w:sz="6" w:space="0" w:color="000000"/>
              <w:left w:val="single" w:sz="6" w:space="0" w:color="000000"/>
              <w:bottom w:val="single" w:sz="6" w:space="0" w:color="000000"/>
              <w:right w:val="single" w:sz="6" w:space="0" w:color="000000"/>
            </w:tcBorders>
          </w:tcPr>
          <w:p w14:paraId="708B1CD7" w14:textId="77777777" w:rsidR="00D83842" w:rsidRDefault="00000000" w:rsidP="00BA5F13">
            <w:pPr>
              <w:spacing w:after="0" w:line="259" w:lineRule="auto"/>
              <w:ind w:left="0" w:right="0" w:firstLine="0"/>
              <w:jc w:val="left"/>
            </w:pPr>
            <w:r>
              <w:t xml:space="preserve">2% </w:t>
            </w:r>
          </w:p>
        </w:tc>
        <w:tc>
          <w:tcPr>
            <w:tcW w:w="886" w:type="dxa"/>
            <w:tcBorders>
              <w:top w:val="single" w:sz="6" w:space="0" w:color="000000"/>
              <w:left w:val="single" w:sz="6" w:space="0" w:color="000000"/>
              <w:bottom w:val="single" w:sz="6" w:space="0" w:color="000000"/>
              <w:right w:val="single" w:sz="6" w:space="0" w:color="000000"/>
            </w:tcBorders>
          </w:tcPr>
          <w:p w14:paraId="23DE570C" w14:textId="77777777" w:rsidR="00D83842" w:rsidRDefault="00000000" w:rsidP="00BA5F13">
            <w:pPr>
              <w:spacing w:after="0" w:line="259" w:lineRule="auto"/>
              <w:ind w:left="0" w:right="48" w:firstLine="0"/>
              <w:jc w:val="center"/>
            </w:pPr>
            <w:r>
              <w:t xml:space="preserve">2% </w:t>
            </w:r>
          </w:p>
        </w:tc>
      </w:tr>
      <w:tr w:rsidR="00D83842" w14:paraId="3E2C63A1" w14:textId="77777777" w:rsidTr="00BA5F13">
        <w:trPr>
          <w:trHeight w:val="286"/>
        </w:trPr>
        <w:tc>
          <w:tcPr>
            <w:tcW w:w="4191" w:type="dxa"/>
            <w:tcBorders>
              <w:top w:val="single" w:sz="6" w:space="0" w:color="000000"/>
              <w:left w:val="single" w:sz="6" w:space="0" w:color="000000"/>
              <w:bottom w:val="single" w:sz="6" w:space="0" w:color="000000"/>
              <w:right w:val="single" w:sz="6" w:space="0" w:color="000000"/>
            </w:tcBorders>
          </w:tcPr>
          <w:p w14:paraId="52C72AFF" w14:textId="77777777" w:rsidR="00D83842" w:rsidRDefault="00000000" w:rsidP="00BA5F13">
            <w:pPr>
              <w:spacing w:after="0" w:line="259" w:lineRule="auto"/>
              <w:ind w:left="0" w:right="0" w:firstLine="0"/>
              <w:jc w:val="left"/>
            </w:pPr>
            <w:r>
              <w:t xml:space="preserve">Non-uniform Pay Award </w:t>
            </w:r>
          </w:p>
        </w:tc>
        <w:tc>
          <w:tcPr>
            <w:tcW w:w="886" w:type="dxa"/>
            <w:tcBorders>
              <w:top w:val="single" w:sz="6" w:space="0" w:color="000000"/>
              <w:left w:val="single" w:sz="6" w:space="0" w:color="000000"/>
              <w:bottom w:val="single" w:sz="6" w:space="0" w:color="000000"/>
              <w:right w:val="single" w:sz="6" w:space="0" w:color="000000"/>
            </w:tcBorders>
          </w:tcPr>
          <w:p w14:paraId="3DC94909" w14:textId="77777777" w:rsidR="00D83842" w:rsidRDefault="00000000" w:rsidP="00BA5F13">
            <w:pPr>
              <w:spacing w:after="0" w:line="259" w:lineRule="auto"/>
              <w:ind w:left="0" w:right="0" w:firstLine="0"/>
              <w:jc w:val="left"/>
            </w:pPr>
            <w:r>
              <w:t xml:space="preserve">3% </w:t>
            </w:r>
          </w:p>
        </w:tc>
        <w:tc>
          <w:tcPr>
            <w:tcW w:w="871" w:type="dxa"/>
            <w:tcBorders>
              <w:top w:val="single" w:sz="6" w:space="0" w:color="000000"/>
              <w:left w:val="single" w:sz="6" w:space="0" w:color="000000"/>
              <w:bottom w:val="single" w:sz="6" w:space="0" w:color="000000"/>
              <w:right w:val="single" w:sz="6" w:space="0" w:color="000000"/>
            </w:tcBorders>
          </w:tcPr>
          <w:p w14:paraId="6E03B449" w14:textId="77777777" w:rsidR="00D83842" w:rsidRDefault="00000000" w:rsidP="00BA5F13">
            <w:pPr>
              <w:spacing w:after="0" w:line="259" w:lineRule="auto"/>
              <w:ind w:left="0" w:right="0" w:firstLine="0"/>
              <w:jc w:val="left"/>
            </w:pPr>
            <w:r>
              <w:t xml:space="preserve">2% </w:t>
            </w:r>
          </w:p>
        </w:tc>
        <w:tc>
          <w:tcPr>
            <w:tcW w:w="886" w:type="dxa"/>
            <w:tcBorders>
              <w:top w:val="single" w:sz="6" w:space="0" w:color="000000"/>
              <w:left w:val="single" w:sz="6" w:space="0" w:color="000000"/>
              <w:bottom w:val="single" w:sz="6" w:space="0" w:color="000000"/>
              <w:right w:val="single" w:sz="6" w:space="0" w:color="000000"/>
            </w:tcBorders>
          </w:tcPr>
          <w:p w14:paraId="1F284271" w14:textId="77777777" w:rsidR="00D83842" w:rsidRDefault="00000000" w:rsidP="00BA5F13">
            <w:pPr>
              <w:spacing w:after="0" w:line="259" w:lineRule="auto"/>
              <w:ind w:left="0" w:right="49" w:firstLine="0"/>
              <w:jc w:val="center"/>
            </w:pPr>
            <w:r>
              <w:t xml:space="preserve">2% </w:t>
            </w:r>
          </w:p>
        </w:tc>
        <w:tc>
          <w:tcPr>
            <w:tcW w:w="871" w:type="dxa"/>
            <w:tcBorders>
              <w:top w:val="single" w:sz="6" w:space="0" w:color="000000"/>
              <w:left w:val="single" w:sz="6" w:space="0" w:color="000000"/>
              <w:bottom w:val="single" w:sz="6" w:space="0" w:color="000000"/>
              <w:right w:val="single" w:sz="6" w:space="0" w:color="000000"/>
            </w:tcBorders>
          </w:tcPr>
          <w:p w14:paraId="6689AE82" w14:textId="77777777" w:rsidR="00D83842" w:rsidRDefault="00000000" w:rsidP="00BA5F13">
            <w:pPr>
              <w:spacing w:after="0" w:line="259" w:lineRule="auto"/>
              <w:ind w:left="0" w:right="0" w:firstLine="0"/>
              <w:jc w:val="left"/>
            </w:pPr>
            <w:r>
              <w:t xml:space="preserve">2% </w:t>
            </w:r>
          </w:p>
        </w:tc>
        <w:tc>
          <w:tcPr>
            <w:tcW w:w="886" w:type="dxa"/>
            <w:tcBorders>
              <w:top w:val="single" w:sz="6" w:space="0" w:color="000000"/>
              <w:left w:val="single" w:sz="6" w:space="0" w:color="000000"/>
              <w:bottom w:val="single" w:sz="6" w:space="0" w:color="000000"/>
              <w:right w:val="single" w:sz="6" w:space="0" w:color="000000"/>
            </w:tcBorders>
          </w:tcPr>
          <w:p w14:paraId="4AF899AD" w14:textId="77777777" w:rsidR="00D83842" w:rsidRDefault="00000000" w:rsidP="00BA5F13">
            <w:pPr>
              <w:spacing w:after="0" w:line="259" w:lineRule="auto"/>
              <w:ind w:left="0" w:right="48" w:firstLine="0"/>
              <w:jc w:val="center"/>
            </w:pPr>
            <w:r>
              <w:t xml:space="preserve">2% </w:t>
            </w:r>
          </w:p>
        </w:tc>
      </w:tr>
      <w:tr w:rsidR="00D83842" w14:paraId="405C9CC4" w14:textId="77777777" w:rsidTr="00BA5F13">
        <w:trPr>
          <w:trHeight w:val="285"/>
        </w:trPr>
        <w:tc>
          <w:tcPr>
            <w:tcW w:w="4191" w:type="dxa"/>
            <w:tcBorders>
              <w:top w:val="single" w:sz="6" w:space="0" w:color="000000"/>
              <w:left w:val="single" w:sz="6" w:space="0" w:color="000000"/>
              <w:bottom w:val="single" w:sz="6" w:space="0" w:color="000000"/>
              <w:right w:val="single" w:sz="6" w:space="0" w:color="000000"/>
            </w:tcBorders>
          </w:tcPr>
          <w:p w14:paraId="47F6F2E7" w14:textId="77777777" w:rsidR="00D83842" w:rsidRDefault="00000000" w:rsidP="00BA5F13">
            <w:pPr>
              <w:spacing w:after="0" w:line="259" w:lineRule="auto"/>
              <w:ind w:left="0" w:right="0" w:firstLine="0"/>
              <w:jc w:val="left"/>
            </w:pPr>
            <w:r>
              <w:t xml:space="preserve">General inflation </w:t>
            </w:r>
          </w:p>
        </w:tc>
        <w:tc>
          <w:tcPr>
            <w:tcW w:w="886" w:type="dxa"/>
            <w:tcBorders>
              <w:top w:val="single" w:sz="6" w:space="0" w:color="000000"/>
              <w:left w:val="single" w:sz="6" w:space="0" w:color="000000"/>
              <w:bottom w:val="single" w:sz="6" w:space="0" w:color="000000"/>
              <w:right w:val="single" w:sz="6" w:space="0" w:color="000000"/>
            </w:tcBorders>
          </w:tcPr>
          <w:p w14:paraId="67D15278" w14:textId="77777777" w:rsidR="00D83842" w:rsidRDefault="00000000" w:rsidP="00BA5F13">
            <w:pPr>
              <w:spacing w:after="0" w:line="259" w:lineRule="auto"/>
              <w:ind w:left="0" w:right="0" w:firstLine="0"/>
              <w:jc w:val="left"/>
            </w:pPr>
            <w:r>
              <w:t xml:space="preserve">3% </w:t>
            </w:r>
          </w:p>
        </w:tc>
        <w:tc>
          <w:tcPr>
            <w:tcW w:w="871" w:type="dxa"/>
            <w:tcBorders>
              <w:top w:val="single" w:sz="6" w:space="0" w:color="000000"/>
              <w:left w:val="single" w:sz="6" w:space="0" w:color="000000"/>
              <w:bottom w:val="single" w:sz="6" w:space="0" w:color="000000"/>
              <w:right w:val="single" w:sz="6" w:space="0" w:color="000000"/>
            </w:tcBorders>
          </w:tcPr>
          <w:p w14:paraId="6455BB87" w14:textId="77777777" w:rsidR="00D83842" w:rsidRDefault="00000000" w:rsidP="00BA5F13">
            <w:pPr>
              <w:spacing w:after="0" w:line="259" w:lineRule="auto"/>
              <w:ind w:left="0" w:right="0" w:firstLine="0"/>
              <w:jc w:val="left"/>
            </w:pPr>
            <w:r>
              <w:t xml:space="preserve">2% </w:t>
            </w:r>
          </w:p>
        </w:tc>
        <w:tc>
          <w:tcPr>
            <w:tcW w:w="886" w:type="dxa"/>
            <w:tcBorders>
              <w:top w:val="single" w:sz="6" w:space="0" w:color="000000"/>
              <w:left w:val="single" w:sz="6" w:space="0" w:color="000000"/>
              <w:bottom w:val="single" w:sz="6" w:space="0" w:color="000000"/>
              <w:right w:val="single" w:sz="6" w:space="0" w:color="000000"/>
            </w:tcBorders>
          </w:tcPr>
          <w:p w14:paraId="48082680" w14:textId="77777777" w:rsidR="00D83842" w:rsidRDefault="00000000" w:rsidP="00BA5F13">
            <w:pPr>
              <w:spacing w:after="0" w:line="259" w:lineRule="auto"/>
              <w:ind w:left="0" w:right="49" w:firstLine="0"/>
              <w:jc w:val="center"/>
            </w:pPr>
            <w:r>
              <w:t xml:space="preserve">2% </w:t>
            </w:r>
          </w:p>
        </w:tc>
        <w:tc>
          <w:tcPr>
            <w:tcW w:w="871" w:type="dxa"/>
            <w:tcBorders>
              <w:top w:val="single" w:sz="6" w:space="0" w:color="000000"/>
              <w:left w:val="single" w:sz="6" w:space="0" w:color="000000"/>
              <w:bottom w:val="single" w:sz="6" w:space="0" w:color="000000"/>
              <w:right w:val="single" w:sz="6" w:space="0" w:color="000000"/>
            </w:tcBorders>
          </w:tcPr>
          <w:p w14:paraId="7BB9CB06" w14:textId="77777777" w:rsidR="00D83842" w:rsidRDefault="00000000" w:rsidP="00BA5F13">
            <w:pPr>
              <w:spacing w:after="0" w:line="259" w:lineRule="auto"/>
              <w:ind w:left="0" w:right="0" w:firstLine="0"/>
              <w:jc w:val="left"/>
            </w:pPr>
            <w:r>
              <w:t xml:space="preserve">2% </w:t>
            </w:r>
          </w:p>
        </w:tc>
        <w:tc>
          <w:tcPr>
            <w:tcW w:w="886" w:type="dxa"/>
            <w:tcBorders>
              <w:top w:val="single" w:sz="6" w:space="0" w:color="000000"/>
              <w:left w:val="single" w:sz="6" w:space="0" w:color="000000"/>
              <w:bottom w:val="single" w:sz="6" w:space="0" w:color="000000"/>
              <w:right w:val="single" w:sz="6" w:space="0" w:color="000000"/>
            </w:tcBorders>
          </w:tcPr>
          <w:p w14:paraId="21AE8CCF" w14:textId="77777777" w:rsidR="00D83842" w:rsidRDefault="00000000" w:rsidP="00BA5F13">
            <w:pPr>
              <w:spacing w:after="0" w:line="259" w:lineRule="auto"/>
              <w:ind w:left="0" w:right="48" w:firstLine="0"/>
              <w:jc w:val="center"/>
            </w:pPr>
            <w:r>
              <w:t xml:space="preserve">2% </w:t>
            </w:r>
          </w:p>
        </w:tc>
      </w:tr>
      <w:tr w:rsidR="00D83842" w14:paraId="57CD2055" w14:textId="77777777" w:rsidTr="00BA5F13">
        <w:trPr>
          <w:trHeight w:val="286"/>
        </w:trPr>
        <w:tc>
          <w:tcPr>
            <w:tcW w:w="4191" w:type="dxa"/>
            <w:tcBorders>
              <w:top w:val="single" w:sz="6" w:space="0" w:color="000000"/>
              <w:left w:val="single" w:sz="6" w:space="0" w:color="000000"/>
              <w:bottom w:val="single" w:sz="6" w:space="0" w:color="000000"/>
              <w:right w:val="single" w:sz="6" w:space="0" w:color="000000"/>
            </w:tcBorders>
          </w:tcPr>
          <w:p w14:paraId="3BF6F48E" w14:textId="77777777" w:rsidR="00D83842" w:rsidRDefault="00000000" w:rsidP="00BA5F13">
            <w:pPr>
              <w:spacing w:after="0" w:line="259" w:lineRule="auto"/>
              <w:ind w:left="0" w:right="0" w:firstLine="0"/>
              <w:jc w:val="left"/>
            </w:pPr>
            <w:r>
              <w:t xml:space="preserve">Establishment start of year </w:t>
            </w:r>
          </w:p>
        </w:tc>
        <w:tc>
          <w:tcPr>
            <w:tcW w:w="886" w:type="dxa"/>
            <w:tcBorders>
              <w:top w:val="single" w:sz="6" w:space="0" w:color="000000"/>
              <w:left w:val="single" w:sz="6" w:space="0" w:color="000000"/>
              <w:bottom w:val="single" w:sz="6" w:space="0" w:color="000000"/>
              <w:right w:val="single" w:sz="6" w:space="0" w:color="000000"/>
            </w:tcBorders>
          </w:tcPr>
          <w:p w14:paraId="0C10ADE7" w14:textId="77777777" w:rsidR="00D83842" w:rsidRDefault="00000000" w:rsidP="00BA5F13">
            <w:pPr>
              <w:spacing w:after="0" w:line="259" w:lineRule="auto"/>
              <w:ind w:left="0" w:right="0" w:firstLine="0"/>
              <w:jc w:val="left"/>
            </w:pPr>
            <w:r>
              <w:t>654</w:t>
            </w:r>
            <w:r w:rsidRPr="00BA5F13">
              <w:rPr>
                <w:b/>
              </w:rPr>
              <w:t xml:space="preserve"> </w:t>
            </w:r>
          </w:p>
        </w:tc>
        <w:tc>
          <w:tcPr>
            <w:tcW w:w="871" w:type="dxa"/>
            <w:tcBorders>
              <w:top w:val="single" w:sz="6" w:space="0" w:color="000000"/>
              <w:left w:val="single" w:sz="6" w:space="0" w:color="000000"/>
              <w:bottom w:val="single" w:sz="6" w:space="0" w:color="000000"/>
              <w:right w:val="single" w:sz="6" w:space="0" w:color="000000"/>
            </w:tcBorders>
          </w:tcPr>
          <w:p w14:paraId="76EC20E0" w14:textId="77777777" w:rsidR="00D83842" w:rsidRDefault="00000000" w:rsidP="00BA5F13">
            <w:pPr>
              <w:spacing w:after="0" w:line="259" w:lineRule="auto"/>
              <w:ind w:left="0" w:right="0" w:firstLine="0"/>
              <w:jc w:val="left"/>
            </w:pPr>
            <w:r>
              <w:t>636</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5BB626C9" w14:textId="77777777" w:rsidR="00D83842" w:rsidRDefault="00000000" w:rsidP="00BA5F13">
            <w:pPr>
              <w:spacing w:after="0" w:line="259" w:lineRule="auto"/>
              <w:ind w:left="0" w:right="54" w:firstLine="0"/>
              <w:jc w:val="center"/>
            </w:pPr>
            <w:r>
              <w:t>634</w:t>
            </w:r>
            <w:r w:rsidRPr="00BA5F13">
              <w:rPr>
                <w:b/>
              </w:rPr>
              <w:t xml:space="preserve"> </w:t>
            </w:r>
          </w:p>
        </w:tc>
        <w:tc>
          <w:tcPr>
            <w:tcW w:w="871" w:type="dxa"/>
            <w:tcBorders>
              <w:top w:val="single" w:sz="6" w:space="0" w:color="000000"/>
              <w:left w:val="single" w:sz="6" w:space="0" w:color="000000"/>
              <w:bottom w:val="single" w:sz="6" w:space="0" w:color="000000"/>
              <w:right w:val="single" w:sz="6" w:space="0" w:color="000000"/>
            </w:tcBorders>
          </w:tcPr>
          <w:p w14:paraId="75FADF22" w14:textId="77777777" w:rsidR="00D83842" w:rsidRDefault="00000000" w:rsidP="00BA5F13">
            <w:pPr>
              <w:spacing w:after="0" w:line="259" w:lineRule="auto"/>
              <w:ind w:left="0" w:right="0" w:firstLine="0"/>
              <w:jc w:val="left"/>
            </w:pPr>
            <w:r>
              <w:t>635</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344F0DB1" w14:textId="77777777" w:rsidR="00D83842" w:rsidRDefault="00000000" w:rsidP="00BA5F13">
            <w:pPr>
              <w:spacing w:after="0" w:line="259" w:lineRule="auto"/>
              <w:ind w:left="0" w:right="53" w:firstLine="0"/>
              <w:jc w:val="center"/>
            </w:pPr>
            <w:r>
              <w:t>640</w:t>
            </w:r>
            <w:r w:rsidRPr="00BA5F13">
              <w:rPr>
                <w:b/>
              </w:rPr>
              <w:t xml:space="preserve"> </w:t>
            </w:r>
          </w:p>
        </w:tc>
      </w:tr>
      <w:tr w:rsidR="00D83842" w14:paraId="07BE6FAD" w14:textId="77777777" w:rsidTr="00BA5F13">
        <w:trPr>
          <w:trHeight w:val="285"/>
        </w:trPr>
        <w:tc>
          <w:tcPr>
            <w:tcW w:w="4191" w:type="dxa"/>
            <w:tcBorders>
              <w:top w:val="single" w:sz="6" w:space="0" w:color="000000"/>
              <w:left w:val="single" w:sz="6" w:space="0" w:color="000000"/>
              <w:bottom w:val="single" w:sz="6" w:space="0" w:color="000000"/>
              <w:right w:val="single" w:sz="6" w:space="0" w:color="000000"/>
            </w:tcBorders>
          </w:tcPr>
          <w:p w14:paraId="735E3F55" w14:textId="77777777" w:rsidR="00D83842" w:rsidRDefault="00000000" w:rsidP="00BA5F13">
            <w:pPr>
              <w:spacing w:after="0" w:line="259" w:lineRule="auto"/>
              <w:ind w:left="0" w:right="0" w:firstLine="0"/>
              <w:jc w:val="left"/>
            </w:pPr>
            <w:r>
              <w:t>New recruits during year</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01B093A6" w14:textId="77777777" w:rsidR="00D83842" w:rsidRDefault="00000000" w:rsidP="00BA5F13">
            <w:pPr>
              <w:spacing w:after="0" w:line="259" w:lineRule="auto"/>
              <w:ind w:left="0" w:right="83" w:firstLine="0"/>
              <w:jc w:val="center"/>
            </w:pPr>
            <w:r>
              <w:t>0</w:t>
            </w:r>
            <w:r w:rsidRPr="00BA5F13">
              <w:rPr>
                <w:b/>
              </w:rPr>
              <w:t xml:space="preserve"> </w:t>
            </w:r>
          </w:p>
        </w:tc>
        <w:tc>
          <w:tcPr>
            <w:tcW w:w="871" w:type="dxa"/>
            <w:tcBorders>
              <w:top w:val="single" w:sz="6" w:space="0" w:color="000000"/>
              <w:left w:val="single" w:sz="6" w:space="0" w:color="000000"/>
              <w:bottom w:val="single" w:sz="6" w:space="0" w:color="000000"/>
              <w:right w:val="single" w:sz="6" w:space="0" w:color="000000"/>
            </w:tcBorders>
          </w:tcPr>
          <w:p w14:paraId="6E1CECD7" w14:textId="77777777" w:rsidR="00D83842" w:rsidRDefault="00000000" w:rsidP="00BA5F13">
            <w:pPr>
              <w:spacing w:after="0" w:line="259" w:lineRule="auto"/>
              <w:ind w:left="0" w:right="54" w:firstLine="0"/>
              <w:jc w:val="center"/>
            </w:pPr>
            <w:r>
              <w:t>18</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66B6F462" w14:textId="77777777" w:rsidR="00D83842" w:rsidRDefault="00000000" w:rsidP="00BA5F13">
            <w:pPr>
              <w:spacing w:after="0" w:line="259" w:lineRule="auto"/>
              <w:ind w:left="0" w:right="39" w:firstLine="0"/>
              <w:jc w:val="center"/>
            </w:pPr>
            <w:r>
              <w:t>38</w:t>
            </w:r>
            <w:r w:rsidRPr="00BA5F13">
              <w:rPr>
                <w:b/>
              </w:rPr>
              <w:t xml:space="preserve"> </w:t>
            </w:r>
          </w:p>
        </w:tc>
        <w:tc>
          <w:tcPr>
            <w:tcW w:w="871" w:type="dxa"/>
            <w:tcBorders>
              <w:top w:val="single" w:sz="6" w:space="0" w:color="000000"/>
              <w:left w:val="single" w:sz="6" w:space="0" w:color="000000"/>
              <w:bottom w:val="single" w:sz="6" w:space="0" w:color="000000"/>
              <w:right w:val="single" w:sz="6" w:space="0" w:color="000000"/>
            </w:tcBorders>
          </w:tcPr>
          <w:p w14:paraId="13CA4353" w14:textId="77777777" w:rsidR="00D83842" w:rsidRDefault="00000000" w:rsidP="00BA5F13">
            <w:pPr>
              <w:spacing w:after="0" w:line="259" w:lineRule="auto"/>
              <w:ind w:left="0" w:right="53" w:firstLine="0"/>
              <w:jc w:val="center"/>
            </w:pPr>
            <w:r>
              <w:t>38</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518573F5" w14:textId="77777777" w:rsidR="00D83842" w:rsidRDefault="00000000" w:rsidP="00BA5F13">
            <w:pPr>
              <w:spacing w:after="0" w:line="259" w:lineRule="auto"/>
              <w:ind w:left="0" w:right="38" w:firstLine="0"/>
              <w:jc w:val="center"/>
            </w:pPr>
            <w:r>
              <w:t>20</w:t>
            </w:r>
            <w:r w:rsidRPr="00BA5F13">
              <w:rPr>
                <w:b/>
              </w:rPr>
              <w:t xml:space="preserve"> </w:t>
            </w:r>
          </w:p>
        </w:tc>
      </w:tr>
      <w:tr w:rsidR="00D83842" w14:paraId="7B21D7AB" w14:textId="77777777" w:rsidTr="00BA5F13">
        <w:trPr>
          <w:trHeight w:val="285"/>
        </w:trPr>
        <w:tc>
          <w:tcPr>
            <w:tcW w:w="4191" w:type="dxa"/>
            <w:tcBorders>
              <w:top w:val="single" w:sz="6" w:space="0" w:color="000000"/>
              <w:left w:val="single" w:sz="6" w:space="0" w:color="000000"/>
              <w:bottom w:val="single" w:sz="6" w:space="0" w:color="000000"/>
              <w:right w:val="single" w:sz="6" w:space="0" w:color="000000"/>
            </w:tcBorders>
          </w:tcPr>
          <w:p w14:paraId="2FCEE204" w14:textId="77777777" w:rsidR="00D83842" w:rsidRDefault="00000000" w:rsidP="00BA5F13">
            <w:pPr>
              <w:spacing w:after="0" w:line="259" w:lineRule="auto"/>
              <w:ind w:left="0" w:right="0" w:firstLine="0"/>
              <w:jc w:val="left"/>
            </w:pPr>
            <w:r>
              <w:t xml:space="preserve">No of Leavers </w:t>
            </w:r>
          </w:p>
        </w:tc>
        <w:tc>
          <w:tcPr>
            <w:tcW w:w="886" w:type="dxa"/>
            <w:tcBorders>
              <w:top w:val="single" w:sz="6" w:space="0" w:color="000000"/>
              <w:left w:val="single" w:sz="6" w:space="0" w:color="000000"/>
              <w:bottom w:val="single" w:sz="6" w:space="0" w:color="000000"/>
              <w:right w:val="single" w:sz="6" w:space="0" w:color="000000"/>
            </w:tcBorders>
          </w:tcPr>
          <w:p w14:paraId="2EC186B3" w14:textId="77777777" w:rsidR="00D83842" w:rsidRDefault="00000000" w:rsidP="00BA5F13">
            <w:pPr>
              <w:spacing w:after="0" w:line="259" w:lineRule="auto"/>
              <w:ind w:left="0" w:right="32" w:firstLine="0"/>
              <w:jc w:val="center"/>
            </w:pPr>
            <w:r>
              <w:t>(18)</w:t>
            </w:r>
            <w:r w:rsidRPr="00BA5F13">
              <w:rPr>
                <w:b/>
              </w:rPr>
              <w:t xml:space="preserve"> </w:t>
            </w:r>
          </w:p>
        </w:tc>
        <w:tc>
          <w:tcPr>
            <w:tcW w:w="871" w:type="dxa"/>
            <w:tcBorders>
              <w:top w:val="single" w:sz="6" w:space="0" w:color="000000"/>
              <w:left w:val="single" w:sz="6" w:space="0" w:color="000000"/>
              <w:bottom w:val="single" w:sz="6" w:space="0" w:color="000000"/>
              <w:right w:val="single" w:sz="6" w:space="0" w:color="000000"/>
            </w:tcBorders>
          </w:tcPr>
          <w:p w14:paraId="5159534C" w14:textId="77777777" w:rsidR="00D83842" w:rsidRDefault="00000000" w:rsidP="00BA5F13">
            <w:pPr>
              <w:spacing w:after="0" w:line="259" w:lineRule="auto"/>
              <w:ind w:left="0" w:right="47" w:firstLine="0"/>
              <w:jc w:val="center"/>
            </w:pPr>
            <w:r>
              <w:t>(20)</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6ADD7561" w14:textId="77777777" w:rsidR="00D83842" w:rsidRDefault="00000000" w:rsidP="00BA5F13">
            <w:pPr>
              <w:spacing w:after="0" w:line="259" w:lineRule="auto"/>
              <w:ind w:left="0" w:right="33" w:firstLine="0"/>
              <w:jc w:val="center"/>
            </w:pPr>
            <w:r>
              <w:t>(37)</w:t>
            </w:r>
            <w:r w:rsidRPr="00BA5F13">
              <w:rPr>
                <w:b/>
              </w:rPr>
              <w:t xml:space="preserve"> </w:t>
            </w:r>
          </w:p>
        </w:tc>
        <w:tc>
          <w:tcPr>
            <w:tcW w:w="871" w:type="dxa"/>
            <w:tcBorders>
              <w:top w:val="single" w:sz="6" w:space="0" w:color="000000"/>
              <w:left w:val="single" w:sz="6" w:space="0" w:color="000000"/>
              <w:bottom w:val="single" w:sz="6" w:space="0" w:color="000000"/>
              <w:right w:val="single" w:sz="6" w:space="0" w:color="000000"/>
            </w:tcBorders>
          </w:tcPr>
          <w:p w14:paraId="4CED0439" w14:textId="77777777" w:rsidR="00D83842" w:rsidRDefault="00000000" w:rsidP="00BA5F13">
            <w:pPr>
              <w:spacing w:after="0" w:line="259" w:lineRule="auto"/>
              <w:ind w:left="0" w:right="48" w:firstLine="0"/>
              <w:jc w:val="center"/>
            </w:pPr>
            <w:r>
              <w:t>(33)</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3BC7CD75" w14:textId="77777777" w:rsidR="00D83842" w:rsidRDefault="00000000" w:rsidP="00BA5F13">
            <w:pPr>
              <w:spacing w:after="0" w:line="259" w:lineRule="auto"/>
              <w:ind w:left="0" w:right="32" w:firstLine="0"/>
              <w:jc w:val="center"/>
            </w:pPr>
            <w:r>
              <w:t>(21)</w:t>
            </w:r>
            <w:r w:rsidRPr="00BA5F13">
              <w:rPr>
                <w:b/>
              </w:rPr>
              <w:t xml:space="preserve"> </w:t>
            </w:r>
          </w:p>
        </w:tc>
      </w:tr>
      <w:tr w:rsidR="00D83842" w14:paraId="0313E732" w14:textId="77777777" w:rsidTr="00BA5F13">
        <w:trPr>
          <w:trHeight w:val="285"/>
        </w:trPr>
        <w:tc>
          <w:tcPr>
            <w:tcW w:w="4191" w:type="dxa"/>
            <w:tcBorders>
              <w:top w:val="single" w:sz="6" w:space="0" w:color="000000"/>
              <w:left w:val="single" w:sz="6" w:space="0" w:color="000000"/>
              <w:bottom w:val="single" w:sz="6" w:space="0" w:color="000000"/>
              <w:right w:val="single" w:sz="6" w:space="0" w:color="000000"/>
            </w:tcBorders>
          </w:tcPr>
          <w:p w14:paraId="5C5BB6FA" w14:textId="77777777" w:rsidR="00D83842" w:rsidRDefault="00000000" w:rsidP="00BA5F13">
            <w:pPr>
              <w:spacing w:after="0" w:line="259" w:lineRule="auto"/>
              <w:ind w:left="0" w:right="0" w:firstLine="0"/>
              <w:jc w:val="left"/>
            </w:pPr>
            <w:r>
              <w:t xml:space="preserve">Establishment end of year </w:t>
            </w:r>
          </w:p>
        </w:tc>
        <w:tc>
          <w:tcPr>
            <w:tcW w:w="886" w:type="dxa"/>
            <w:tcBorders>
              <w:top w:val="single" w:sz="6" w:space="0" w:color="000000"/>
              <w:left w:val="single" w:sz="6" w:space="0" w:color="000000"/>
              <w:bottom w:val="single" w:sz="6" w:space="0" w:color="000000"/>
              <w:right w:val="single" w:sz="6" w:space="0" w:color="000000"/>
            </w:tcBorders>
          </w:tcPr>
          <w:p w14:paraId="45877866" w14:textId="77777777" w:rsidR="00D83842" w:rsidRDefault="00000000" w:rsidP="00BA5F13">
            <w:pPr>
              <w:spacing w:after="0" w:line="259" w:lineRule="auto"/>
              <w:ind w:left="0" w:right="0" w:firstLine="0"/>
              <w:jc w:val="left"/>
            </w:pPr>
            <w:r>
              <w:t xml:space="preserve">636 </w:t>
            </w:r>
          </w:p>
        </w:tc>
        <w:tc>
          <w:tcPr>
            <w:tcW w:w="871" w:type="dxa"/>
            <w:tcBorders>
              <w:top w:val="single" w:sz="6" w:space="0" w:color="000000"/>
              <w:left w:val="single" w:sz="6" w:space="0" w:color="000000"/>
              <w:bottom w:val="single" w:sz="6" w:space="0" w:color="000000"/>
              <w:right w:val="single" w:sz="6" w:space="0" w:color="000000"/>
            </w:tcBorders>
          </w:tcPr>
          <w:p w14:paraId="7922CA40" w14:textId="77777777" w:rsidR="00D83842" w:rsidRDefault="00000000" w:rsidP="00BA5F13">
            <w:pPr>
              <w:spacing w:after="0" w:line="259" w:lineRule="auto"/>
              <w:ind w:left="0" w:right="0" w:firstLine="0"/>
              <w:jc w:val="left"/>
            </w:pPr>
            <w:r>
              <w:t xml:space="preserve">634 </w:t>
            </w:r>
          </w:p>
        </w:tc>
        <w:tc>
          <w:tcPr>
            <w:tcW w:w="886" w:type="dxa"/>
            <w:tcBorders>
              <w:top w:val="single" w:sz="6" w:space="0" w:color="000000"/>
              <w:left w:val="single" w:sz="6" w:space="0" w:color="000000"/>
              <w:bottom w:val="single" w:sz="6" w:space="0" w:color="000000"/>
              <w:right w:val="single" w:sz="6" w:space="0" w:color="000000"/>
            </w:tcBorders>
          </w:tcPr>
          <w:p w14:paraId="46B5FA5A" w14:textId="77777777" w:rsidR="00D83842" w:rsidRDefault="00000000" w:rsidP="00BA5F13">
            <w:pPr>
              <w:spacing w:after="0" w:line="259" w:lineRule="auto"/>
              <w:ind w:left="0" w:right="54" w:firstLine="0"/>
              <w:jc w:val="center"/>
            </w:pPr>
            <w:r>
              <w:t xml:space="preserve">635 </w:t>
            </w:r>
          </w:p>
        </w:tc>
        <w:tc>
          <w:tcPr>
            <w:tcW w:w="871" w:type="dxa"/>
            <w:tcBorders>
              <w:top w:val="single" w:sz="6" w:space="0" w:color="000000"/>
              <w:left w:val="single" w:sz="6" w:space="0" w:color="000000"/>
              <w:bottom w:val="single" w:sz="6" w:space="0" w:color="000000"/>
              <w:right w:val="single" w:sz="6" w:space="0" w:color="000000"/>
            </w:tcBorders>
          </w:tcPr>
          <w:p w14:paraId="4E522756" w14:textId="77777777" w:rsidR="00D83842" w:rsidRDefault="00000000" w:rsidP="00BA5F13">
            <w:pPr>
              <w:spacing w:after="0" w:line="259" w:lineRule="auto"/>
              <w:ind w:left="0" w:right="0" w:firstLine="0"/>
              <w:jc w:val="left"/>
            </w:pPr>
            <w:r>
              <w:t xml:space="preserve">640 </w:t>
            </w:r>
          </w:p>
        </w:tc>
        <w:tc>
          <w:tcPr>
            <w:tcW w:w="886" w:type="dxa"/>
            <w:tcBorders>
              <w:top w:val="single" w:sz="6" w:space="0" w:color="000000"/>
              <w:left w:val="single" w:sz="6" w:space="0" w:color="000000"/>
              <w:bottom w:val="single" w:sz="6" w:space="0" w:color="000000"/>
              <w:right w:val="single" w:sz="6" w:space="0" w:color="000000"/>
            </w:tcBorders>
          </w:tcPr>
          <w:p w14:paraId="40BBE383" w14:textId="77777777" w:rsidR="00D83842" w:rsidRDefault="00000000" w:rsidP="00BA5F13">
            <w:pPr>
              <w:spacing w:after="0" w:line="259" w:lineRule="auto"/>
              <w:ind w:left="0" w:right="53" w:firstLine="0"/>
              <w:jc w:val="center"/>
            </w:pPr>
            <w:r>
              <w:t xml:space="preserve">639 </w:t>
            </w:r>
          </w:p>
        </w:tc>
      </w:tr>
      <w:tr w:rsidR="00D83842" w14:paraId="0F15F640" w14:textId="77777777" w:rsidTr="00BA5F13">
        <w:trPr>
          <w:trHeight w:val="286"/>
        </w:trPr>
        <w:tc>
          <w:tcPr>
            <w:tcW w:w="4191" w:type="dxa"/>
            <w:tcBorders>
              <w:top w:val="single" w:sz="6" w:space="0" w:color="000000"/>
              <w:left w:val="single" w:sz="6" w:space="0" w:color="000000"/>
              <w:bottom w:val="single" w:sz="6" w:space="0" w:color="000000"/>
              <w:right w:val="single" w:sz="6" w:space="0" w:color="000000"/>
            </w:tcBorders>
          </w:tcPr>
          <w:p w14:paraId="2D990B08" w14:textId="77777777" w:rsidR="00D83842" w:rsidRDefault="00000000" w:rsidP="00BA5F13">
            <w:pPr>
              <w:spacing w:after="0" w:line="259" w:lineRule="auto"/>
              <w:ind w:left="0" w:right="0" w:firstLine="0"/>
              <w:jc w:val="left"/>
            </w:pPr>
            <w:r>
              <w:t>Council Taxbase % increase</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63490FA4" w14:textId="77777777" w:rsidR="00D83842" w:rsidRDefault="00000000" w:rsidP="00BA5F13">
            <w:pPr>
              <w:spacing w:after="0" w:line="259" w:lineRule="auto"/>
              <w:ind w:left="0" w:right="0" w:firstLine="0"/>
            </w:pPr>
            <w:r>
              <w:t>1.38%</w:t>
            </w:r>
            <w:r w:rsidRPr="00BA5F13">
              <w:rPr>
                <w:b/>
              </w:rPr>
              <w:t xml:space="preserve"> </w:t>
            </w:r>
          </w:p>
        </w:tc>
        <w:tc>
          <w:tcPr>
            <w:tcW w:w="871" w:type="dxa"/>
            <w:tcBorders>
              <w:top w:val="single" w:sz="6" w:space="0" w:color="000000"/>
              <w:left w:val="single" w:sz="6" w:space="0" w:color="000000"/>
              <w:bottom w:val="single" w:sz="6" w:space="0" w:color="000000"/>
              <w:right w:val="single" w:sz="6" w:space="0" w:color="000000"/>
            </w:tcBorders>
          </w:tcPr>
          <w:p w14:paraId="04EA0057" w14:textId="77777777" w:rsidR="00D83842" w:rsidRDefault="00000000" w:rsidP="00BA5F13">
            <w:pPr>
              <w:spacing w:after="0" w:line="259" w:lineRule="auto"/>
              <w:ind w:left="0" w:right="0" w:firstLine="0"/>
            </w:pPr>
            <w:r>
              <w:t>0.79%</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201BC374" w14:textId="77777777" w:rsidR="00D83842" w:rsidRDefault="00000000" w:rsidP="00BA5F13">
            <w:pPr>
              <w:spacing w:after="0" w:line="259" w:lineRule="auto"/>
              <w:ind w:left="0" w:right="0" w:firstLine="0"/>
            </w:pPr>
            <w:r>
              <w:t>0.79%</w:t>
            </w:r>
            <w:r w:rsidRPr="00BA5F13">
              <w:rPr>
                <w:b/>
              </w:rPr>
              <w:t xml:space="preserve"> </w:t>
            </w:r>
          </w:p>
        </w:tc>
        <w:tc>
          <w:tcPr>
            <w:tcW w:w="871" w:type="dxa"/>
            <w:tcBorders>
              <w:top w:val="single" w:sz="6" w:space="0" w:color="000000"/>
              <w:left w:val="single" w:sz="6" w:space="0" w:color="000000"/>
              <w:bottom w:val="single" w:sz="6" w:space="0" w:color="000000"/>
              <w:right w:val="single" w:sz="6" w:space="0" w:color="000000"/>
            </w:tcBorders>
          </w:tcPr>
          <w:p w14:paraId="6425F54E" w14:textId="77777777" w:rsidR="00D83842" w:rsidRDefault="00000000" w:rsidP="00BA5F13">
            <w:pPr>
              <w:spacing w:after="0" w:line="259" w:lineRule="auto"/>
              <w:ind w:left="0" w:right="0" w:firstLine="0"/>
            </w:pPr>
            <w:r>
              <w:t>0.79%</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1F40AC12" w14:textId="77777777" w:rsidR="00D83842" w:rsidRDefault="00000000" w:rsidP="00BA5F13">
            <w:pPr>
              <w:spacing w:after="0" w:line="259" w:lineRule="auto"/>
              <w:ind w:left="0" w:right="0" w:firstLine="0"/>
            </w:pPr>
            <w:r>
              <w:t>0.79%</w:t>
            </w:r>
            <w:r w:rsidRPr="00BA5F13">
              <w:rPr>
                <w:b/>
              </w:rPr>
              <w:t xml:space="preserve"> </w:t>
            </w:r>
          </w:p>
        </w:tc>
      </w:tr>
      <w:tr w:rsidR="00D83842" w14:paraId="280354F9" w14:textId="77777777" w:rsidTr="00BA5F13">
        <w:trPr>
          <w:trHeight w:val="285"/>
        </w:trPr>
        <w:tc>
          <w:tcPr>
            <w:tcW w:w="4191" w:type="dxa"/>
            <w:tcBorders>
              <w:top w:val="single" w:sz="6" w:space="0" w:color="000000"/>
              <w:left w:val="single" w:sz="6" w:space="0" w:color="000000"/>
              <w:bottom w:val="single" w:sz="6" w:space="0" w:color="000000"/>
              <w:right w:val="single" w:sz="6" w:space="0" w:color="000000"/>
            </w:tcBorders>
          </w:tcPr>
          <w:p w14:paraId="5894A235" w14:textId="77777777" w:rsidR="00D83842" w:rsidRDefault="00000000" w:rsidP="00BA5F13">
            <w:pPr>
              <w:spacing w:after="0" w:line="259" w:lineRule="auto"/>
              <w:ind w:left="0" w:right="0" w:firstLine="0"/>
              <w:jc w:val="left"/>
            </w:pPr>
            <w:r>
              <w:lastRenderedPageBreak/>
              <w:t>Council tax precept % increase</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591FA47E" w14:textId="77777777" w:rsidR="00D83842" w:rsidRDefault="00000000" w:rsidP="00BA5F13">
            <w:pPr>
              <w:spacing w:after="0" w:line="259" w:lineRule="auto"/>
              <w:ind w:left="0" w:right="0" w:firstLine="0"/>
            </w:pPr>
            <w:r>
              <w:t>2.99%</w:t>
            </w:r>
            <w:r w:rsidRPr="00BA5F13">
              <w:rPr>
                <w:b/>
              </w:rPr>
              <w:t xml:space="preserve"> </w:t>
            </w:r>
          </w:p>
        </w:tc>
        <w:tc>
          <w:tcPr>
            <w:tcW w:w="871" w:type="dxa"/>
            <w:tcBorders>
              <w:top w:val="single" w:sz="6" w:space="0" w:color="000000"/>
              <w:left w:val="single" w:sz="6" w:space="0" w:color="000000"/>
              <w:bottom w:val="single" w:sz="6" w:space="0" w:color="000000"/>
              <w:right w:val="single" w:sz="6" w:space="0" w:color="000000"/>
            </w:tcBorders>
          </w:tcPr>
          <w:p w14:paraId="2DF65C6D" w14:textId="77777777" w:rsidR="00D83842" w:rsidRDefault="00000000" w:rsidP="00BA5F13">
            <w:pPr>
              <w:spacing w:after="0" w:line="259" w:lineRule="auto"/>
              <w:ind w:left="0" w:right="0" w:firstLine="0"/>
            </w:pPr>
            <w:r>
              <w:t>2.99%</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5F449597" w14:textId="77777777" w:rsidR="00D83842" w:rsidRDefault="00000000" w:rsidP="00BA5F13">
            <w:pPr>
              <w:spacing w:after="0" w:line="259" w:lineRule="auto"/>
              <w:ind w:left="0" w:right="0" w:firstLine="0"/>
            </w:pPr>
            <w:r>
              <w:t>2.99%</w:t>
            </w:r>
            <w:r w:rsidRPr="00BA5F13">
              <w:rPr>
                <w:b/>
              </w:rPr>
              <w:t xml:space="preserve"> </w:t>
            </w:r>
          </w:p>
        </w:tc>
        <w:tc>
          <w:tcPr>
            <w:tcW w:w="871" w:type="dxa"/>
            <w:tcBorders>
              <w:top w:val="single" w:sz="6" w:space="0" w:color="000000"/>
              <w:left w:val="single" w:sz="6" w:space="0" w:color="000000"/>
              <w:bottom w:val="single" w:sz="6" w:space="0" w:color="000000"/>
              <w:right w:val="single" w:sz="6" w:space="0" w:color="000000"/>
            </w:tcBorders>
          </w:tcPr>
          <w:p w14:paraId="652BB372" w14:textId="77777777" w:rsidR="00D83842" w:rsidRDefault="00000000" w:rsidP="00BA5F13">
            <w:pPr>
              <w:spacing w:after="0" w:line="259" w:lineRule="auto"/>
              <w:ind w:left="0" w:right="0" w:firstLine="0"/>
            </w:pPr>
            <w:r>
              <w:t>2.99%</w:t>
            </w:r>
            <w:r w:rsidRPr="00BA5F13">
              <w:rPr>
                <w:b/>
              </w:rPr>
              <w:t xml:space="preserve"> </w:t>
            </w:r>
          </w:p>
        </w:tc>
        <w:tc>
          <w:tcPr>
            <w:tcW w:w="886" w:type="dxa"/>
            <w:tcBorders>
              <w:top w:val="single" w:sz="6" w:space="0" w:color="000000"/>
              <w:left w:val="single" w:sz="6" w:space="0" w:color="000000"/>
              <w:bottom w:val="single" w:sz="6" w:space="0" w:color="000000"/>
              <w:right w:val="single" w:sz="6" w:space="0" w:color="000000"/>
            </w:tcBorders>
          </w:tcPr>
          <w:p w14:paraId="58900457" w14:textId="77777777" w:rsidR="00D83842" w:rsidRDefault="00000000" w:rsidP="00BA5F13">
            <w:pPr>
              <w:spacing w:after="0" w:line="259" w:lineRule="auto"/>
              <w:ind w:left="0" w:right="0" w:firstLine="0"/>
            </w:pPr>
            <w:r>
              <w:t>2.99%</w:t>
            </w:r>
            <w:r w:rsidRPr="00BA5F13">
              <w:rPr>
                <w:b/>
              </w:rPr>
              <w:t xml:space="preserve"> </w:t>
            </w:r>
          </w:p>
        </w:tc>
      </w:tr>
    </w:tbl>
    <w:p w14:paraId="695FC8E4" w14:textId="77777777" w:rsidR="00BA5F13" w:rsidRDefault="00BA5F13" w:rsidP="00BA5F13">
      <w:pPr>
        <w:ind w:left="0" w:right="105" w:firstLine="0"/>
      </w:pPr>
    </w:p>
    <w:p w14:paraId="78FDB8FD" w14:textId="19BC56EF" w:rsidR="00D83842" w:rsidRDefault="00000000" w:rsidP="00BA5F13">
      <w:pPr>
        <w:ind w:left="0" w:right="105" w:firstLine="0"/>
      </w:pPr>
      <w:r>
        <w:t xml:space="preserve">Inflation – These include: </w:t>
      </w:r>
    </w:p>
    <w:p w14:paraId="38AEAA23" w14:textId="77777777" w:rsidR="00D83842" w:rsidRDefault="00000000" w:rsidP="00BA5F13">
      <w:pPr>
        <w:spacing w:after="121"/>
        <w:ind w:left="0" w:right="105" w:firstLine="0"/>
      </w:pPr>
      <w:r>
        <w:t xml:space="preserve">An allowance of 3% for pay awards in 2024/25 has been included with 2% thereafter.  </w:t>
      </w:r>
    </w:p>
    <w:p w14:paraId="1FC1CDAB" w14:textId="77777777" w:rsidR="00D83842" w:rsidRDefault="00000000" w:rsidP="00BA5F13">
      <w:pPr>
        <w:spacing w:after="106"/>
        <w:ind w:left="0" w:right="105" w:firstLine="0"/>
      </w:pPr>
      <w:r>
        <w:t xml:space="preserve">Specific increases in price inflation for known areas has been assumed.  </w:t>
      </w:r>
    </w:p>
    <w:p w14:paraId="68FBE180" w14:textId="77777777" w:rsidR="00D83842" w:rsidRDefault="00000000" w:rsidP="00BA5F13">
      <w:pPr>
        <w:ind w:left="0" w:right="105" w:firstLine="0"/>
      </w:pPr>
      <w:r>
        <w:t xml:space="preserve">Other non-pay budgets have increased by the latest Office of Budget Responsibility (OBR) CPI figures; 3% in 2024/25 and 2% thereafter. If pay awards are higher than assumed, they will need to be met from reserves or in year savings in 2024/25 with additional savings made in future years. Each 1% increase results in an additional £0.5m and £0.1m for </w:t>
      </w:r>
      <w:proofErr w:type="gramStart"/>
      <w:r>
        <w:t>Grey</w:t>
      </w:r>
      <w:proofErr w:type="gramEnd"/>
      <w:r>
        <w:t xml:space="preserve"> book and Green book staff respectively. </w:t>
      </w:r>
    </w:p>
    <w:p w14:paraId="2206D72D" w14:textId="77777777" w:rsidR="00D83842" w:rsidRDefault="00000000" w:rsidP="00BA5F13">
      <w:pPr>
        <w:spacing w:after="107"/>
        <w:ind w:left="0" w:right="105" w:firstLine="0"/>
      </w:pPr>
      <w:r>
        <w:t xml:space="preserve">Commitments – These reflect the impact of previous decisions that have a financial consequence or are due to policy, legal or regulatory changes. In 2024/25 the commitments include: </w:t>
      </w:r>
    </w:p>
    <w:p w14:paraId="7B798D7F" w14:textId="77777777" w:rsidR="00D83842" w:rsidRDefault="00000000" w:rsidP="00BA5F13">
      <w:pPr>
        <w:spacing w:after="122"/>
        <w:ind w:left="0" w:right="105" w:firstLine="0"/>
      </w:pPr>
      <w:r>
        <w:t xml:space="preserve">The Authority reaffirmed their commitment to the </w:t>
      </w:r>
      <w:proofErr w:type="gramStart"/>
      <w:r>
        <w:t>North West</w:t>
      </w:r>
      <w:proofErr w:type="gramEnd"/>
      <w:r>
        <w:t xml:space="preserve"> Fire Control in December 2023 including an increased contribution to their costs due to changes in activity levels and result in an increase of £0.2m. </w:t>
      </w:r>
    </w:p>
    <w:p w14:paraId="01362B2A" w14:textId="77777777" w:rsidR="00D83842" w:rsidRDefault="00000000" w:rsidP="00BA5F13">
      <w:pPr>
        <w:spacing w:after="121"/>
        <w:ind w:left="0" w:right="105" w:firstLine="0"/>
      </w:pPr>
      <w:r>
        <w:t xml:space="preserve">The reduction in interest rates results in a loss of investment income of £0.4m in 2024/25. </w:t>
      </w:r>
    </w:p>
    <w:p w14:paraId="16229EA3" w14:textId="77777777" w:rsidR="00D83842" w:rsidRDefault="00000000" w:rsidP="00BA5F13">
      <w:pPr>
        <w:spacing w:after="122"/>
        <w:ind w:left="0" w:right="105" w:firstLine="0"/>
      </w:pPr>
      <w:r>
        <w:t xml:space="preserve">Vacancy levels across the organisation are forecast to be lower in 2024/25 along with more staff expected to reach Competency, this results in an increase establishment cost of £0.4m in 2024/25. </w:t>
      </w:r>
    </w:p>
    <w:p w14:paraId="492C856B" w14:textId="77777777" w:rsidR="00D83842" w:rsidRDefault="00000000" w:rsidP="00BA5F13">
      <w:pPr>
        <w:spacing w:after="123"/>
        <w:ind w:left="0" w:right="105" w:firstLine="0"/>
      </w:pPr>
      <w:r>
        <w:t xml:space="preserve">The Emergency Cover Review (ECR) approved by the Authority in 2022 resulted in an overall increase of 8 Wholetime Firefighter across the Service. In 2024/25 there is a resourcing commitment of £0.2m as previously agreed, to fund these posts. </w:t>
      </w:r>
    </w:p>
    <w:p w14:paraId="4C0733AC" w14:textId="77777777" w:rsidR="00D83842" w:rsidRDefault="00000000" w:rsidP="00BA5F13">
      <w:pPr>
        <w:ind w:left="0" w:right="105" w:firstLine="0"/>
      </w:pPr>
      <w:r>
        <w:t xml:space="preserve">Permanent Resourcing – These include: </w:t>
      </w:r>
    </w:p>
    <w:p w14:paraId="4B562EE4" w14:textId="77777777" w:rsidR="00D83842" w:rsidRDefault="00000000" w:rsidP="00BA5F13">
      <w:pPr>
        <w:spacing w:after="121"/>
        <w:ind w:left="0" w:right="105" w:firstLine="0"/>
      </w:pPr>
      <w:r>
        <w:t xml:space="preserve">An allowance is made in future years for replacement Personal Protective Equipment based on recommended lifespan.  </w:t>
      </w:r>
    </w:p>
    <w:p w14:paraId="0F367B01" w14:textId="3EE8ED0F" w:rsidR="00D83842" w:rsidRDefault="00000000" w:rsidP="002D54A3">
      <w:pPr>
        <w:spacing w:after="11"/>
        <w:ind w:left="0" w:right="105" w:firstLine="0"/>
      </w:pPr>
      <w:r>
        <w:t xml:space="preserve">A reduction is forecast at the next valuation of the Local Government Pension Scheme surplus resulting in a pressure in 2026/27 of £0.5m.  </w:t>
      </w:r>
    </w:p>
    <w:p w14:paraId="38197CB4" w14:textId="77777777" w:rsidR="00D83842" w:rsidRDefault="00000000" w:rsidP="00BA5F13">
      <w:pPr>
        <w:spacing w:after="137"/>
        <w:ind w:left="0" w:right="105" w:firstLine="0"/>
      </w:pPr>
      <w:r>
        <w:t xml:space="preserve">Additional borrowing is required to meet the planned capital programme from 2025/26. This results in an overall increase in borrowing costs (repayment and interest) from 20225/26 of £0.3m, rising to £2.1m by 2028/29. This is considered in more detail in the Capital Strategy Appendix.  </w:t>
      </w:r>
    </w:p>
    <w:p w14:paraId="44D1C6BA" w14:textId="77777777" w:rsidR="00D83842" w:rsidRDefault="00000000" w:rsidP="00BA5F13">
      <w:pPr>
        <w:ind w:left="0" w:right="105" w:firstLine="0"/>
      </w:pPr>
      <w:r>
        <w:t xml:space="preserve">One off </w:t>
      </w:r>
      <w:proofErr w:type="gramStart"/>
      <w:r>
        <w:t>items</w:t>
      </w:r>
      <w:proofErr w:type="gramEnd"/>
      <w:r>
        <w:t xml:space="preserve"> in 2024/25 include: </w:t>
      </w:r>
    </w:p>
    <w:p w14:paraId="3EC1B665" w14:textId="77777777" w:rsidR="00D83842" w:rsidRDefault="00000000" w:rsidP="002D54A3">
      <w:pPr>
        <w:pStyle w:val="ListParagraph"/>
        <w:numPr>
          <w:ilvl w:val="0"/>
          <w:numId w:val="22"/>
        </w:numPr>
        <w:spacing w:after="120"/>
        <w:ind w:right="105"/>
      </w:pPr>
      <w:r>
        <w:lastRenderedPageBreak/>
        <w:t xml:space="preserve">Opportunities for four non-operational apprentices for two years have been identified that results in a </w:t>
      </w:r>
      <w:proofErr w:type="gramStart"/>
      <w:r>
        <w:t>one off</w:t>
      </w:r>
      <w:proofErr w:type="gramEnd"/>
      <w:r>
        <w:t xml:space="preserve"> item of £0.1m.  </w:t>
      </w:r>
    </w:p>
    <w:p w14:paraId="287F1EF4" w14:textId="77777777" w:rsidR="00D83842" w:rsidRDefault="00000000" w:rsidP="002D54A3">
      <w:pPr>
        <w:pStyle w:val="ListParagraph"/>
        <w:numPr>
          <w:ilvl w:val="0"/>
          <w:numId w:val="22"/>
        </w:numPr>
        <w:spacing w:after="137"/>
        <w:ind w:right="105"/>
      </w:pPr>
      <w:r>
        <w:t xml:space="preserve">Additional short-term funding of £0.4m is provided to meet resourcing pressures in support services. </w:t>
      </w:r>
    </w:p>
    <w:p w14:paraId="2FD33D73" w14:textId="77777777" w:rsidR="00D83842" w:rsidRDefault="00000000" w:rsidP="00BA5F13">
      <w:pPr>
        <w:ind w:left="0" w:right="105" w:firstLine="0"/>
      </w:pPr>
      <w:r>
        <w:t xml:space="preserve">Identified savings – These include: </w:t>
      </w:r>
    </w:p>
    <w:p w14:paraId="55E93134" w14:textId="77777777" w:rsidR="00D83842" w:rsidRDefault="00000000" w:rsidP="002D54A3">
      <w:pPr>
        <w:pStyle w:val="ListParagraph"/>
        <w:numPr>
          <w:ilvl w:val="0"/>
          <w:numId w:val="23"/>
        </w:numPr>
        <w:spacing w:after="122"/>
        <w:ind w:right="105"/>
      </w:pPr>
      <w:r>
        <w:t xml:space="preserve">A reduction in the Contribution to Capital of £1.5m is proposed, this results in a revenue contribution in 2024/25 of £2.5m; this is consistent with the average contribution made over the previous 10 years. See the Capital Strategy for further information on the Capital Programme. </w:t>
      </w:r>
    </w:p>
    <w:p w14:paraId="6E117C38" w14:textId="77777777" w:rsidR="00D83842" w:rsidRDefault="00000000" w:rsidP="002D54A3">
      <w:pPr>
        <w:pStyle w:val="ListParagraph"/>
        <w:numPr>
          <w:ilvl w:val="0"/>
          <w:numId w:val="23"/>
        </w:numPr>
        <w:spacing w:after="121"/>
        <w:ind w:right="105"/>
      </w:pPr>
      <w:r>
        <w:t xml:space="preserve">From 2026/27 efficiencies of £2.5m are required to be delivered and are included in the MTFS. </w:t>
      </w:r>
    </w:p>
    <w:p w14:paraId="2FD75280" w14:textId="77777777" w:rsidR="00D83842" w:rsidRDefault="00000000" w:rsidP="00BA5F13">
      <w:pPr>
        <w:spacing w:after="105"/>
        <w:ind w:left="0" w:right="105" w:firstLine="0"/>
      </w:pPr>
      <w:r>
        <w:t xml:space="preserve">Funding – Detailed assumptions are included in the MTFS, in broad terms the funding growth is between 2% and 3%.  </w:t>
      </w:r>
    </w:p>
    <w:p w14:paraId="7284D08A" w14:textId="77777777" w:rsidR="00D83842" w:rsidRDefault="00000000" w:rsidP="00BA5F13">
      <w:pPr>
        <w:ind w:left="0" w:right="105" w:firstLine="0"/>
      </w:pPr>
      <w:r>
        <w:t xml:space="preserve">The summary MTFS is set out below and in more detail in Appendix 1 of this report.  </w:t>
      </w:r>
    </w:p>
    <w:tbl>
      <w:tblPr>
        <w:tblStyle w:val="TableGrid"/>
        <w:tblW w:w="8531" w:type="dxa"/>
        <w:tblInd w:w="0" w:type="dxa"/>
        <w:tblCellMar>
          <w:top w:w="0" w:type="dxa"/>
          <w:left w:w="113" w:type="dxa"/>
          <w:bottom w:w="0" w:type="dxa"/>
          <w:right w:w="106" w:type="dxa"/>
        </w:tblCellMar>
        <w:tblLook w:val="04A0" w:firstRow="1" w:lastRow="0" w:firstColumn="1" w:lastColumn="0" w:noHBand="0" w:noVBand="1"/>
      </w:tblPr>
      <w:tblGrid>
        <w:gridCol w:w="2930"/>
        <w:gridCol w:w="1126"/>
        <w:gridCol w:w="1111"/>
        <w:gridCol w:w="1126"/>
        <w:gridCol w:w="1112"/>
        <w:gridCol w:w="1126"/>
      </w:tblGrid>
      <w:tr w:rsidR="00D83842" w14:paraId="40C32239" w14:textId="77777777" w:rsidTr="002D54A3">
        <w:trPr>
          <w:trHeight w:val="555"/>
        </w:trPr>
        <w:tc>
          <w:tcPr>
            <w:tcW w:w="2930" w:type="dxa"/>
            <w:tcBorders>
              <w:top w:val="nil"/>
              <w:left w:val="nil"/>
              <w:bottom w:val="single" w:sz="6" w:space="0" w:color="000000"/>
              <w:right w:val="single" w:sz="6" w:space="0" w:color="000000"/>
            </w:tcBorders>
            <w:vAlign w:val="center"/>
          </w:tcPr>
          <w:p w14:paraId="6C412861" w14:textId="77777777" w:rsidR="00D83842" w:rsidRDefault="00000000" w:rsidP="00BA5F13">
            <w:pPr>
              <w:spacing w:after="0" w:line="259" w:lineRule="auto"/>
              <w:ind w:left="0" w:right="0" w:firstLine="0"/>
              <w:jc w:val="left"/>
            </w:pPr>
            <w:r w:rsidRPr="00BA5F13">
              <w:rPr>
                <w:b/>
              </w:rPr>
              <w:t xml:space="preserve">Revenue MTFS </w:t>
            </w:r>
          </w:p>
        </w:tc>
        <w:tc>
          <w:tcPr>
            <w:tcW w:w="1126" w:type="dxa"/>
            <w:tcBorders>
              <w:top w:val="single" w:sz="6" w:space="0" w:color="000000"/>
              <w:left w:val="single" w:sz="6" w:space="0" w:color="000000"/>
              <w:bottom w:val="single" w:sz="6" w:space="0" w:color="000000"/>
              <w:right w:val="single" w:sz="6" w:space="0" w:color="000000"/>
            </w:tcBorders>
          </w:tcPr>
          <w:p w14:paraId="1AB700F5" w14:textId="77777777" w:rsidR="00D83842" w:rsidRDefault="00000000" w:rsidP="00BA5F13">
            <w:pPr>
              <w:spacing w:after="0" w:line="259" w:lineRule="auto"/>
              <w:ind w:left="0" w:right="0" w:firstLine="0"/>
              <w:jc w:val="center"/>
            </w:pPr>
            <w:r w:rsidRPr="00BA5F13">
              <w:rPr>
                <w:b/>
              </w:rPr>
              <w:t xml:space="preserve">24/25 £m </w:t>
            </w:r>
          </w:p>
        </w:tc>
        <w:tc>
          <w:tcPr>
            <w:tcW w:w="1111" w:type="dxa"/>
            <w:tcBorders>
              <w:top w:val="single" w:sz="6" w:space="0" w:color="000000"/>
              <w:left w:val="single" w:sz="6" w:space="0" w:color="000000"/>
              <w:bottom w:val="single" w:sz="6" w:space="0" w:color="000000"/>
              <w:right w:val="single" w:sz="6" w:space="0" w:color="000000"/>
            </w:tcBorders>
          </w:tcPr>
          <w:p w14:paraId="79AC8A3F" w14:textId="77777777" w:rsidR="00D83842" w:rsidRDefault="00000000" w:rsidP="00BA5F13">
            <w:pPr>
              <w:spacing w:after="0" w:line="259" w:lineRule="auto"/>
              <w:ind w:left="0" w:right="0" w:firstLine="0"/>
              <w:jc w:val="center"/>
            </w:pPr>
            <w:r w:rsidRPr="00BA5F13">
              <w:rPr>
                <w:b/>
              </w:rPr>
              <w:t xml:space="preserve">25/26 £m </w:t>
            </w:r>
          </w:p>
        </w:tc>
        <w:tc>
          <w:tcPr>
            <w:tcW w:w="1126" w:type="dxa"/>
            <w:tcBorders>
              <w:top w:val="single" w:sz="6" w:space="0" w:color="000000"/>
              <w:left w:val="single" w:sz="6" w:space="0" w:color="000000"/>
              <w:bottom w:val="single" w:sz="6" w:space="0" w:color="000000"/>
              <w:right w:val="single" w:sz="6" w:space="0" w:color="000000"/>
            </w:tcBorders>
          </w:tcPr>
          <w:p w14:paraId="6B408B85" w14:textId="77777777" w:rsidR="00D83842" w:rsidRDefault="00000000" w:rsidP="00BA5F13">
            <w:pPr>
              <w:spacing w:after="0" w:line="259" w:lineRule="auto"/>
              <w:ind w:left="0" w:right="0" w:firstLine="0"/>
              <w:jc w:val="center"/>
            </w:pPr>
            <w:r w:rsidRPr="00BA5F13">
              <w:rPr>
                <w:b/>
              </w:rPr>
              <w:t xml:space="preserve">26/27 £m </w:t>
            </w:r>
          </w:p>
        </w:tc>
        <w:tc>
          <w:tcPr>
            <w:tcW w:w="1112" w:type="dxa"/>
            <w:tcBorders>
              <w:top w:val="single" w:sz="6" w:space="0" w:color="000000"/>
              <w:left w:val="single" w:sz="6" w:space="0" w:color="000000"/>
              <w:bottom w:val="single" w:sz="6" w:space="0" w:color="000000"/>
              <w:right w:val="single" w:sz="6" w:space="0" w:color="000000"/>
            </w:tcBorders>
          </w:tcPr>
          <w:p w14:paraId="2635583E" w14:textId="77777777" w:rsidR="00D83842" w:rsidRDefault="00000000" w:rsidP="00BA5F13">
            <w:pPr>
              <w:spacing w:after="0" w:line="259" w:lineRule="auto"/>
              <w:ind w:left="0" w:right="0" w:firstLine="0"/>
              <w:jc w:val="center"/>
            </w:pPr>
            <w:r w:rsidRPr="00BA5F13">
              <w:rPr>
                <w:b/>
              </w:rPr>
              <w:t xml:space="preserve">27/28 £m </w:t>
            </w:r>
          </w:p>
        </w:tc>
        <w:tc>
          <w:tcPr>
            <w:tcW w:w="1126" w:type="dxa"/>
            <w:tcBorders>
              <w:top w:val="single" w:sz="6" w:space="0" w:color="000000"/>
              <w:left w:val="single" w:sz="6" w:space="0" w:color="000000"/>
              <w:bottom w:val="single" w:sz="6" w:space="0" w:color="000000"/>
              <w:right w:val="single" w:sz="6" w:space="0" w:color="000000"/>
            </w:tcBorders>
          </w:tcPr>
          <w:p w14:paraId="6786FDCA" w14:textId="77777777" w:rsidR="00D83842" w:rsidRDefault="00000000" w:rsidP="00BA5F13">
            <w:pPr>
              <w:spacing w:after="0" w:line="259" w:lineRule="auto"/>
              <w:ind w:left="0" w:right="0" w:firstLine="0"/>
              <w:jc w:val="left"/>
            </w:pPr>
            <w:r w:rsidRPr="00BA5F13">
              <w:rPr>
                <w:b/>
              </w:rPr>
              <w:t xml:space="preserve">28/29 £m </w:t>
            </w:r>
          </w:p>
        </w:tc>
      </w:tr>
      <w:tr w:rsidR="00D83842" w14:paraId="553BB545" w14:textId="77777777" w:rsidTr="002D54A3">
        <w:trPr>
          <w:trHeight w:val="300"/>
        </w:trPr>
        <w:tc>
          <w:tcPr>
            <w:tcW w:w="2930" w:type="dxa"/>
            <w:tcBorders>
              <w:top w:val="single" w:sz="6" w:space="0" w:color="000000"/>
              <w:left w:val="single" w:sz="6" w:space="0" w:color="000000"/>
              <w:bottom w:val="single" w:sz="6" w:space="0" w:color="000000"/>
              <w:right w:val="single" w:sz="6" w:space="0" w:color="000000"/>
            </w:tcBorders>
          </w:tcPr>
          <w:p w14:paraId="1904B781" w14:textId="77777777" w:rsidR="00D83842" w:rsidRDefault="00000000" w:rsidP="00BA5F13">
            <w:pPr>
              <w:spacing w:after="0" w:line="259" w:lineRule="auto"/>
              <w:ind w:left="0" w:right="0" w:firstLine="0"/>
              <w:jc w:val="left"/>
            </w:pPr>
            <w:r>
              <w:t xml:space="preserve">Base Budget </w:t>
            </w:r>
          </w:p>
        </w:tc>
        <w:tc>
          <w:tcPr>
            <w:tcW w:w="1126" w:type="dxa"/>
            <w:tcBorders>
              <w:top w:val="single" w:sz="6" w:space="0" w:color="000000"/>
              <w:left w:val="single" w:sz="6" w:space="0" w:color="000000"/>
              <w:bottom w:val="single" w:sz="6" w:space="0" w:color="000000"/>
              <w:right w:val="single" w:sz="6" w:space="0" w:color="000000"/>
            </w:tcBorders>
          </w:tcPr>
          <w:p w14:paraId="65009EB0" w14:textId="77777777" w:rsidR="00D83842" w:rsidRDefault="00000000" w:rsidP="00BA5F13">
            <w:pPr>
              <w:spacing w:after="0" w:line="259" w:lineRule="auto"/>
              <w:ind w:left="0" w:right="0" w:firstLine="0"/>
              <w:jc w:val="left"/>
            </w:pPr>
            <w:r>
              <w:t xml:space="preserve">71.6 </w:t>
            </w:r>
          </w:p>
        </w:tc>
        <w:tc>
          <w:tcPr>
            <w:tcW w:w="1111" w:type="dxa"/>
            <w:tcBorders>
              <w:top w:val="single" w:sz="6" w:space="0" w:color="000000"/>
              <w:left w:val="single" w:sz="6" w:space="0" w:color="000000"/>
              <w:bottom w:val="single" w:sz="6" w:space="0" w:color="000000"/>
              <w:right w:val="single" w:sz="6" w:space="0" w:color="000000"/>
            </w:tcBorders>
          </w:tcPr>
          <w:p w14:paraId="63D4A312" w14:textId="77777777" w:rsidR="00D83842" w:rsidRDefault="00000000" w:rsidP="00BA5F13">
            <w:pPr>
              <w:spacing w:after="0" w:line="259" w:lineRule="auto"/>
              <w:ind w:left="0" w:right="69" w:firstLine="0"/>
              <w:jc w:val="right"/>
            </w:pPr>
            <w:r>
              <w:t xml:space="preserve">75.2 </w:t>
            </w:r>
          </w:p>
        </w:tc>
        <w:tc>
          <w:tcPr>
            <w:tcW w:w="1126" w:type="dxa"/>
            <w:tcBorders>
              <w:top w:val="single" w:sz="6" w:space="0" w:color="000000"/>
              <w:left w:val="single" w:sz="6" w:space="0" w:color="000000"/>
              <w:bottom w:val="single" w:sz="6" w:space="0" w:color="000000"/>
              <w:right w:val="single" w:sz="6" w:space="0" w:color="000000"/>
            </w:tcBorders>
          </w:tcPr>
          <w:p w14:paraId="6F80E146" w14:textId="77777777" w:rsidR="00D83842" w:rsidRDefault="00000000" w:rsidP="00BA5F13">
            <w:pPr>
              <w:spacing w:after="0" w:line="259" w:lineRule="auto"/>
              <w:ind w:left="0" w:right="69" w:firstLine="0"/>
              <w:jc w:val="right"/>
            </w:pPr>
            <w:r>
              <w:t xml:space="preserve">76.5 </w:t>
            </w:r>
          </w:p>
        </w:tc>
        <w:tc>
          <w:tcPr>
            <w:tcW w:w="1112" w:type="dxa"/>
            <w:tcBorders>
              <w:top w:val="single" w:sz="6" w:space="0" w:color="000000"/>
              <w:left w:val="single" w:sz="6" w:space="0" w:color="000000"/>
              <w:bottom w:val="single" w:sz="6" w:space="0" w:color="000000"/>
              <w:right w:val="single" w:sz="6" w:space="0" w:color="000000"/>
            </w:tcBorders>
          </w:tcPr>
          <w:p w14:paraId="3E4F1E4F" w14:textId="77777777" w:rsidR="00D83842" w:rsidRDefault="00000000" w:rsidP="00BA5F13">
            <w:pPr>
              <w:spacing w:after="0" w:line="259" w:lineRule="auto"/>
              <w:ind w:left="0" w:right="69" w:firstLine="0"/>
              <w:jc w:val="right"/>
            </w:pPr>
            <w:r>
              <w:t xml:space="preserve">78.7 </w:t>
            </w:r>
          </w:p>
        </w:tc>
        <w:tc>
          <w:tcPr>
            <w:tcW w:w="1126" w:type="dxa"/>
            <w:tcBorders>
              <w:top w:val="single" w:sz="6" w:space="0" w:color="000000"/>
              <w:left w:val="single" w:sz="6" w:space="0" w:color="000000"/>
              <w:bottom w:val="single" w:sz="6" w:space="0" w:color="000000"/>
              <w:right w:val="single" w:sz="6" w:space="0" w:color="000000"/>
            </w:tcBorders>
          </w:tcPr>
          <w:p w14:paraId="7C4A9B7B" w14:textId="77777777" w:rsidR="00D83842" w:rsidRDefault="00000000" w:rsidP="00BA5F13">
            <w:pPr>
              <w:spacing w:after="0" w:line="259" w:lineRule="auto"/>
              <w:ind w:left="0" w:right="0" w:firstLine="0"/>
              <w:jc w:val="left"/>
            </w:pPr>
            <w:r>
              <w:t xml:space="preserve">81.0 </w:t>
            </w:r>
          </w:p>
        </w:tc>
      </w:tr>
      <w:tr w:rsidR="00D83842" w14:paraId="6C731ECF" w14:textId="77777777" w:rsidTr="002D54A3">
        <w:trPr>
          <w:trHeight w:val="285"/>
        </w:trPr>
        <w:tc>
          <w:tcPr>
            <w:tcW w:w="2930" w:type="dxa"/>
            <w:tcBorders>
              <w:top w:val="single" w:sz="6" w:space="0" w:color="000000"/>
              <w:left w:val="single" w:sz="6" w:space="0" w:color="000000"/>
              <w:bottom w:val="single" w:sz="6" w:space="0" w:color="000000"/>
              <w:right w:val="single" w:sz="6" w:space="0" w:color="000000"/>
            </w:tcBorders>
          </w:tcPr>
          <w:p w14:paraId="6EA5EE02" w14:textId="77777777" w:rsidR="00D83842" w:rsidRDefault="00000000" w:rsidP="00BA5F13">
            <w:pPr>
              <w:spacing w:after="0" w:line="259" w:lineRule="auto"/>
              <w:ind w:left="0" w:right="0" w:firstLine="0"/>
              <w:jc w:val="left"/>
            </w:pPr>
            <w:r>
              <w:t xml:space="preserve">Inflation </w:t>
            </w:r>
          </w:p>
        </w:tc>
        <w:tc>
          <w:tcPr>
            <w:tcW w:w="1126" w:type="dxa"/>
            <w:tcBorders>
              <w:top w:val="single" w:sz="6" w:space="0" w:color="000000"/>
              <w:left w:val="single" w:sz="6" w:space="0" w:color="000000"/>
              <w:bottom w:val="single" w:sz="6" w:space="0" w:color="000000"/>
              <w:right w:val="single" w:sz="6" w:space="0" w:color="000000"/>
            </w:tcBorders>
          </w:tcPr>
          <w:p w14:paraId="6EA8A9AD" w14:textId="77777777" w:rsidR="00D83842" w:rsidRDefault="00000000" w:rsidP="00BA5F13">
            <w:pPr>
              <w:spacing w:after="0" w:line="259" w:lineRule="auto"/>
              <w:ind w:left="0" w:right="84" w:firstLine="0"/>
              <w:jc w:val="right"/>
            </w:pPr>
            <w:r>
              <w:t xml:space="preserve">2.5 </w:t>
            </w:r>
          </w:p>
        </w:tc>
        <w:tc>
          <w:tcPr>
            <w:tcW w:w="1111" w:type="dxa"/>
            <w:tcBorders>
              <w:top w:val="single" w:sz="6" w:space="0" w:color="000000"/>
              <w:left w:val="single" w:sz="6" w:space="0" w:color="000000"/>
              <w:bottom w:val="single" w:sz="6" w:space="0" w:color="000000"/>
              <w:right w:val="single" w:sz="6" w:space="0" w:color="000000"/>
            </w:tcBorders>
          </w:tcPr>
          <w:p w14:paraId="578241DD" w14:textId="77777777" w:rsidR="00D83842" w:rsidRDefault="00000000" w:rsidP="00BA5F13">
            <w:pPr>
              <w:spacing w:after="0" w:line="259" w:lineRule="auto"/>
              <w:ind w:left="0" w:right="69" w:firstLine="0"/>
              <w:jc w:val="right"/>
            </w:pPr>
            <w:r>
              <w:t xml:space="preserve">1.6 </w:t>
            </w:r>
          </w:p>
        </w:tc>
        <w:tc>
          <w:tcPr>
            <w:tcW w:w="1126" w:type="dxa"/>
            <w:tcBorders>
              <w:top w:val="single" w:sz="6" w:space="0" w:color="000000"/>
              <w:left w:val="single" w:sz="6" w:space="0" w:color="000000"/>
              <w:bottom w:val="single" w:sz="6" w:space="0" w:color="000000"/>
              <w:right w:val="single" w:sz="6" w:space="0" w:color="000000"/>
            </w:tcBorders>
          </w:tcPr>
          <w:p w14:paraId="3B25AA68" w14:textId="77777777" w:rsidR="00D83842" w:rsidRDefault="00000000" w:rsidP="00BA5F13">
            <w:pPr>
              <w:spacing w:after="0" w:line="259" w:lineRule="auto"/>
              <w:ind w:left="0" w:right="69" w:firstLine="0"/>
              <w:jc w:val="right"/>
            </w:pPr>
            <w:r>
              <w:t xml:space="preserve">1.6 </w:t>
            </w:r>
          </w:p>
        </w:tc>
        <w:tc>
          <w:tcPr>
            <w:tcW w:w="1112" w:type="dxa"/>
            <w:tcBorders>
              <w:top w:val="single" w:sz="6" w:space="0" w:color="000000"/>
              <w:left w:val="single" w:sz="6" w:space="0" w:color="000000"/>
              <w:bottom w:val="single" w:sz="6" w:space="0" w:color="000000"/>
              <w:right w:val="single" w:sz="6" w:space="0" w:color="000000"/>
            </w:tcBorders>
          </w:tcPr>
          <w:p w14:paraId="2F071992" w14:textId="77777777" w:rsidR="00D83842" w:rsidRDefault="00000000" w:rsidP="00BA5F13">
            <w:pPr>
              <w:spacing w:after="0" w:line="259" w:lineRule="auto"/>
              <w:ind w:left="0" w:right="69" w:firstLine="0"/>
              <w:jc w:val="right"/>
            </w:pPr>
            <w:r>
              <w:t xml:space="preserve">1.6 </w:t>
            </w:r>
          </w:p>
        </w:tc>
        <w:tc>
          <w:tcPr>
            <w:tcW w:w="1126" w:type="dxa"/>
            <w:tcBorders>
              <w:top w:val="single" w:sz="6" w:space="0" w:color="000000"/>
              <w:left w:val="single" w:sz="6" w:space="0" w:color="000000"/>
              <w:bottom w:val="single" w:sz="6" w:space="0" w:color="000000"/>
              <w:right w:val="single" w:sz="6" w:space="0" w:color="000000"/>
            </w:tcBorders>
          </w:tcPr>
          <w:p w14:paraId="3E6CBBF3" w14:textId="77777777" w:rsidR="00D83842" w:rsidRDefault="00000000" w:rsidP="00BA5F13">
            <w:pPr>
              <w:spacing w:after="0" w:line="259" w:lineRule="auto"/>
              <w:ind w:left="0" w:right="84" w:firstLine="0"/>
              <w:jc w:val="right"/>
            </w:pPr>
            <w:r>
              <w:t xml:space="preserve">1.6 </w:t>
            </w:r>
          </w:p>
        </w:tc>
      </w:tr>
      <w:tr w:rsidR="00D83842" w14:paraId="7E1FBCC7" w14:textId="77777777" w:rsidTr="002D54A3">
        <w:trPr>
          <w:trHeight w:val="285"/>
        </w:trPr>
        <w:tc>
          <w:tcPr>
            <w:tcW w:w="2930" w:type="dxa"/>
            <w:tcBorders>
              <w:top w:val="single" w:sz="6" w:space="0" w:color="000000"/>
              <w:left w:val="single" w:sz="6" w:space="0" w:color="000000"/>
              <w:bottom w:val="single" w:sz="6" w:space="0" w:color="000000"/>
              <w:right w:val="single" w:sz="6" w:space="0" w:color="000000"/>
            </w:tcBorders>
          </w:tcPr>
          <w:p w14:paraId="1771DA9F" w14:textId="77777777" w:rsidR="00D83842" w:rsidRDefault="00000000" w:rsidP="00BA5F13">
            <w:pPr>
              <w:spacing w:after="0" w:line="259" w:lineRule="auto"/>
              <w:ind w:left="0" w:right="0" w:firstLine="0"/>
              <w:jc w:val="left"/>
            </w:pPr>
            <w:r>
              <w:t xml:space="preserve">Commitments  </w:t>
            </w:r>
          </w:p>
        </w:tc>
        <w:tc>
          <w:tcPr>
            <w:tcW w:w="1126" w:type="dxa"/>
            <w:tcBorders>
              <w:top w:val="single" w:sz="6" w:space="0" w:color="000000"/>
              <w:left w:val="single" w:sz="6" w:space="0" w:color="000000"/>
              <w:bottom w:val="single" w:sz="6" w:space="0" w:color="000000"/>
              <w:right w:val="single" w:sz="6" w:space="0" w:color="000000"/>
            </w:tcBorders>
          </w:tcPr>
          <w:p w14:paraId="05DCBD23" w14:textId="77777777" w:rsidR="00D83842" w:rsidRDefault="00000000" w:rsidP="00BA5F13">
            <w:pPr>
              <w:spacing w:after="0" w:line="259" w:lineRule="auto"/>
              <w:ind w:left="0" w:right="84" w:firstLine="0"/>
              <w:jc w:val="right"/>
            </w:pPr>
            <w:r>
              <w:t xml:space="preserve">1.3 </w:t>
            </w:r>
          </w:p>
        </w:tc>
        <w:tc>
          <w:tcPr>
            <w:tcW w:w="1111" w:type="dxa"/>
            <w:tcBorders>
              <w:top w:val="single" w:sz="6" w:space="0" w:color="000000"/>
              <w:left w:val="single" w:sz="6" w:space="0" w:color="000000"/>
              <w:bottom w:val="single" w:sz="6" w:space="0" w:color="000000"/>
              <w:right w:val="single" w:sz="6" w:space="0" w:color="000000"/>
            </w:tcBorders>
          </w:tcPr>
          <w:p w14:paraId="0050A41C" w14:textId="77777777" w:rsidR="00D83842" w:rsidRDefault="00000000" w:rsidP="00BA5F13">
            <w:pPr>
              <w:spacing w:after="0" w:line="259" w:lineRule="auto"/>
              <w:ind w:left="0" w:right="0" w:firstLine="0"/>
              <w:jc w:val="left"/>
            </w:pPr>
            <w:r>
              <w:t xml:space="preserve">(0.0) </w:t>
            </w:r>
          </w:p>
        </w:tc>
        <w:tc>
          <w:tcPr>
            <w:tcW w:w="1126" w:type="dxa"/>
            <w:tcBorders>
              <w:top w:val="single" w:sz="6" w:space="0" w:color="000000"/>
              <w:left w:val="single" w:sz="6" w:space="0" w:color="000000"/>
              <w:bottom w:val="single" w:sz="6" w:space="0" w:color="000000"/>
              <w:right w:val="single" w:sz="6" w:space="0" w:color="000000"/>
            </w:tcBorders>
          </w:tcPr>
          <w:p w14:paraId="30B48916" w14:textId="77777777" w:rsidR="00D83842" w:rsidRDefault="00000000" w:rsidP="00BA5F13">
            <w:pPr>
              <w:spacing w:after="0" w:line="259" w:lineRule="auto"/>
              <w:ind w:left="0" w:right="69" w:firstLine="0"/>
              <w:jc w:val="right"/>
            </w:pPr>
            <w:r>
              <w:t xml:space="preserve">0.5 </w:t>
            </w:r>
          </w:p>
        </w:tc>
        <w:tc>
          <w:tcPr>
            <w:tcW w:w="1112" w:type="dxa"/>
            <w:tcBorders>
              <w:top w:val="single" w:sz="6" w:space="0" w:color="000000"/>
              <w:left w:val="single" w:sz="6" w:space="0" w:color="000000"/>
              <w:bottom w:val="single" w:sz="6" w:space="0" w:color="000000"/>
              <w:right w:val="single" w:sz="6" w:space="0" w:color="000000"/>
            </w:tcBorders>
          </w:tcPr>
          <w:p w14:paraId="18FBCC57" w14:textId="77777777" w:rsidR="00D83842" w:rsidRDefault="00000000" w:rsidP="00BA5F13">
            <w:pPr>
              <w:spacing w:after="0" w:line="259" w:lineRule="auto"/>
              <w:ind w:left="0" w:right="69" w:firstLine="0"/>
              <w:jc w:val="right"/>
            </w:pPr>
            <w:r>
              <w:t xml:space="preserve">0.1 </w:t>
            </w:r>
          </w:p>
        </w:tc>
        <w:tc>
          <w:tcPr>
            <w:tcW w:w="1126" w:type="dxa"/>
            <w:tcBorders>
              <w:top w:val="single" w:sz="6" w:space="0" w:color="000000"/>
              <w:left w:val="single" w:sz="6" w:space="0" w:color="000000"/>
              <w:bottom w:val="single" w:sz="6" w:space="0" w:color="000000"/>
              <w:right w:val="single" w:sz="6" w:space="0" w:color="000000"/>
            </w:tcBorders>
          </w:tcPr>
          <w:p w14:paraId="0EDAE213" w14:textId="77777777" w:rsidR="00D83842" w:rsidRDefault="00000000" w:rsidP="00BA5F13">
            <w:pPr>
              <w:spacing w:after="0" w:line="259" w:lineRule="auto"/>
              <w:ind w:left="0" w:right="0" w:firstLine="0"/>
              <w:jc w:val="left"/>
            </w:pPr>
            <w:r>
              <w:t xml:space="preserve">(0.3) </w:t>
            </w:r>
          </w:p>
        </w:tc>
      </w:tr>
      <w:tr w:rsidR="00D83842" w14:paraId="2415FD47" w14:textId="77777777" w:rsidTr="002D54A3">
        <w:trPr>
          <w:trHeight w:val="286"/>
        </w:trPr>
        <w:tc>
          <w:tcPr>
            <w:tcW w:w="2930" w:type="dxa"/>
            <w:tcBorders>
              <w:top w:val="single" w:sz="6" w:space="0" w:color="000000"/>
              <w:left w:val="single" w:sz="6" w:space="0" w:color="000000"/>
              <w:bottom w:val="single" w:sz="6" w:space="0" w:color="000000"/>
              <w:right w:val="single" w:sz="6" w:space="0" w:color="000000"/>
            </w:tcBorders>
          </w:tcPr>
          <w:p w14:paraId="229A223E" w14:textId="77777777" w:rsidR="00D83842" w:rsidRDefault="00000000" w:rsidP="00BA5F13">
            <w:pPr>
              <w:spacing w:after="0" w:line="259" w:lineRule="auto"/>
              <w:ind w:left="0" w:right="0" w:firstLine="0"/>
              <w:jc w:val="left"/>
            </w:pPr>
            <w:r>
              <w:t xml:space="preserve">Growth – permanent  </w:t>
            </w:r>
          </w:p>
        </w:tc>
        <w:tc>
          <w:tcPr>
            <w:tcW w:w="1126" w:type="dxa"/>
            <w:tcBorders>
              <w:top w:val="single" w:sz="6" w:space="0" w:color="000000"/>
              <w:left w:val="single" w:sz="6" w:space="0" w:color="000000"/>
              <w:bottom w:val="single" w:sz="6" w:space="0" w:color="000000"/>
              <w:right w:val="single" w:sz="6" w:space="0" w:color="000000"/>
            </w:tcBorders>
          </w:tcPr>
          <w:p w14:paraId="0E20796C" w14:textId="77777777" w:rsidR="00D83842" w:rsidRDefault="00000000" w:rsidP="00BA5F13">
            <w:pPr>
              <w:spacing w:after="0" w:line="259" w:lineRule="auto"/>
              <w:ind w:left="0" w:right="84" w:firstLine="0"/>
              <w:jc w:val="right"/>
            </w:pPr>
            <w:r>
              <w:t xml:space="preserve">0.7 </w:t>
            </w:r>
          </w:p>
        </w:tc>
        <w:tc>
          <w:tcPr>
            <w:tcW w:w="1111" w:type="dxa"/>
            <w:tcBorders>
              <w:top w:val="single" w:sz="6" w:space="0" w:color="000000"/>
              <w:left w:val="single" w:sz="6" w:space="0" w:color="000000"/>
              <w:bottom w:val="single" w:sz="6" w:space="0" w:color="000000"/>
              <w:right w:val="single" w:sz="6" w:space="0" w:color="000000"/>
            </w:tcBorders>
          </w:tcPr>
          <w:p w14:paraId="0EDECFFF" w14:textId="77777777" w:rsidR="00D83842" w:rsidRDefault="00000000" w:rsidP="00BA5F13">
            <w:pPr>
              <w:spacing w:after="0" w:line="259" w:lineRule="auto"/>
              <w:ind w:left="0" w:right="69" w:firstLine="0"/>
              <w:jc w:val="right"/>
            </w:pPr>
            <w:r>
              <w:t xml:space="preserve">0.6 </w:t>
            </w:r>
          </w:p>
        </w:tc>
        <w:tc>
          <w:tcPr>
            <w:tcW w:w="1126" w:type="dxa"/>
            <w:tcBorders>
              <w:top w:val="single" w:sz="6" w:space="0" w:color="000000"/>
              <w:left w:val="single" w:sz="6" w:space="0" w:color="000000"/>
              <w:bottom w:val="single" w:sz="6" w:space="0" w:color="000000"/>
              <w:right w:val="single" w:sz="6" w:space="0" w:color="000000"/>
            </w:tcBorders>
          </w:tcPr>
          <w:p w14:paraId="14DE201D" w14:textId="77777777" w:rsidR="00D83842" w:rsidRDefault="00000000" w:rsidP="00BA5F13">
            <w:pPr>
              <w:spacing w:after="0" w:line="259" w:lineRule="auto"/>
              <w:ind w:left="0" w:right="69" w:firstLine="0"/>
              <w:jc w:val="right"/>
            </w:pPr>
            <w:r>
              <w:t xml:space="preserve">1.4 </w:t>
            </w:r>
          </w:p>
        </w:tc>
        <w:tc>
          <w:tcPr>
            <w:tcW w:w="1112" w:type="dxa"/>
            <w:tcBorders>
              <w:top w:val="single" w:sz="6" w:space="0" w:color="000000"/>
              <w:left w:val="single" w:sz="6" w:space="0" w:color="000000"/>
              <w:bottom w:val="single" w:sz="6" w:space="0" w:color="000000"/>
              <w:right w:val="single" w:sz="6" w:space="0" w:color="000000"/>
            </w:tcBorders>
          </w:tcPr>
          <w:p w14:paraId="2882AE09" w14:textId="77777777" w:rsidR="00D83842" w:rsidRDefault="00000000" w:rsidP="00BA5F13">
            <w:pPr>
              <w:spacing w:after="0" w:line="259" w:lineRule="auto"/>
              <w:ind w:left="0" w:right="69" w:firstLine="0"/>
              <w:jc w:val="right"/>
            </w:pPr>
            <w:r>
              <w:t xml:space="preserve">0.4 </w:t>
            </w:r>
          </w:p>
        </w:tc>
        <w:tc>
          <w:tcPr>
            <w:tcW w:w="1126" w:type="dxa"/>
            <w:tcBorders>
              <w:top w:val="single" w:sz="6" w:space="0" w:color="000000"/>
              <w:left w:val="single" w:sz="6" w:space="0" w:color="000000"/>
              <w:bottom w:val="single" w:sz="6" w:space="0" w:color="000000"/>
              <w:right w:val="single" w:sz="6" w:space="0" w:color="000000"/>
            </w:tcBorders>
          </w:tcPr>
          <w:p w14:paraId="385B5D45" w14:textId="77777777" w:rsidR="00D83842" w:rsidRDefault="00000000" w:rsidP="00BA5F13">
            <w:pPr>
              <w:spacing w:after="0" w:line="259" w:lineRule="auto"/>
              <w:ind w:left="0" w:right="84" w:firstLine="0"/>
              <w:jc w:val="right"/>
            </w:pPr>
            <w:r>
              <w:t xml:space="preserve">0.5 </w:t>
            </w:r>
          </w:p>
        </w:tc>
      </w:tr>
      <w:tr w:rsidR="00D83842" w14:paraId="72DF59B6" w14:textId="77777777" w:rsidTr="002D54A3">
        <w:trPr>
          <w:trHeight w:val="285"/>
        </w:trPr>
        <w:tc>
          <w:tcPr>
            <w:tcW w:w="2930" w:type="dxa"/>
            <w:tcBorders>
              <w:top w:val="single" w:sz="6" w:space="0" w:color="000000"/>
              <w:left w:val="single" w:sz="6" w:space="0" w:color="000000"/>
              <w:bottom w:val="single" w:sz="6" w:space="0" w:color="000000"/>
              <w:right w:val="single" w:sz="6" w:space="0" w:color="000000"/>
            </w:tcBorders>
          </w:tcPr>
          <w:p w14:paraId="7AA26521" w14:textId="77777777" w:rsidR="00D83842" w:rsidRDefault="00000000" w:rsidP="00BA5F13">
            <w:pPr>
              <w:spacing w:after="0" w:line="259" w:lineRule="auto"/>
              <w:ind w:left="0" w:right="0" w:firstLine="0"/>
              <w:jc w:val="left"/>
            </w:pPr>
            <w:r>
              <w:t xml:space="preserve">One-off items  </w:t>
            </w:r>
          </w:p>
        </w:tc>
        <w:tc>
          <w:tcPr>
            <w:tcW w:w="1126" w:type="dxa"/>
            <w:tcBorders>
              <w:top w:val="single" w:sz="6" w:space="0" w:color="000000"/>
              <w:left w:val="single" w:sz="6" w:space="0" w:color="000000"/>
              <w:bottom w:val="single" w:sz="6" w:space="0" w:color="000000"/>
              <w:right w:val="single" w:sz="6" w:space="0" w:color="000000"/>
            </w:tcBorders>
          </w:tcPr>
          <w:p w14:paraId="430EA91C" w14:textId="77777777" w:rsidR="00D83842" w:rsidRDefault="00000000" w:rsidP="00BA5F13">
            <w:pPr>
              <w:spacing w:after="0" w:line="259" w:lineRule="auto"/>
              <w:ind w:left="0" w:right="84" w:firstLine="0"/>
              <w:jc w:val="right"/>
            </w:pPr>
            <w:r>
              <w:t>0.5</w:t>
            </w:r>
            <w:r w:rsidRPr="00BA5F13">
              <w:rPr>
                <w:b/>
              </w:rPr>
              <w:t xml:space="preserve"> </w:t>
            </w:r>
          </w:p>
        </w:tc>
        <w:tc>
          <w:tcPr>
            <w:tcW w:w="1111" w:type="dxa"/>
            <w:tcBorders>
              <w:top w:val="single" w:sz="6" w:space="0" w:color="000000"/>
              <w:left w:val="single" w:sz="6" w:space="0" w:color="000000"/>
              <w:bottom w:val="single" w:sz="6" w:space="0" w:color="000000"/>
              <w:right w:val="single" w:sz="6" w:space="0" w:color="000000"/>
            </w:tcBorders>
          </w:tcPr>
          <w:p w14:paraId="247A7668" w14:textId="77777777" w:rsidR="00D83842" w:rsidRDefault="00000000" w:rsidP="00BA5F13">
            <w:pPr>
              <w:spacing w:after="0" w:line="259" w:lineRule="auto"/>
              <w:ind w:left="0" w:right="0" w:firstLine="0"/>
              <w:jc w:val="left"/>
            </w:pPr>
            <w:r>
              <w:t>(0.3)</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091D4874" w14:textId="77777777" w:rsidR="00D83842" w:rsidRDefault="00000000" w:rsidP="00BA5F13">
            <w:pPr>
              <w:spacing w:after="0" w:line="259" w:lineRule="auto"/>
              <w:ind w:left="0" w:right="69" w:firstLine="0"/>
              <w:jc w:val="right"/>
            </w:pPr>
            <w:r>
              <w:t>0.2</w:t>
            </w:r>
            <w:r w:rsidRPr="00BA5F13">
              <w:rPr>
                <w:b/>
              </w:rPr>
              <w:t xml:space="preserve"> </w:t>
            </w:r>
          </w:p>
        </w:tc>
        <w:tc>
          <w:tcPr>
            <w:tcW w:w="1112" w:type="dxa"/>
            <w:tcBorders>
              <w:top w:val="single" w:sz="6" w:space="0" w:color="000000"/>
              <w:left w:val="single" w:sz="6" w:space="0" w:color="000000"/>
              <w:bottom w:val="single" w:sz="6" w:space="0" w:color="000000"/>
              <w:right w:val="single" w:sz="6" w:space="0" w:color="000000"/>
            </w:tcBorders>
          </w:tcPr>
          <w:p w14:paraId="4371475B" w14:textId="77777777" w:rsidR="00D83842" w:rsidRDefault="00000000" w:rsidP="00BA5F13">
            <w:pPr>
              <w:spacing w:after="0" w:line="259" w:lineRule="auto"/>
              <w:ind w:left="0" w:right="0" w:firstLine="0"/>
              <w:jc w:val="left"/>
            </w:pPr>
            <w:r>
              <w:t>(0.3)</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6BCB5741" w14:textId="77777777" w:rsidR="00D83842" w:rsidRDefault="00000000" w:rsidP="00BA5F13">
            <w:pPr>
              <w:spacing w:after="0" w:line="259" w:lineRule="auto"/>
              <w:ind w:left="0" w:right="84" w:firstLine="0"/>
              <w:jc w:val="right"/>
            </w:pPr>
            <w:r>
              <w:t>0.1</w:t>
            </w:r>
            <w:r w:rsidRPr="00BA5F13">
              <w:rPr>
                <w:b/>
              </w:rPr>
              <w:t xml:space="preserve"> </w:t>
            </w:r>
          </w:p>
        </w:tc>
      </w:tr>
      <w:tr w:rsidR="00D83842" w14:paraId="664F3B42" w14:textId="77777777" w:rsidTr="002D54A3">
        <w:trPr>
          <w:trHeight w:val="285"/>
        </w:trPr>
        <w:tc>
          <w:tcPr>
            <w:tcW w:w="2930" w:type="dxa"/>
            <w:tcBorders>
              <w:top w:val="single" w:sz="6" w:space="0" w:color="000000"/>
              <w:left w:val="single" w:sz="6" w:space="0" w:color="000000"/>
              <w:bottom w:val="single" w:sz="6" w:space="0" w:color="000000"/>
              <w:right w:val="single" w:sz="6" w:space="0" w:color="000000"/>
            </w:tcBorders>
          </w:tcPr>
          <w:p w14:paraId="7D819A1E" w14:textId="77777777" w:rsidR="00D83842" w:rsidRDefault="00000000" w:rsidP="00BA5F13">
            <w:pPr>
              <w:spacing w:after="0" w:line="259" w:lineRule="auto"/>
              <w:ind w:left="0" w:right="0" w:firstLine="0"/>
              <w:jc w:val="left"/>
            </w:pPr>
            <w:r>
              <w:t xml:space="preserve">Identified Savings  </w:t>
            </w:r>
          </w:p>
        </w:tc>
        <w:tc>
          <w:tcPr>
            <w:tcW w:w="1126" w:type="dxa"/>
            <w:tcBorders>
              <w:top w:val="single" w:sz="6" w:space="0" w:color="000000"/>
              <w:left w:val="single" w:sz="6" w:space="0" w:color="000000"/>
              <w:bottom w:val="single" w:sz="6" w:space="0" w:color="000000"/>
              <w:right w:val="single" w:sz="6" w:space="0" w:color="000000"/>
            </w:tcBorders>
          </w:tcPr>
          <w:p w14:paraId="70026C9A" w14:textId="77777777" w:rsidR="00D83842" w:rsidRDefault="00000000" w:rsidP="00BA5F13">
            <w:pPr>
              <w:spacing w:after="0" w:line="259" w:lineRule="auto"/>
              <w:ind w:left="0" w:right="0" w:firstLine="0"/>
              <w:jc w:val="left"/>
            </w:pPr>
            <w:r>
              <w:t>(1.5)</w:t>
            </w:r>
            <w:r w:rsidRPr="00BA5F13">
              <w:rPr>
                <w:b/>
              </w:rPr>
              <w:t xml:space="preserve"> </w:t>
            </w:r>
          </w:p>
        </w:tc>
        <w:tc>
          <w:tcPr>
            <w:tcW w:w="1111" w:type="dxa"/>
            <w:tcBorders>
              <w:top w:val="single" w:sz="6" w:space="0" w:color="000000"/>
              <w:left w:val="single" w:sz="6" w:space="0" w:color="000000"/>
              <w:bottom w:val="single" w:sz="6" w:space="0" w:color="000000"/>
              <w:right w:val="single" w:sz="6" w:space="0" w:color="000000"/>
            </w:tcBorders>
          </w:tcPr>
          <w:p w14:paraId="280D4BF4" w14:textId="77777777" w:rsidR="00D83842" w:rsidRDefault="00000000" w:rsidP="00BA5F13">
            <w:pPr>
              <w:spacing w:after="0" w:line="259" w:lineRule="auto"/>
              <w:ind w:left="0" w:right="0" w:firstLine="0"/>
              <w:jc w:val="left"/>
            </w:pPr>
            <w:r>
              <w:t>(0.5)</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21279ACC" w14:textId="77777777" w:rsidR="00D83842" w:rsidRDefault="00000000" w:rsidP="00BA5F13">
            <w:pPr>
              <w:spacing w:after="0" w:line="259" w:lineRule="auto"/>
              <w:ind w:left="0" w:right="0" w:firstLine="0"/>
              <w:jc w:val="left"/>
            </w:pPr>
            <w:r>
              <w:t>(1.5)</w:t>
            </w:r>
            <w:r w:rsidRPr="00BA5F13">
              <w:rPr>
                <w:b/>
              </w:rPr>
              <w:t xml:space="preserve"> </w:t>
            </w:r>
          </w:p>
        </w:tc>
        <w:tc>
          <w:tcPr>
            <w:tcW w:w="1112" w:type="dxa"/>
            <w:tcBorders>
              <w:top w:val="single" w:sz="6" w:space="0" w:color="000000"/>
              <w:left w:val="single" w:sz="6" w:space="0" w:color="000000"/>
              <w:bottom w:val="single" w:sz="6" w:space="0" w:color="000000"/>
              <w:right w:val="single" w:sz="6" w:space="0" w:color="000000"/>
            </w:tcBorders>
          </w:tcPr>
          <w:p w14:paraId="076A3EB5" w14:textId="77777777" w:rsidR="00D83842" w:rsidRDefault="00000000" w:rsidP="00BA5F13">
            <w:pPr>
              <w:spacing w:after="0" w:line="259" w:lineRule="auto"/>
              <w:ind w:left="0" w:right="69" w:firstLine="0"/>
              <w:jc w:val="right"/>
            </w:pPr>
            <w:r>
              <w:t>0.5</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11F45AE2" w14:textId="77777777" w:rsidR="00D83842" w:rsidRDefault="00000000" w:rsidP="00BA5F13">
            <w:pPr>
              <w:spacing w:after="0" w:line="259" w:lineRule="auto"/>
              <w:ind w:left="0" w:right="84" w:firstLine="0"/>
              <w:jc w:val="right"/>
            </w:pPr>
            <w:r>
              <w:t>0.5</w:t>
            </w:r>
            <w:r w:rsidRPr="00BA5F13">
              <w:rPr>
                <w:b/>
              </w:rPr>
              <w:t xml:space="preserve"> </w:t>
            </w:r>
          </w:p>
        </w:tc>
      </w:tr>
      <w:tr w:rsidR="00D83842" w14:paraId="267F6A15" w14:textId="77777777" w:rsidTr="002D54A3">
        <w:trPr>
          <w:trHeight w:val="285"/>
        </w:trPr>
        <w:tc>
          <w:tcPr>
            <w:tcW w:w="2930" w:type="dxa"/>
            <w:tcBorders>
              <w:top w:val="single" w:sz="6" w:space="0" w:color="000000"/>
              <w:left w:val="single" w:sz="6" w:space="0" w:color="000000"/>
              <w:bottom w:val="single" w:sz="6" w:space="0" w:color="000000"/>
              <w:right w:val="single" w:sz="6" w:space="0" w:color="000000"/>
            </w:tcBorders>
          </w:tcPr>
          <w:p w14:paraId="08A144CC" w14:textId="77777777" w:rsidR="00D83842" w:rsidRDefault="00000000" w:rsidP="00BA5F13">
            <w:pPr>
              <w:spacing w:after="0" w:line="259" w:lineRule="auto"/>
              <w:ind w:left="0" w:right="0" w:firstLine="0"/>
              <w:jc w:val="left"/>
            </w:pPr>
            <w:r w:rsidRPr="00BA5F13">
              <w:rPr>
                <w:b/>
              </w:rPr>
              <w:t xml:space="preserve">Net Budget </w:t>
            </w:r>
          </w:p>
        </w:tc>
        <w:tc>
          <w:tcPr>
            <w:tcW w:w="1126" w:type="dxa"/>
            <w:tcBorders>
              <w:top w:val="single" w:sz="6" w:space="0" w:color="000000"/>
              <w:left w:val="single" w:sz="6" w:space="0" w:color="000000"/>
              <w:bottom w:val="single" w:sz="6" w:space="0" w:color="000000"/>
              <w:right w:val="single" w:sz="6" w:space="0" w:color="000000"/>
            </w:tcBorders>
          </w:tcPr>
          <w:p w14:paraId="2DD8F637" w14:textId="77777777" w:rsidR="00D83842" w:rsidRDefault="00000000" w:rsidP="00BA5F13">
            <w:pPr>
              <w:spacing w:after="0" w:line="259" w:lineRule="auto"/>
              <w:ind w:left="0" w:right="0" w:firstLine="0"/>
              <w:jc w:val="left"/>
            </w:pPr>
            <w:r w:rsidRPr="00BA5F13">
              <w:rPr>
                <w:b/>
              </w:rPr>
              <w:t xml:space="preserve">75.2 </w:t>
            </w:r>
          </w:p>
        </w:tc>
        <w:tc>
          <w:tcPr>
            <w:tcW w:w="1111" w:type="dxa"/>
            <w:tcBorders>
              <w:top w:val="single" w:sz="6" w:space="0" w:color="000000"/>
              <w:left w:val="single" w:sz="6" w:space="0" w:color="000000"/>
              <w:bottom w:val="single" w:sz="6" w:space="0" w:color="000000"/>
              <w:right w:val="single" w:sz="6" w:space="0" w:color="000000"/>
            </w:tcBorders>
          </w:tcPr>
          <w:p w14:paraId="776A66FB" w14:textId="77777777" w:rsidR="00D83842" w:rsidRDefault="00000000" w:rsidP="00BA5F13">
            <w:pPr>
              <w:spacing w:after="0" w:line="259" w:lineRule="auto"/>
              <w:ind w:left="0" w:right="69" w:firstLine="0"/>
              <w:jc w:val="right"/>
            </w:pPr>
            <w:r w:rsidRPr="00BA5F13">
              <w:rPr>
                <w:b/>
              </w:rPr>
              <w:t xml:space="preserve">76.5 </w:t>
            </w:r>
          </w:p>
        </w:tc>
        <w:tc>
          <w:tcPr>
            <w:tcW w:w="1126" w:type="dxa"/>
            <w:tcBorders>
              <w:top w:val="single" w:sz="6" w:space="0" w:color="000000"/>
              <w:left w:val="single" w:sz="6" w:space="0" w:color="000000"/>
              <w:bottom w:val="single" w:sz="6" w:space="0" w:color="000000"/>
              <w:right w:val="single" w:sz="6" w:space="0" w:color="000000"/>
            </w:tcBorders>
          </w:tcPr>
          <w:p w14:paraId="47FDA491" w14:textId="77777777" w:rsidR="00D83842" w:rsidRDefault="00000000" w:rsidP="00BA5F13">
            <w:pPr>
              <w:spacing w:after="0" w:line="259" w:lineRule="auto"/>
              <w:ind w:left="0" w:right="69" w:firstLine="0"/>
              <w:jc w:val="right"/>
            </w:pPr>
            <w:r w:rsidRPr="00BA5F13">
              <w:rPr>
                <w:b/>
              </w:rPr>
              <w:t xml:space="preserve">78.7 </w:t>
            </w:r>
          </w:p>
        </w:tc>
        <w:tc>
          <w:tcPr>
            <w:tcW w:w="1112" w:type="dxa"/>
            <w:tcBorders>
              <w:top w:val="single" w:sz="6" w:space="0" w:color="000000"/>
              <w:left w:val="single" w:sz="6" w:space="0" w:color="000000"/>
              <w:bottom w:val="single" w:sz="6" w:space="0" w:color="000000"/>
              <w:right w:val="single" w:sz="6" w:space="0" w:color="000000"/>
            </w:tcBorders>
          </w:tcPr>
          <w:p w14:paraId="689F3267" w14:textId="77777777" w:rsidR="00D83842" w:rsidRDefault="00000000" w:rsidP="00BA5F13">
            <w:pPr>
              <w:spacing w:after="0" w:line="259" w:lineRule="auto"/>
              <w:ind w:left="0" w:right="69" w:firstLine="0"/>
              <w:jc w:val="right"/>
            </w:pPr>
            <w:r w:rsidRPr="00BA5F13">
              <w:rPr>
                <w:b/>
              </w:rPr>
              <w:t xml:space="preserve">81.0 </w:t>
            </w:r>
          </w:p>
        </w:tc>
        <w:tc>
          <w:tcPr>
            <w:tcW w:w="1126" w:type="dxa"/>
            <w:tcBorders>
              <w:top w:val="single" w:sz="6" w:space="0" w:color="000000"/>
              <w:left w:val="single" w:sz="6" w:space="0" w:color="000000"/>
              <w:bottom w:val="single" w:sz="6" w:space="0" w:color="000000"/>
              <w:right w:val="single" w:sz="6" w:space="0" w:color="000000"/>
            </w:tcBorders>
          </w:tcPr>
          <w:p w14:paraId="3E5D908E" w14:textId="77777777" w:rsidR="00D83842" w:rsidRDefault="00000000" w:rsidP="00BA5F13">
            <w:pPr>
              <w:spacing w:after="0" w:line="259" w:lineRule="auto"/>
              <w:ind w:left="0" w:right="0" w:firstLine="0"/>
              <w:jc w:val="left"/>
            </w:pPr>
            <w:r w:rsidRPr="00BA5F13">
              <w:rPr>
                <w:b/>
              </w:rPr>
              <w:t xml:space="preserve">83.5 </w:t>
            </w:r>
          </w:p>
        </w:tc>
      </w:tr>
      <w:tr w:rsidR="00D83842" w14:paraId="2590A1D8" w14:textId="77777777" w:rsidTr="002D54A3">
        <w:trPr>
          <w:trHeight w:val="286"/>
        </w:trPr>
        <w:tc>
          <w:tcPr>
            <w:tcW w:w="2930" w:type="dxa"/>
            <w:tcBorders>
              <w:top w:val="single" w:sz="6" w:space="0" w:color="000000"/>
              <w:left w:val="nil"/>
              <w:bottom w:val="single" w:sz="6" w:space="0" w:color="000000"/>
              <w:right w:val="single" w:sz="6" w:space="0" w:color="000000"/>
            </w:tcBorders>
          </w:tcPr>
          <w:p w14:paraId="011580F3" w14:textId="42F69382" w:rsidR="00D83842" w:rsidRDefault="00D83842" w:rsidP="00BA5F13">
            <w:pPr>
              <w:spacing w:after="0" w:line="259" w:lineRule="auto"/>
              <w:ind w:left="0" w:right="0" w:firstLine="0"/>
              <w:jc w:val="left"/>
            </w:pPr>
          </w:p>
        </w:tc>
        <w:tc>
          <w:tcPr>
            <w:tcW w:w="1126" w:type="dxa"/>
            <w:tcBorders>
              <w:top w:val="single" w:sz="6" w:space="0" w:color="000000"/>
              <w:left w:val="single" w:sz="6" w:space="0" w:color="000000"/>
              <w:bottom w:val="single" w:sz="6" w:space="0" w:color="000000"/>
              <w:right w:val="single" w:sz="6" w:space="0" w:color="000000"/>
            </w:tcBorders>
          </w:tcPr>
          <w:p w14:paraId="31008B2C" w14:textId="7D1F0D20" w:rsidR="00D83842" w:rsidRDefault="00D83842" w:rsidP="00BA5F13">
            <w:pPr>
              <w:spacing w:after="0" w:line="259" w:lineRule="auto"/>
              <w:ind w:left="0" w:right="0" w:firstLine="0"/>
              <w:jc w:val="right"/>
            </w:pPr>
          </w:p>
        </w:tc>
        <w:tc>
          <w:tcPr>
            <w:tcW w:w="1111" w:type="dxa"/>
            <w:tcBorders>
              <w:top w:val="single" w:sz="6" w:space="0" w:color="000000"/>
              <w:left w:val="single" w:sz="6" w:space="0" w:color="000000"/>
              <w:bottom w:val="single" w:sz="6" w:space="0" w:color="000000"/>
              <w:right w:val="single" w:sz="6" w:space="0" w:color="000000"/>
            </w:tcBorders>
          </w:tcPr>
          <w:p w14:paraId="7CE7E6DB" w14:textId="63BB06A2" w:rsidR="00D83842" w:rsidRDefault="00D83842" w:rsidP="00BA5F13">
            <w:pPr>
              <w:spacing w:after="0" w:line="259" w:lineRule="auto"/>
              <w:ind w:left="0" w:right="0" w:firstLine="0"/>
              <w:jc w:val="right"/>
            </w:pPr>
          </w:p>
        </w:tc>
        <w:tc>
          <w:tcPr>
            <w:tcW w:w="1126" w:type="dxa"/>
            <w:tcBorders>
              <w:top w:val="single" w:sz="6" w:space="0" w:color="000000"/>
              <w:left w:val="single" w:sz="6" w:space="0" w:color="000000"/>
              <w:bottom w:val="single" w:sz="6" w:space="0" w:color="000000"/>
              <w:right w:val="single" w:sz="6" w:space="0" w:color="000000"/>
            </w:tcBorders>
          </w:tcPr>
          <w:p w14:paraId="67905D06" w14:textId="0912BAD0" w:rsidR="00D83842" w:rsidRDefault="00D83842" w:rsidP="00BA5F13">
            <w:pPr>
              <w:spacing w:after="0" w:line="259" w:lineRule="auto"/>
              <w:ind w:left="0" w:right="0" w:firstLine="0"/>
              <w:jc w:val="right"/>
            </w:pPr>
          </w:p>
        </w:tc>
        <w:tc>
          <w:tcPr>
            <w:tcW w:w="1112" w:type="dxa"/>
            <w:tcBorders>
              <w:top w:val="single" w:sz="6" w:space="0" w:color="000000"/>
              <w:left w:val="single" w:sz="6" w:space="0" w:color="000000"/>
              <w:bottom w:val="single" w:sz="6" w:space="0" w:color="000000"/>
              <w:right w:val="single" w:sz="6" w:space="0" w:color="000000"/>
            </w:tcBorders>
          </w:tcPr>
          <w:p w14:paraId="284DA259" w14:textId="21511811" w:rsidR="00D83842" w:rsidRDefault="00D83842" w:rsidP="00BA5F13">
            <w:pPr>
              <w:spacing w:after="0" w:line="259" w:lineRule="auto"/>
              <w:ind w:left="0" w:right="0" w:firstLine="0"/>
              <w:jc w:val="right"/>
            </w:pPr>
          </w:p>
        </w:tc>
        <w:tc>
          <w:tcPr>
            <w:tcW w:w="1126" w:type="dxa"/>
            <w:tcBorders>
              <w:top w:val="single" w:sz="6" w:space="0" w:color="000000"/>
              <w:left w:val="single" w:sz="6" w:space="0" w:color="000000"/>
              <w:bottom w:val="single" w:sz="6" w:space="0" w:color="000000"/>
              <w:right w:val="single" w:sz="6" w:space="0" w:color="000000"/>
            </w:tcBorders>
          </w:tcPr>
          <w:p w14:paraId="4559EAC7" w14:textId="12DF87FE" w:rsidR="00D83842" w:rsidRDefault="00D83842" w:rsidP="00BA5F13">
            <w:pPr>
              <w:spacing w:after="0" w:line="259" w:lineRule="auto"/>
              <w:ind w:left="0" w:right="15" w:firstLine="0"/>
              <w:jc w:val="right"/>
            </w:pPr>
          </w:p>
        </w:tc>
      </w:tr>
      <w:tr w:rsidR="00D83842" w14:paraId="01802CE3" w14:textId="77777777" w:rsidTr="002D54A3">
        <w:trPr>
          <w:trHeight w:val="285"/>
        </w:trPr>
        <w:tc>
          <w:tcPr>
            <w:tcW w:w="2930" w:type="dxa"/>
            <w:tcBorders>
              <w:top w:val="single" w:sz="6" w:space="0" w:color="000000"/>
              <w:left w:val="single" w:sz="6" w:space="0" w:color="000000"/>
              <w:bottom w:val="single" w:sz="6" w:space="0" w:color="000000"/>
              <w:right w:val="single" w:sz="6" w:space="0" w:color="000000"/>
            </w:tcBorders>
          </w:tcPr>
          <w:p w14:paraId="389DB53C" w14:textId="77777777" w:rsidR="00D83842" w:rsidRDefault="00000000" w:rsidP="00BA5F13">
            <w:pPr>
              <w:spacing w:after="0" w:line="259" w:lineRule="auto"/>
              <w:ind w:left="0" w:right="0" w:firstLine="0"/>
              <w:jc w:val="left"/>
            </w:pPr>
            <w:r>
              <w:t xml:space="preserve">Council Tax </w:t>
            </w:r>
          </w:p>
        </w:tc>
        <w:tc>
          <w:tcPr>
            <w:tcW w:w="1126" w:type="dxa"/>
            <w:tcBorders>
              <w:top w:val="single" w:sz="6" w:space="0" w:color="000000"/>
              <w:left w:val="single" w:sz="6" w:space="0" w:color="000000"/>
              <w:bottom w:val="single" w:sz="6" w:space="0" w:color="000000"/>
              <w:right w:val="single" w:sz="6" w:space="0" w:color="000000"/>
            </w:tcBorders>
          </w:tcPr>
          <w:p w14:paraId="153E8981" w14:textId="77777777" w:rsidR="00D83842" w:rsidRDefault="00000000" w:rsidP="00BA5F13">
            <w:pPr>
              <w:spacing w:after="0" w:line="259" w:lineRule="auto"/>
              <w:ind w:left="0" w:right="0" w:firstLine="0"/>
              <w:jc w:val="left"/>
            </w:pPr>
            <w:r>
              <w:t xml:space="preserve">(39.4) </w:t>
            </w:r>
          </w:p>
        </w:tc>
        <w:tc>
          <w:tcPr>
            <w:tcW w:w="1111" w:type="dxa"/>
            <w:tcBorders>
              <w:top w:val="single" w:sz="6" w:space="0" w:color="000000"/>
              <w:left w:val="single" w:sz="6" w:space="0" w:color="000000"/>
              <w:bottom w:val="single" w:sz="6" w:space="0" w:color="000000"/>
              <w:right w:val="single" w:sz="6" w:space="0" w:color="000000"/>
            </w:tcBorders>
          </w:tcPr>
          <w:p w14:paraId="1B2DD103" w14:textId="77777777" w:rsidR="00D83842" w:rsidRDefault="00000000" w:rsidP="00BA5F13">
            <w:pPr>
              <w:spacing w:after="0" w:line="259" w:lineRule="auto"/>
              <w:ind w:left="0" w:right="0" w:firstLine="0"/>
              <w:jc w:val="left"/>
            </w:pPr>
            <w:r>
              <w:t xml:space="preserve">(40.8) </w:t>
            </w:r>
          </w:p>
        </w:tc>
        <w:tc>
          <w:tcPr>
            <w:tcW w:w="1126" w:type="dxa"/>
            <w:tcBorders>
              <w:top w:val="single" w:sz="6" w:space="0" w:color="000000"/>
              <w:left w:val="single" w:sz="6" w:space="0" w:color="000000"/>
              <w:bottom w:val="single" w:sz="6" w:space="0" w:color="000000"/>
              <w:right w:val="single" w:sz="6" w:space="0" w:color="000000"/>
            </w:tcBorders>
          </w:tcPr>
          <w:p w14:paraId="47B82DF1" w14:textId="77777777" w:rsidR="00D83842" w:rsidRDefault="00000000" w:rsidP="00BA5F13">
            <w:pPr>
              <w:spacing w:after="0" w:line="259" w:lineRule="auto"/>
              <w:ind w:left="0" w:right="0" w:firstLine="0"/>
              <w:jc w:val="left"/>
            </w:pPr>
            <w:r>
              <w:t xml:space="preserve">(42.4) </w:t>
            </w:r>
          </w:p>
        </w:tc>
        <w:tc>
          <w:tcPr>
            <w:tcW w:w="1112" w:type="dxa"/>
            <w:tcBorders>
              <w:top w:val="single" w:sz="6" w:space="0" w:color="000000"/>
              <w:left w:val="single" w:sz="6" w:space="0" w:color="000000"/>
              <w:bottom w:val="single" w:sz="6" w:space="0" w:color="000000"/>
              <w:right w:val="single" w:sz="6" w:space="0" w:color="000000"/>
            </w:tcBorders>
          </w:tcPr>
          <w:p w14:paraId="7FC745D2" w14:textId="77777777" w:rsidR="00D83842" w:rsidRDefault="00000000" w:rsidP="00BA5F13">
            <w:pPr>
              <w:spacing w:after="0" w:line="259" w:lineRule="auto"/>
              <w:ind w:left="0" w:right="0" w:firstLine="0"/>
              <w:jc w:val="left"/>
            </w:pPr>
            <w:r>
              <w:t xml:space="preserve">(44.0) </w:t>
            </w:r>
          </w:p>
        </w:tc>
        <w:tc>
          <w:tcPr>
            <w:tcW w:w="1126" w:type="dxa"/>
            <w:tcBorders>
              <w:top w:val="single" w:sz="6" w:space="0" w:color="000000"/>
              <w:left w:val="single" w:sz="6" w:space="0" w:color="000000"/>
              <w:bottom w:val="single" w:sz="6" w:space="0" w:color="000000"/>
              <w:right w:val="single" w:sz="6" w:space="0" w:color="000000"/>
            </w:tcBorders>
          </w:tcPr>
          <w:p w14:paraId="1ACE903D" w14:textId="77777777" w:rsidR="00D83842" w:rsidRDefault="00000000" w:rsidP="00BA5F13">
            <w:pPr>
              <w:spacing w:after="0" w:line="259" w:lineRule="auto"/>
              <w:ind w:left="0" w:right="0" w:firstLine="0"/>
              <w:jc w:val="left"/>
            </w:pPr>
            <w:r>
              <w:t xml:space="preserve">(45.7) </w:t>
            </w:r>
          </w:p>
        </w:tc>
      </w:tr>
      <w:tr w:rsidR="00D83842" w14:paraId="71E7B699" w14:textId="77777777" w:rsidTr="002D54A3">
        <w:trPr>
          <w:trHeight w:val="285"/>
        </w:trPr>
        <w:tc>
          <w:tcPr>
            <w:tcW w:w="2930" w:type="dxa"/>
            <w:tcBorders>
              <w:top w:val="single" w:sz="6" w:space="0" w:color="000000"/>
              <w:left w:val="single" w:sz="6" w:space="0" w:color="000000"/>
              <w:bottom w:val="single" w:sz="6" w:space="0" w:color="000000"/>
              <w:right w:val="single" w:sz="6" w:space="0" w:color="000000"/>
            </w:tcBorders>
          </w:tcPr>
          <w:p w14:paraId="2D46A0D6" w14:textId="77777777" w:rsidR="00D83842" w:rsidRDefault="00000000" w:rsidP="00BA5F13">
            <w:pPr>
              <w:spacing w:after="0" w:line="259" w:lineRule="auto"/>
              <w:ind w:left="0" w:right="0" w:firstLine="0"/>
              <w:jc w:val="left"/>
            </w:pPr>
            <w:r>
              <w:t>Business Rates</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0994F735" w14:textId="77777777" w:rsidR="00D83842" w:rsidRDefault="00000000" w:rsidP="00BA5F13">
            <w:pPr>
              <w:spacing w:after="0" w:line="259" w:lineRule="auto"/>
              <w:ind w:left="0" w:right="0" w:firstLine="0"/>
              <w:jc w:val="left"/>
            </w:pPr>
            <w:r>
              <w:t>(21.3)</w:t>
            </w:r>
            <w:r w:rsidRPr="00BA5F13">
              <w:rPr>
                <w:b/>
              </w:rPr>
              <w:t xml:space="preserve"> </w:t>
            </w:r>
          </w:p>
        </w:tc>
        <w:tc>
          <w:tcPr>
            <w:tcW w:w="1111" w:type="dxa"/>
            <w:tcBorders>
              <w:top w:val="single" w:sz="6" w:space="0" w:color="000000"/>
              <w:left w:val="single" w:sz="6" w:space="0" w:color="000000"/>
              <w:bottom w:val="single" w:sz="6" w:space="0" w:color="000000"/>
              <w:right w:val="single" w:sz="6" w:space="0" w:color="000000"/>
            </w:tcBorders>
          </w:tcPr>
          <w:p w14:paraId="32DC537B" w14:textId="77777777" w:rsidR="00D83842" w:rsidRDefault="00000000" w:rsidP="00BA5F13">
            <w:pPr>
              <w:spacing w:after="0" w:line="259" w:lineRule="auto"/>
              <w:ind w:left="0" w:right="0" w:firstLine="0"/>
              <w:jc w:val="left"/>
            </w:pPr>
            <w:r>
              <w:t>(21.7)</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497B5FC0" w14:textId="77777777" w:rsidR="00D83842" w:rsidRDefault="00000000" w:rsidP="00BA5F13">
            <w:pPr>
              <w:spacing w:after="0" w:line="259" w:lineRule="auto"/>
              <w:ind w:left="0" w:right="0" w:firstLine="0"/>
              <w:jc w:val="left"/>
            </w:pPr>
            <w:r>
              <w:t>(22.1)</w:t>
            </w:r>
            <w:r w:rsidRPr="00BA5F13">
              <w:rPr>
                <w:b/>
              </w:rPr>
              <w:t xml:space="preserve"> </w:t>
            </w:r>
          </w:p>
        </w:tc>
        <w:tc>
          <w:tcPr>
            <w:tcW w:w="1112" w:type="dxa"/>
            <w:tcBorders>
              <w:top w:val="single" w:sz="6" w:space="0" w:color="000000"/>
              <w:left w:val="single" w:sz="6" w:space="0" w:color="000000"/>
              <w:bottom w:val="single" w:sz="6" w:space="0" w:color="000000"/>
              <w:right w:val="single" w:sz="6" w:space="0" w:color="000000"/>
            </w:tcBorders>
          </w:tcPr>
          <w:p w14:paraId="1D152494" w14:textId="77777777" w:rsidR="00D83842" w:rsidRDefault="00000000" w:rsidP="00BA5F13">
            <w:pPr>
              <w:spacing w:after="0" w:line="259" w:lineRule="auto"/>
              <w:ind w:left="0" w:right="0" w:firstLine="0"/>
              <w:jc w:val="left"/>
            </w:pPr>
            <w:r>
              <w:t>(22.6)</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4F28F910" w14:textId="77777777" w:rsidR="00D83842" w:rsidRDefault="00000000" w:rsidP="00BA5F13">
            <w:pPr>
              <w:spacing w:after="0" w:line="259" w:lineRule="auto"/>
              <w:ind w:left="0" w:right="0" w:firstLine="0"/>
              <w:jc w:val="left"/>
            </w:pPr>
            <w:r>
              <w:t>(23.0)</w:t>
            </w:r>
            <w:r w:rsidRPr="00BA5F13">
              <w:rPr>
                <w:b/>
              </w:rPr>
              <w:t xml:space="preserve"> </w:t>
            </w:r>
          </w:p>
        </w:tc>
      </w:tr>
      <w:tr w:rsidR="00D83842" w14:paraId="64C9181B" w14:textId="77777777" w:rsidTr="002D54A3">
        <w:trPr>
          <w:trHeight w:val="285"/>
        </w:trPr>
        <w:tc>
          <w:tcPr>
            <w:tcW w:w="2930" w:type="dxa"/>
            <w:tcBorders>
              <w:top w:val="single" w:sz="6" w:space="0" w:color="000000"/>
              <w:left w:val="single" w:sz="6" w:space="0" w:color="000000"/>
              <w:bottom w:val="single" w:sz="6" w:space="0" w:color="000000"/>
              <w:right w:val="single" w:sz="6" w:space="0" w:color="000000"/>
            </w:tcBorders>
          </w:tcPr>
          <w:p w14:paraId="6154F8FA" w14:textId="77777777" w:rsidR="00D83842" w:rsidRDefault="00000000" w:rsidP="00BA5F13">
            <w:pPr>
              <w:spacing w:after="0" w:line="259" w:lineRule="auto"/>
              <w:ind w:left="0" w:right="0" w:firstLine="0"/>
              <w:jc w:val="left"/>
            </w:pPr>
            <w:r>
              <w:t>Revenue Support Grant</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13E07028" w14:textId="77777777" w:rsidR="00D83842" w:rsidRDefault="00000000" w:rsidP="00BA5F13">
            <w:pPr>
              <w:spacing w:after="0" w:line="259" w:lineRule="auto"/>
              <w:ind w:left="0" w:right="0" w:firstLine="0"/>
              <w:jc w:val="left"/>
            </w:pPr>
            <w:r>
              <w:t>(13.5)</w:t>
            </w:r>
            <w:r w:rsidRPr="00BA5F13">
              <w:rPr>
                <w:b/>
              </w:rPr>
              <w:t xml:space="preserve"> </w:t>
            </w:r>
          </w:p>
        </w:tc>
        <w:tc>
          <w:tcPr>
            <w:tcW w:w="1111" w:type="dxa"/>
            <w:tcBorders>
              <w:top w:val="single" w:sz="6" w:space="0" w:color="000000"/>
              <w:left w:val="single" w:sz="6" w:space="0" w:color="000000"/>
              <w:bottom w:val="single" w:sz="6" w:space="0" w:color="000000"/>
              <w:right w:val="single" w:sz="6" w:space="0" w:color="000000"/>
            </w:tcBorders>
          </w:tcPr>
          <w:p w14:paraId="243B6023" w14:textId="77777777" w:rsidR="00D83842" w:rsidRDefault="00000000" w:rsidP="00BA5F13">
            <w:pPr>
              <w:spacing w:after="0" w:line="259" w:lineRule="auto"/>
              <w:ind w:left="0" w:right="0" w:firstLine="0"/>
              <w:jc w:val="left"/>
            </w:pPr>
            <w:r>
              <w:t>(13.9)</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14E3DBA2" w14:textId="77777777" w:rsidR="00D83842" w:rsidRDefault="00000000" w:rsidP="00BA5F13">
            <w:pPr>
              <w:spacing w:after="0" w:line="259" w:lineRule="auto"/>
              <w:ind w:left="0" w:right="0" w:firstLine="0"/>
              <w:jc w:val="left"/>
            </w:pPr>
            <w:r>
              <w:t>(14.1)</w:t>
            </w:r>
            <w:r w:rsidRPr="00BA5F13">
              <w:rPr>
                <w:b/>
              </w:rPr>
              <w:t xml:space="preserve"> </w:t>
            </w:r>
          </w:p>
        </w:tc>
        <w:tc>
          <w:tcPr>
            <w:tcW w:w="1112" w:type="dxa"/>
            <w:tcBorders>
              <w:top w:val="single" w:sz="6" w:space="0" w:color="000000"/>
              <w:left w:val="single" w:sz="6" w:space="0" w:color="000000"/>
              <w:bottom w:val="single" w:sz="6" w:space="0" w:color="000000"/>
              <w:right w:val="single" w:sz="6" w:space="0" w:color="000000"/>
            </w:tcBorders>
          </w:tcPr>
          <w:p w14:paraId="046DA32E" w14:textId="77777777" w:rsidR="00D83842" w:rsidRDefault="00000000" w:rsidP="00BA5F13">
            <w:pPr>
              <w:spacing w:after="0" w:line="259" w:lineRule="auto"/>
              <w:ind w:left="0" w:right="0" w:firstLine="0"/>
              <w:jc w:val="left"/>
            </w:pPr>
            <w:r>
              <w:t>(14.4)</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7D19E091" w14:textId="77777777" w:rsidR="00D83842" w:rsidRDefault="00000000" w:rsidP="00BA5F13">
            <w:pPr>
              <w:spacing w:after="0" w:line="259" w:lineRule="auto"/>
              <w:ind w:left="0" w:right="0" w:firstLine="0"/>
              <w:jc w:val="left"/>
            </w:pPr>
            <w:r>
              <w:t>(14.7)</w:t>
            </w:r>
            <w:r w:rsidRPr="00BA5F13">
              <w:rPr>
                <w:b/>
              </w:rPr>
              <w:t xml:space="preserve"> </w:t>
            </w:r>
          </w:p>
        </w:tc>
      </w:tr>
      <w:tr w:rsidR="00D83842" w14:paraId="49246F6F" w14:textId="77777777" w:rsidTr="002D54A3">
        <w:trPr>
          <w:trHeight w:val="286"/>
        </w:trPr>
        <w:tc>
          <w:tcPr>
            <w:tcW w:w="2930" w:type="dxa"/>
            <w:tcBorders>
              <w:top w:val="single" w:sz="6" w:space="0" w:color="000000"/>
              <w:left w:val="single" w:sz="6" w:space="0" w:color="000000"/>
              <w:bottom w:val="single" w:sz="6" w:space="0" w:color="000000"/>
              <w:right w:val="single" w:sz="6" w:space="0" w:color="000000"/>
            </w:tcBorders>
          </w:tcPr>
          <w:p w14:paraId="11AEA059" w14:textId="77777777" w:rsidR="00D83842" w:rsidRDefault="00000000" w:rsidP="00BA5F13">
            <w:pPr>
              <w:spacing w:after="0" w:line="259" w:lineRule="auto"/>
              <w:ind w:left="0" w:right="0" w:firstLine="0"/>
              <w:jc w:val="left"/>
            </w:pPr>
            <w:r>
              <w:t>Other Grants</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734A3651" w14:textId="77777777" w:rsidR="00D83842" w:rsidRDefault="00000000" w:rsidP="00BA5F13">
            <w:pPr>
              <w:spacing w:after="0" w:line="259" w:lineRule="auto"/>
              <w:ind w:left="0" w:right="0" w:firstLine="0"/>
              <w:jc w:val="left"/>
            </w:pPr>
            <w:r>
              <w:t>(1.0)</w:t>
            </w:r>
            <w:r w:rsidRPr="00BA5F13">
              <w:rPr>
                <w:b/>
              </w:rPr>
              <w:t xml:space="preserve"> </w:t>
            </w:r>
          </w:p>
        </w:tc>
        <w:tc>
          <w:tcPr>
            <w:tcW w:w="1111" w:type="dxa"/>
            <w:tcBorders>
              <w:top w:val="single" w:sz="6" w:space="0" w:color="000000"/>
              <w:left w:val="single" w:sz="6" w:space="0" w:color="000000"/>
              <w:bottom w:val="single" w:sz="6" w:space="0" w:color="000000"/>
              <w:right w:val="single" w:sz="6" w:space="0" w:color="000000"/>
            </w:tcBorders>
          </w:tcPr>
          <w:p w14:paraId="0112C647" w14:textId="77777777" w:rsidR="00D83842" w:rsidRDefault="00000000" w:rsidP="00BA5F13">
            <w:pPr>
              <w:spacing w:after="0" w:line="259" w:lineRule="auto"/>
              <w:ind w:left="0" w:right="0" w:firstLine="0"/>
              <w:jc w:val="left"/>
            </w:pPr>
            <w:r>
              <w:t>(0.1)</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484D4737" w14:textId="77777777" w:rsidR="00D83842" w:rsidRDefault="00000000" w:rsidP="00BA5F13">
            <w:pPr>
              <w:spacing w:after="0" w:line="259" w:lineRule="auto"/>
              <w:ind w:left="0" w:right="0" w:firstLine="0"/>
              <w:jc w:val="left"/>
            </w:pPr>
            <w:r>
              <w:t>(0.1)</w:t>
            </w:r>
            <w:r w:rsidRPr="00BA5F13">
              <w:rPr>
                <w:b/>
              </w:rPr>
              <w:t xml:space="preserve"> </w:t>
            </w:r>
          </w:p>
        </w:tc>
        <w:tc>
          <w:tcPr>
            <w:tcW w:w="1112" w:type="dxa"/>
            <w:tcBorders>
              <w:top w:val="single" w:sz="6" w:space="0" w:color="000000"/>
              <w:left w:val="single" w:sz="6" w:space="0" w:color="000000"/>
              <w:bottom w:val="single" w:sz="6" w:space="0" w:color="000000"/>
              <w:right w:val="single" w:sz="6" w:space="0" w:color="000000"/>
            </w:tcBorders>
          </w:tcPr>
          <w:p w14:paraId="57B1F660" w14:textId="77777777" w:rsidR="00D83842" w:rsidRDefault="00000000" w:rsidP="00BA5F13">
            <w:pPr>
              <w:spacing w:after="0" w:line="259" w:lineRule="auto"/>
              <w:ind w:left="0" w:right="0" w:firstLine="0"/>
              <w:jc w:val="left"/>
            </w:pPr>
            <w:r>
              <w:t>(0.1)</w:t>
            </w:r>
            <w:r w:rsidRPr="00BA5F13">
              <w:rPr>
                <w:b/>
              </w:rPr>
              <w:t xml:space="preserve"> </w:t>
            </w:r>
          </w:p>
        </w:tc>
        <w:tc>
          <w:tcPr>
            <w:tcW w:w="1126" w:type="dxa"/>
            <w:tcBorders>
              <w:top w:val="single" w:sz="6" w:space="0" w:color="000000"/>
              <w:left w:val="single" w:sz="6" w:space="0" w:color="000000"/>
              <w:bottom w:val="single" w:sz="6" w:space="0" w:color="000000"/>
              <w:right w:val="single" w:sz="6" w:space="0" w:color="000000"/>
            </w:tcBorders>
          </w:tcPr>
          <w:p w14:paraId="6145ADAB" w14:textId="77777777" w:rsidR="00D83842" w:rsidRDefault="00000000" w:rsidP="00BA5F13">
            <w:pPr>
              <w:spacing w:after="0" w:line="259" w:lineRule="auto"/>
              <w:ind w:left="0" w:right="0" w:firstLine="0"/>
              <w:jc w:val="left"/>
            </w:pPr>
            <w:r>
              <w:t>(0.1)</w:t>
            </w:r>
            <w:r w:rsidRPr="00BA5F13">
              <w:rPr>
                <w:b/>
              </w:rPr>
              <w:t xml:space="preserve"> </w:t>
            </w:r>
          </w:p>
        </w:tc>
      </w:tr>
      <w:tr w:rsidR="00D83842" w14:paraId="4A0FFE41" w14:textId="77777777" w:rsidTr="002D54A3">
        <w:trPr>
          <w:trHeight w:val="285"/>
        </w:trPr>
        <w:tc>
          <w:tcPr>
            <w:tcW w:w="2930" w:type="dxa"/>
            <w:tcBorders>
              <w:top w:val="single" w:sz="6" w:space="0" w:color="000000"/>
              <w:left w:val="single" w:sz="6" w:space="0" w:color="000000"/>
              <w:bottom w:val="single" w:sz="6" w:space="0" w:color="000000"/>
              <w:right w:val="single" w:sz="6" w:space="0" w:color="000000"/>
            </w:tcBorders>
          </w:tcPr>
          <w:p w14:paraId="15D3C7E6" w14:textId="77777777" w:rsidR="00D83842" w:rsidRDefault="00000000" w:rsidP="00BA5F13">
            <w:pPr>
              <w:spacing w:after="0" w:line="259" w:lineRule="auto"/>
              <w:ind w:left="0" w:right="0" w:firstLine="0"/>
              <w:jc w:val="left"/>
            </w:pPr>
            <w:r w:rsidRPr="00BA5F13">
              <w:rPr>
                <w:b/>
              </w:rPr>
              <w:t xml:space="preserve">Funding </w:t>
            </w:r>
          </w:p>
        </w:tc>
        <w:tc>
          <w:tcPr>
            <w:tcW w:w="1126" w:type="dxa"/>
            <w:tcBorders>
              <w:top w:val="single" w:sz="6" w:space="0" w:color="000000"/>
              <w:left w:val="single" w:sz="6" w:space="0" w:color="000000"/>
              <w:bottom w:val="single" w:sz="6" w:space="0" w:color="000000"/>
              <w:right w:val="single" w:sz="6" w:space="0" w:color="000000"/>
            </w:tcBorders>
          </w:tcPr>
          <w:p w14:paraId="78A87C79" w14:textId="77777777" w:rsidR="00D83842" w:rsidRDefault="00000000" w:rsidP="00BA5F13">
            <w:pPr>
              <w:spacing w:after="0" w:line="259" w:lineRule="auto"/>
              <w:ind w:left="0" w:right="0" w:firstLine="0"/>
              <w:jc w:val="left"/>
            </w:pPr>
            <w:r w:rsidRPr="00BA5F13">
              <w:rPr>
                <w:b/>
              </w:rPr>
              <w:t xml:space="preserve">(75.2) </w:t>
            </w:r>
          </w:p>
        </w:tc>
        <w:tc>
          <w:tcPr>
            <w:tcW w:w="1111" w:type="dxa"/>
            <w:tcBorders>
              <w:top w:val="single" w:sz="6" w:space="0" w:color="000000"/>
              <w:left w:val="single" w:sz="6" w:space="0" w:color="000000"/>
              <w:bottom w:val="single" w:sz="6" w:space="0" w:color="000000"/>
              <w:right w:val="single" w:sz="6" w:space="0" w:color="000000"/>
            </w:tcBorders>
          </w:tcPr>
          <w:p w14:paraId="72BC1774" w14:textId="77777777" w:rsidR="00D83842" w:rsidRDefault="00000000" w:rsidP="00BA5F13">
            <w:pPr>
              <w:spacing w:after="0" w:line="259" w:lineRule="auto"/>
              <w:ind w:left="0" w:right="0" w:firstLine="0"/>
              <w:jc w:val="left"/>
            </w:pPr>
            <w:r w:rsidRPr="00BA5F13">
              <w:rPr>
                <w:b/>
              </w:rPr>
              <w:t xml:space="preserve">(76.5) </w:t>
            </w:r>
          </w:p>
        </w:tc>
        <w:tc>
          <w:tcPr>
            <w:tcW w:w="1126" w:type="dxa"/>
            <w:tcBorders>
              <w:top w:val="single" w:sz="6" w:space="0" w:color="000000"/>
              <w:left w:val="single" w:sz="6" w:space="0" w:color="000000"/>
              <w:bottom w:val="single" w:sz="6" w:space="0" w:color="000000"/>
              <w:right w:val="single" w:sz="6" w:space="0" w:color="000000"/>
            </w:tcBorders>
          </w:tcPr>
          <w:p w14:paraId="34DCB3C1" w14:textId="77777777" w:rsidR="00D83842" w:rsidRDefault="00000000" w:rsidP="00BA5F13">
            <w:pPr>
              <w:spacing w:after="0" w:line="259" w:lineRule="auto"/>
              <w:ind w:left="0" w:right="0" w:firstLine="0"/>
              <w:jc w:val="left"/>
            </w:pPr>
            <w:r w:rsidRPr="00BA5F13">
              <w:rPr>
                <w:b/>
              </w:rPr>
              <w:t xml:space="preserve">(78.7) </w:t>
            </w:r>
          </w:p>
        </w:tc>
        <w:tc>
          <w:tcPr>
            <w:tcW w:w="1112" w:type="dxa"/>
            <w:tcBorders>
              <w:top w:val="single" w:sz="6" w:space="0" w:color="000000"/>
              <w:left w:val="single" w:sz="6" w:space="0" w:color="000000"/>
              <w:bottom w:val="single" w:sz="6" w:space="0" w:color="000000"/>
              <w:right w:val="single" w:sz="6" w:space="0" w:color="000000"/>
            </w:tcBorders>
          </w:tcPr>
          <w:p w14:paraId="11E8BB46" w14:textId="77777777" w:rsidR="00D83842" w:rsidRDefault="00000000" w:rsidP="00BA5F13">
            <w:pPr>
              <w:spacing w:after="0" w:line="259" w:lineRule="auto"/>
              <w:ind w:left="0" w:right="0" w:firstLine="0"/>
              <w:jc w:val="left"/>
            </w:pPr>
            <w:r w:rsidRPr="00BA5F13">
              <w:rPr>
                <w:b/>
              </w:rPr>
              <w:t xml:space="preserve">(81.0) </w:t>
            </w:r>
          </w:p>
        </w:tc>
        <w:tc>
          <w:tcPr>
            <w:tcW w:w="1126" w:type="dxa"/>
            <w:tcBorders>
              <w:top w:val="single" w:sz="6" w:space="0" w:color="000000"/>
              <w:left w:val="single" w:sz="6" w:space="0" w:color="000000"/>
              <w:bottom w:val="single" w:sz="6" w:space="0" w:color="000000"/>
              <w:right w:val="single" w:sz="6" w:space="0" w:color="000000"/>
            </w:tcBorders>
          </w:tcPr>
          <w:p w14:paraId="28651CD6" w14:textId="77777777" w:rsidR="00D83842" w:rsidRDefault="00000000" w:rsidP="00BA5F13">
            <w:pPr>
              <w:spacing w:after="0" w:line="259" w:lineRule="auto"/>
              <w:ind w:left="0" w:right="0" w:firstLine="0"/>
              <w:jc w:val="left"/>
            </w:pPr>
            <w:r w:rsidRPr="00BA5F13">
              <w:rPr>
                <w:b/>
              </w:rPr>
              <w:t xml:space="preserve">(83.5) </w:t>
            </w:r>
          </w:p>
        </w:tc>
      </w:tr>
    </w:tbl>
    <w:p w14:paraId="6299EC83" w14:textId="77777777" w:rsidR="00D83842" w:rsidRDefault="00000000" w:rsidP="00BA5F13">
      <w:pPr>
        <w:pStyle w:val="Heading1"/>
        <w:ind w:left="0" w:firstLine="0"/>
      </w:pPr>
      <w:r>
        <w:t xml:space="preserve">MTFS Risks and Scenarios </w:t>
      </w:r>
    </w:p>
    <w:p w14:paraId="461342D1" w14:textId="77777777" w:rsidR="00D83842" w:rsidRDefault="00000000" w:rsidP="00BA5F13">
      <w:pPr>
        <w:spacing w:after="243" w:line="243" w:lineRule="auto"/>
        <w:ind w:left="0" w:right="104" w:firstLine="0"/>
        <w:jc w:val="left"/>
      </w:pPr>
      <w:r>
        <w:t xml:space="preserve">The following significant financial risks have been identified and assessed by the Director of Corporate Services and he feels these are adequately covered within the budget estimates presented or within the level of reserves currently held: </w:t>
      </w:r>
    </w:p>
    <w:p w14:paraId="6BF734F9" w14:textId="77777777" w:rsidR="00D83842" w:rsidRDefault="00000000" w:rsidP="002D54A3">
      <w:pPr>
        <w:pStyle w:val="ListParagraph"/>
        <w:numPr>
          <w:ilvl w:val="0"/>
          <w:numId w:val="24"/>
        </w:numPr>
        <w:ind w:right="105"/>
      </w:pPr>
      <w:r>
        <w:lastRenderedPageBreak/>
        <w:t xml:space="preserve">Reductions in levels of funding over and above those forecasted. </w:t>
      </w:r>
    </w:p>
    <w:p w14:paraId="05B827A0" w14:textId="77777777" w:rsidR="00D83842" w:rsidRDefault="00000000" w:rsidP="002D54A3">
      <w:pPr>
        <w:pStyle w:val="ListParagraph"/>
        <w:numPr>
          <w:ilvl w:val="0"/>
          <w:numId w:val="24"/>
        </w:numPr>
        <w:ind w:right="105"/>
      </w:pPr>
      <w:r>
        <w:t xml:space="preserve">Changes to the Business Rates Retention Scheme. </w:t>
      </w:r>
    </w:p>
    <w:p w14:paraId="04D4DFA6" w14:textId="77777777" w:rsidR="00D83842" w:rsidRDefault="00000000" w:rsidP="002D54A3">
      <w:pPr>
        <w:pStyle w:val="ListParagraph"/>
        <w:numPr>
          <w:ilvl w:val="0"/>
          <w:numId w:val="24"/>
        </w:numPr>
        <w:spacing w:after="138"/>
        <w:ind w:right="105"/>
      </w:pPr>
      <w:r>
        <w:t xml:space="preserve">Adverse changes because of the implementation of the Fair Funding Review. </w:t>
      </w:r>
    </w:p>
    <w:p w14:paraId="75949175" w14:textId="77777777" w:rsidR="00D83842" w:rsidRDefault="00000000" w:rsidP="002D54A3">
      <w:pPr>
        <w:pStyle w:val="ListParagraph"/>
        <w:numPr>
          <w:ilvl w:val="0"/>
          <w:numId w:val="24"/>
        </w:numPr>
        <w:ind w:right="105"/>
      </w:pPr>
      <w:r>
        <w:t xml:space="preserve">Reduction in Council Tax funding. </w:t>
      </w:r>
    </w:p>
    <w:p w14:paraId="5F9D3182" w14:textId="77777777" w:rsidR="00D83842" w:rsidRDefault="00000000" w:rsidP="002D54A3">
      <w:pPr>
        <w:pStyle w:val="ListParagraph"/>
        <w:numPr>
          <w:ilvl w:val="0"/>
          <w:numId w:val="24"/>
        </w:numPr>
        <w:ind w:right="105"/>
      </w:pPr>
      <w:r>
        <w:t xml:space="preserve">Higher than anticipated inflation. </w:t>
      </w:r>
    </w:p>
    <w:p w14:paraId="2C8139BF" w14:textId="77777777" w:rsidR="00D83842" w:rsidRDefault="00000000" w:rsidP="002D54A3">
      <w:pPr>
        <w:pStyle w:val="ListParagraph"/>
        <w:numPr>
          <w:ilvl w:val="0"/>
          <w:numId w:val="24"/>
        </w:numPr>
        <w:ind w:right="105"/>
      </w:pPr>
      <w:r>
        <w:t xml:space="preserve">Larger increases in pension costs. </w:t>
      </w:r>
    </w:p>
    <w:p w14:paraId="74910EFA" w14:textId="77777777" w:rsidR="00D83842" w:rsidRDefault="00000000" w:rsidP="002D54A3">
      <w:pPr>
        <w:pStyle w:val="ListParagraph"/>
        <w:numPr>
          <w:ilvl w:val="0"/>
          <w:numId w:val="24"/>
        </w:numPr>
        <w:ind w:right="105"/>
      </w:pPr>
      <w:r>
        <w:t xml:space="preserve">Significant changes to retirement profiles. </w:t>
      </w:r>
    </w:p>
    <w:p w14:paraId="7BF88EAB" w14:textId="77777777" w:rsidR="00D83842" w:rsidRDefault="00000000" w:rsidP="002D54A3">
      <w:pPr>
        <w:pStyle w:val="ListParagraph"/>
        <w:numPr>
          <w:ilvl w:val="0"/>
          <w:numId w:val="24"/>
        </w:numPr>
        <w:ind w:right="105"/>
      </w:pPr>
      <w:r>
        <w:t xml:space="preserve">Increase in demand led pressures. </w:t>
      </w:r>
    </w:p>
    <w:p w14:paraId="09862E16" w14:textId="77777777" w:rsidR="00D83842" w:rsidRDefault="00000000" w:rsidP="002D54A3">
      <w:pPr>
        <w:pStyle w:val="ListParagraph"/>
        <w:numPr>
          <w:ilvl w:val="0"/>
          <w:numId w:val="24"/>
        </w:numPr>
        <w:ind w:right="105"/>
      </w:pPr>
      <w:r>
        <w:t xml:space="preserve">Higher insurance claims. </w:t>
      </w:r>
    </w:p>
    <w:p w14:paraId="7BA2AE1F" w14:textId="77777777" w:rsidR="00D83842" w:rsidRDefault="00000000" w:rsidP="00BA5F13">
      <w:pPr>
        <w:spacing w:after="11"/>
        <w:ind w:left="0" w:right="104" w:firstLine="0"/>
        <w:jc w:val="left"/>
      </w:pPr>
      <w:r>
        <w:t xml:space="preserve">The key budget risks are quantified below in the following budget scenarios: </w:t>
      </w:r>
    </w:p>
    <w:tbl>
      <w:tblPr>
        <w:tblStyle w:val="TableGrid"/>
        <w:tblW w:w="8111" w:type="dxa"/>
        <w:tblInd w:w="0" w:type="dxa"/>
        <w:tblCellMar>
          <w:top w:w="0" w:type="dxa"/>
          <w:left w:w="113" w:type="dxa"/>
          <w:bottom w:w="0" w:type="dxa"/>
          <w:right w:w="46" w:type="dxa"/>
        </w:tblCellMar>
        <w:tblLook w:val="04A0" w:firstRow="1" w:lastRow="0" w:firstColumn="1" w:lastColumn="0" w:noHBand="0" w:noVBand="1"/>
      </w:tblPr>
      <w:tblGrid>
        <w:gridCol w:w="3846"/>
        <w:gridCol w:w="856"/>
        <w:gridCol w:w="856"/>
        <w:gridCol w:w="841"/>
        <w:gridCol w:w="856"/>
        <w:gridCol w:w="856"/>
      </w:tblGrid>
      <w:tr w:rsidR="00D83842" w14:paraId="6C48E5C8" w14:textId="77777777" w:rsidTr="002D54A3">
        <w:trPr>
          <w:trHeight w:val="570"/>
        </w:trPr>
        <w:tc>
          <w:tcPr>
            <w:tcW w:w="3846" w:type="dxa"/>
            <w:tcBorders>
              <w:top w:val="nil"/>
              <w:left w:val="nil"/>
              <w:bottom w:val="single" w:sz="6" w:space="0" w:color="000000"/>
              <w:right w:val="single" w:sz="6" w:space="0" w:color="000000"/>
            </w:tcBorders>
            <w:vAlign w:val="center"/>
          </w:tcPr>
          <w:p w14:paraId="2AFEDAF1" w14:textId="76748D9E" w:rsidR="00D83842" w:rsidRDefault="00000000" w:rsidP="002D54A3">
            <w:pPr>
              <w:spacing w:after="0" w:line="259" w:lineRule="auto"/>
              <w:ind w:left="41" w:right="0" w:firstLine="0"/>
              <w:jc w:val="left"/>
            </w:pPr>
            <w:r w:rsidRPr="00BA5F13">
              <w:rPr>
                <w:b/>
              </w:rPr>
              <w:t xml:space="preserve">Budget Scenarios </w:t>
            </w:r>
          </w:p>
        </w:tc>
        <w:tc>
          <w:tcPr>
            <w:tcW w:w="856" w:type="dxa"/>
            <w:tcBorders>
              <w:top w:val="single" w:sz="6" w:space="0" w:color="000000"/>
              <w:left w:val="single" w:sz="6" w:space="0" w:color="000000"/>
              <w:bottom w:val="single" w:sz="6" w:space="0" w:color="000000"/>
              <w:right w:val="single" w:sz="6" w:space="0" w:color="000000"/>
            </w:tcBorders>
          </w:tcPr>
          <w:p w14:paraId="0E2216D0" w14:textId="77777777" w:rsidR="00D83842" w:rsidRDefault="00000000" w:rsidP="002D54A3">
            <w:pPr>
              <w:spacing w:after="0" w:line="259" w:lineRule="auto"/>
              <w:ind w:left="41" w:right="0" w:firstLine="0"/>
              <w:jc w:val="left"/>
            </w:pPr>
            <w:r w:rsidRPr="00BA5F13">
              <w:rPr>
                <w:b/>
              </w:rPr>
              <w:t xml:space="preserve">24/25 £m </w:t>
            </w:r>
          </w:p>
        </w:tc>
        <w:tc>
          <w:tcPr>
            <w:tcW w:w="856" w:type="dxa"/>
            <w:tcBorders>
              <w:top w:val="single" w:sz="6" w:space="0" w:color="000000"/>
              <w:left w:val="single" w:sz="6" w:space="0" w:color="000000"/>
              <w:bottom w:val="single" w:sz="6" w:space="0" w:color="000000"/>
              <w:right w:val="single" w:sz="6" w:space="0" w:color="000000"/>
            </w:tcBorders>
          </w:tcPr>
          <w:p w14:paraId="4CD1D313" w14:textId="77777777" w:rsidR="00D83842" w:rsidRDefault="00000000" w:rsidP="002D54A3">
            <w:pPr>
              <w:spacing w:after="0" w:line="259" w:lineRule="auto"/>
              <w:ind w:left="41" w:right="0" w:firstLine="0"/>
              <w:jc w:val="left"/>
            </w:pPr>
            <w:r w:rsidRPr="00BA5F13">
              <w:rPr>
                <w:b/>
              </w:rPr>
              <w:t xml:space="preserve">25/26 £m </w:t>
            </w:r>
          </w:p>
        </w:tc>
        <w:tc>
          <w:tcPr>
            <w:tcW w:w="841" w:type="dxa"/>
            <w:tcBorders>
              <w:top w:val="single" w:sz="6" w:space="0" w:color="000000"/>
              <w:left w:val="single" w:sz="6" w:space="0" w:color="000000"/>
              <w:bottom w:val="single" w:sz="6" w:space="0" w:color="000000"/>
              <w:right w:val="single" w:sz="6" w:space="0" w:color="000000"/>
            </w:tcBorders>
          </w:tcPr>
          <w:p w14:paraId="289B4B82" w14:textId="77777777" w:rsidR="00D83842" w:rsidRDefault="00000000" w:rsidP="002D54A3">
            <w:pPr>
              <w:spacing w:after="0" w:line="259" w:lineRule="auto"/>
              <w:ind w:left="41" w:right="0" w:firstLine="0"/>
              <w:jc w:val="center"/>
            </w:pPr>
            <w:r w:rsidRPr="00BA5F13">
              <w:rPr>
                <w:b/>
              </w:rPr>
              <w:t xml:space="preserve">26/27 £m </w:t>
            </w:r>
          </w:p>
        </w:tc>
        <w:tc>
          <w:tcPr>
            <w:tcW w:w="856" w:type="dxa"/>
            <w:tcBorders>
              <w:top w:val="single" w:sz="6" w:space="0" w:color="000000"/>
              <w:left w:val="single" w:sz="6" w:space="0" w:color="000000"/>
              <w:bottom w:val="single" w:sz="6" w:space="0" w:color="000000"/>
              <w:right w:val="single" w:sz="6" w:space="0" w:color="000000"/>
            </w:tcBorders>
          </w:tcPr>
          <w:p w14:paraId="68AC7844" w14:textId="77777777" w:rsidR="00D83842" w:rsidRDefault="00000000" w:rsidP="002D54A3">
            <w:pPr>
              <w:spacing w:after="0" w:line="259" w:lineRule="auto"/>
              <w:ind w:left="41" w:right="0" w:firstLine="0"/>
              <w:jc w:val="left"/>
            </w:pPr>
            <w:r w:rsidRPr="00BA5F13">
              <w:rPr>
                <w:b/>
              </w:rPr>
              <w:t xml:space="preserve">27/28 £m </w:t>
            </w:r>
          </w:p>
        </w:tc>
        <w:tc>
          <w:tcPr>
            <w:tcW w:w="856" w:type="dxa"/>
            <w:tcBorders>
              <w:top w:val="single" w:sz="6" w:space="0" w:color="000000"/>
              <w:left w:val="single" w:sz="6" w:space="0" w:color="000000"/>
              <w:bottom w:val="single" w:sz="6" w:space="0" w:color="000000"/>
              <w:right w:val="single" w:sz="6" w:space="0" w:color="000000"/>
            </w:tcBorders>
          </w:tcPr>
          <w:p w14:paraId="3B8EB1D4" w14:textId="77777777" w:rsidR="00D83842" w:rsidRDefault="00000000" w:rsidP="002D54A3">
            <w:pPr>
              <w:spacing w:after="0" w:line="259" w:lineRule="auto"/>
              <w:ind w:left="41" w:right="0" w:firstLine="0"/>
              <w:jc w:val="left"/>
            </w:pPr>
            <w:r w:rsidRPr="00BA5F13">
              <w:rPr>
                <w:b/>
              </w:rPr>
              <w:t xml:space="preserve">28/29 £m </w:t>
            </w:r>
          </w:p>
        </w:tc>
      </w:tr>
      <w:tr w:rsidR="00D83842" w14:paraId="45A4A781" w14:textId="77777777" w:rsidTr="002D54A3">
        <w:trPr>
          <w:trHeight w:val="286"/>
        </w:trPr>
        <w:tc>
          <w:tcPr>
            <w:tcW w:w="3846" w:type="dxa"/>
            <w:tcBorders>
              <w:top w:val="single" w:sz="6" w:space="0" w:color="000000"/>
              <w:left w:val="single" w:sz="6" w:space="0" w:color="000000"/>
              <w:bottom w:val="single" w:sz="6" w:space="0" w:color="000000"/>
              <w:right w:val="single" w:sz="6" w:space="0" w:color="000000"/>
            </w:tcBorders>
          </w:tcPr>
          <w:p w14:paraId="43A42CB5" w14:textId="77777777" w:rsidR="00D83842" w:rsidRDefault="00000000" w:rsidP="002D54A3">
            <w:pPr>
              <w:spacing w:after="0" w:line="259" w:lineRule="auto"/>
              <w:ind w:left="41" w:right="0" w:firstLine="0"/>
              <w:jc w:val="left"/>
            </w:pPr>
            <w:r>
              <w:t xml:space="preserve">General Reserve </w:t>
            </w:r>
          </w:p>
        </w:tc>
        <w:tc>
          <w:tcPr>
            <w:tcW w:w="856" w:type="dxa"/>
            <w:tcBorders>
              <w:top w:val="single" w:sz="6" w:space="0" w:color="000000"/>
              <w:left w:val="single" w:sz="6" w:space="0" w:color="000000"/>
              <w:bottom w:val="single" w:sz="6" w:space="0" w:color="000000"/>
              <w:right w:val="single" w:sz="6" w:space="0" w:color="000000"/>
            </w:tcBorders>
          </w:tcPr>
          <w:p w14:paraId="0C53E9C2" w14:textId="77777777" w:rsidR="00D83842" w:rsidRDefault="00000000" w:rsidP="002D54A3">
            <w:pPr>
              <w:spacing w:after="0" w:line="259" w:lineRule="auto"/>
              <w:ind w:left="41" w:right="0" w:firstLine="0"/>
              <w:jc w:val="left"/>
            </w:pPr>
            <w:r>
              <w:t xml:space="preserve">4.8 </w:t>
            </w:r>
          </w:p>
        </w:tc>
        <w:tc>
          <w:tcPr>
            <w:tcW w:w="856" w:type="dxa"/>
            <w:tcBorders>
              <w:top w:val="single" w:sz="6" w:space="0" w:color="000000"/>
              <w:left w:val="single" w:sz="6" w:space="0" w:color="000000"/>
              <w:bottom w:val="single" w:sz="6" w:space="0" w:color="000000"/>
              <w:right w:val="single" w:sz="6" w:space="0" w:color="000000"/>
            </w:tcBorders>
          </w:tcPr>
          <w:p w14:paraId="0A3B6E54" w14:textId="77777777" w:rsidR="00D83842" w:rsidRDefault="00000000" w:rsidP="002D54A3">
            <w:pPr>
              <w:spacing w:after="0" w:line="259" w:lineRule="auto"/>
              <w:ind w:left="41" w:right="0" w:firstLine="0"/>
              <w:jc w:val="left"/>
            </w:pPr>
            <w:r>
              <w:t xml:space="preserve">4.9 </w:t>
            </w:r>
          </w:p>
        </w:tc>
        <w:tc>
          <w:tcPr>
            <w:tcW w:w="841" w:type="dxa"/>
            <w:tcBorders>
              <w:top w:val="single" w:sz="6" w:space="0" w:color="000000"/>
              <w:left w:val="single" w:sz="6" w:space="0" w:color="000000"/>
              <w:bottom w:val="single" w:sz="6" w:space="0" w:color="000000"/>
              <w:right w:val="single" w:sz="6" w:space="0" w:color="000000"/>
            </w:tcBorders>
          </w:tcPr>
          <w:p w14:paraId="25043E7F" w14:textId="77777777" w:rsidR="00D83842" w:rsidRDefault="00000000" w:rsidP="002D54A3">
            <w:pPr>
              <w:spacing w:after="0" w:line="259" w:lineRule="auto"/>
              <w:ind w:left="41" w:right="0" w:firstLine="0"/>
              <w:jc w:val="left"/>
            </w:pPr>
            <w:r>
              <w:t xml:space="preserve">5.1 </w:t>
            </w:r>
          </w:p>
        </w:tc>
        <w:tc>
          <w:tcPr>
            <w:tcW w:w="856" w:type="dxa"/>
            <w:tcBorders>
              <w:top w:val="single" w:sz="6" w:space="0" w:color="000000"/>
              <w:left w:val="single" w:sz="6" w:space="0" w:color="000000"/>
              <w:bottom w:val="single" w:sz="6" w:space="0" w:color="000000"/>
              <w:right w:val="single" w:sz="6" w:space="0" w:color="000000"/>
            </w:tcBorders>
          </w:tcPr>
          <w:p w14:paraId="2EDE4788" w14:textId="77777777" w:rsidR="00D83842" w:rsidRDefault="00000000" w:rsidP="002D54A3">
            <w:pPr>
              <w:spacing w:after="0" w:line="259" w:lineRule="auto"/>
              <w:ind w:left="41" w:right="0" w:firstLine="0"/>
              <w:jc w:val="left"/>
            </w:pPr>
            <w:r>
              <w:t xml:space="preserve">4.9 </w:t>
            </w:r>
          </w:p>
        </w:tc>
        <w:tc>
          <w:tcPr>
            <w:tcW w:w="856" w:type="dxa"/>
            <w:tcBorders>
              <w:top w:val="single" w:sz="6" w:space="0" w:color="000000"/>
              <w:left w:val="single" w:sz="6" w:space="0" w:color="000000"/>
              <w:bottom w:val="single" w:sz="6" w:space="0" w:color="000000"/>
              <w:right w:val="single" w:sz="6" w:space="0" w:color="000000"/>
            </w:tcBorders>
          </w:tcPr>
          <w:p w14:paraId="206B0B7E" w14:textId="77777777" w:rsidR="00D83842" w:rsidRDefault="00000000" w:rsidP="002D54A3">
            <w:pPr>
              <w:spacing w:after="0" w:line="259" w:lineRule="auto"/>
              <w:ind w:left="41" w:right="0" w:firstLine="0"/>
              <w:jc w:val="left"/>
            </w:pPr>
            <w:r>
              <w:t xml:space="preserve">4.9 </w:t>
            </w:r>
          </w:p>
        </w:tc>
      </w:tr>
      <w:tr w:rsidR="00D83842" w14:paraId="14ECC6E6" w14:textId="77777777" w:rsidTr="002D54A3">
        <w:trPr>
          <w:trHeight w:val="285"/>
        </w:trPr>
        <w:tc>
          <w:tcPr>
            <w:tcW w:w="3846" w:type="dxa"/>
            <w:tcBorders>
              <w:top w:val="single" w:sz="6" w:space="0" w:color="000000"/>
              <w:left w:val="single" w:sz="6" w:space="0" w:color="000000"/>
              <w:bottom w:val="single" w:sz="6" w:space="0" w:color="000000"/>
              <w:right w:val="single" w:sz="6" w:space="0" w:color="000000"/>
            </w:tcBorders>
          </w:tcPr>
          <w:p w14:paraId="58BAEBAF" w14:textId="77777777" w:rsidR="00D83842" w:rsidRDefault="00000000" w:rsidP="002D54A3">
            <w:pPr>
              <w:spacing w:after="0" w:line="259" w:lineRule="auto"/>
              <w:ind w:left="41" w:right="0" w:firstLine="0"/>
              <w:jc w:val="left"/>
            </w:pPr>
            <w:r>
              <w:t xml:space="preserve">Revised GR after: </w:t>
            </w:r>
          </w:p>
        </w:tc>
        <w:tc>
          <w:tcPr>
            <w:tcW w:w="856" w:type="dxa"/>
            <w:tcBorders>
              <w:top w:val="single" w:sz="6" w:space="0" w:color="000000"/>
              <w:left w:val="single" w:sz="6" w:space="0" w:color="000000"/>
              <w:bottom w:val="single" w:sz="6" w:space="0" w:color="000000"/>
              <w:right w:val="single" w:sz="6" w:space="0" w:color="000000"/>
            </w:tcBorders>
          </w:tcPr>
          <w:p w14:paraId="15F08107" w14:textId="01B569DD" w:rsidR="00D83842" w:rsidRDefault="00D83842" w:rsidP="002D54A3">
            <w:pPr>
              <w:spacing w:after="0" w:line="259" w:lineRule="auto"/>
              <w:ind w:left="41" w:right="75" w:firstLine="0"/>
              <w:jc w:val="right"/>
            </w:pPr>
          </w:p>
        </w:tc>
        <w:tc>
          <w:tcPr>
            <w:tcW w:w="856" w:type="dxa"/>
            <w:tcBorders>
              <w:top w:val="single" w:sz="6" w:space="0" w:color="000000"/>
              <w:left w:val="single" w:sz="6" w:space="0" w:color="000000"/>
              <w:bottom w:val="single" w:sz="6" w:space="0" w:color="000000"/>
              <w:right w:val="single" w:sz="6" w:space="0" w:color="000000"/>
            </w:tcBorders>
          </w:tcPr>
          <w:p w14:paraId="4692A4F6" w14:textId="201CE249" w:rsidR="00D83842" w:rsidRDefault="00D83842" w:rsidP="002D54A3">
            <w:pPr>
              <w:spacing w:after="0" w:line="259" w:lineRule="auto"/>
              <w:ind w:left="41" w:right="75" w:firstLine="0"/>
              <w:jc w:val="right"/>
            </w:pPr>
          </w:p>
        </w:tc>
        <w:tc>
          <w:tcPr>
            <w:tcW w:w="841" w:type="dxa"/>
            <w:tcBorders>
              <w:top w:val="single" w:sz="6" w:space="0" w:color="000000"/>
              <w:left w:val="single" w:sz="6" w:space="0" w:color="000000"/>
              <w:bottom w:val="single" w:sz="6" w:space="0" w:color="000000"/>
              <w:right w:val="single" w:sz="6" w:space="0" w:color="000000"/>
            </w:tcBorders>
          </w:tcPr>
          <w:p w14:paraId="02CF4CC9" w14:textId="5036E96E" w:rsidR="00D83842" w:rsidRDefault="00D83842" w:rsidP="002D54A3">
            <w:pPr>
              <w:spacing w:after="0" w:line="259" w:lineRule="auto"/>
              <w:ind w:left="41" w:right="61" w:firstLine="0"/>
              <w:jc w:val="right"/>
            </w:pPr>
          </w:p>
        </w:tc>
        <w:tc>
          <w:tcPr>
            <w:tcW w:w="856" w:type="dxa"/>
            <w:tcBorders>
              <w:top w:val="single" w:sz="6" w:space="0" w:color="000000"/>
              <w:left w:val="single" w:sz="6" w:space="0" w:color="000000"/>
              <w:bottom w:val="single" w:sz="6" w:space="0" w:color="000000"/>
              <w:right w:val="single" w:sz="6" w:space="0" w:color="000000"/>
            </w:tcBorders>
          </w:tcPr>
          <w:p w14:paraId="65C15F35" w14:textId="280595F5" w:rsidR="00D83842" w:rsidRDefault="00D83842" w:rsidP="002D54A3">
            <w:pPr>
              <w:spacing w:after="0" w:line="259" w:lineRule="auto"/>
              <w:ind w:left="41" w:right="60" w:firstLine="0"/>
              <w:jc w:val="right"/>
            </w:pPr>
          </w:p>
        </w:tc>
        <w:tc>
          <w:tcPr>
            <w:tcW w:w="856" w:type="dxa"/>
            <w:tcBorders>
              <w:top w:val="single" w:sz="6" w:space="0" w:color="000000"/>
              <w:left w:val="single" w:sz="6" w:space="0" w:color="000000"/>
              <w:bottom w:val="single" w:sz="6" w:space="0" w:color="000000"/>
              <w:right w:val="single" w:sz="6" w:space="0" w:color="000000"/>
            </w:tcBorders>
          </w:tcPr>
          <w:p w14:paraId="466E6A31" w14:textId="5F31560F" w:rsidR="00D83842" w:rsidRDefault="00D83842" w:rsidP="002D54A3">
            <w:pPr>
              <w:spacing w:after="0" w:line="259" w:lineRule="auto"/>
              <w:ind w:left="41" w:right="75" w:firstLine="0"/>
              <w:jc w:val="right"/>
            </w:pPr>
          </w:p>
        </w:tc>
      </w:tr>
      <w:tr w:rsidR="00D83842" w14:paraId="10D36F61" w14:textId="77777777" w:rsidTr="002D54A3">
        <w:trPr>
          <w:trHeight w:val="285"/>
        </w:trPr>
        <w:tc>
          <w:tcPr>
            <w:tcW w:w="3846" w:type="dxa"/>
            <w:tcBorders>
              <w:top w:val="single" w:sz="6" w:space="0" w:color="000000"/>
              <w:left w:val="single" w:sz="6" w:space="0" w:color="000000"/>
              <w:bottom w:val="single" w:sz="6" w:space="0" w:color="000000"/>
              <w:right w:val="single" w:sz="6" w:space="0" w:color="000000"/>
            </w:tcBorders>
          </w:tcPr>
          <w:p w14:paraId="5A972B03" w14:textId="77777777" w:rsidR="00D83842" w:rsidRDefault="00000000" w:rsidP="002D54A3">
            <w:pPr>
              <w:spacing w:after="0" w:line="259" w:lineRule="auto"/>
              <w:ind w:left="41" w:right="0" w:firstLine="0"/>
              <w:jc w:val="left"/>
            </w:pPr>
            <w:r>
              <w:t xml:space="preserve">- 1% higher pay award </w:t>
            </w:r>
          </w:p>
        </w:tc>
        <w:tc>
          <w:tcPr>
            <w:tcW w:w="856" w:type="dxa"/>
            <w:tcBorders>
              <w:top w:val="single" w:sz="6" w:space="0" w:color="000000"/>
              <w:left w:val="single" w:sz="6" w:space="0" w:color="000000"/>
              <w:bottom w:val="single" w:sz="6" w:space="0" w:color="000000"/>
              <w:right w:val="single" w:sz="6" w:space="0" w:color="000000"/>
            </w:tcBorders>
          </w:tcPr>
          <w:p w14:paraId="7459FA89" w14:textId="77777777" w:rsidR="00D83842" w:rsidRDefault="00000000" w:rsidP="002D54A3">
            <w:pPr>
              <w:spacing w:after="0" w:line="259" w:lineRule="auto"/>
              <w:ind w:left="41" w:right="0" w:firstLine="0"/>
              <w:jc w:val="left"/>
            </w:pPr>
            <w:r>
              <w:t xml:space="preserve">4.4 </w:t>
            </w:r>
          </w:p>
        </w:tc>
        <w:tc>
          <w:tcPr>
            <w:tcW w:w="856" w:type="dxa"/>
            <w:tcBorders>
              <w:top w:val="single" w:sz="6" w:space="0" w:color="000000"/>
              <w:left w:val="single" w:sz="6" w:space="0" w:color="000000"/>
              <w:bottom w:val="single" w:sz="6" w:space="0" w:color="000000"/>
              <w:right w:val="single" w:sz="6" w:space="0" w:color="000000"/>
            </w:tcBorders>
          </w:tcPr>
          <w:p w14:paraId="3AED61EA" w14:textId="77777777" w:rsidR="00D83842" w:rsidRDefault="00000000" w:rsidP="002D54A3">
            <w:pPr>
              <w:spacing w:after="0" w:line="259" w:lineRule="auto"/>
              <w:ind w:left="41" w:right="0" w:firstLine="0"/>
              <w:jc w:val="left"/>
            </w:pPr>
            <w:r>
              <w:t xml:space="preserve">3.9 </w:t>
            </w:r>
          </w:p>
        </w:tc>
        <w:tc>
          <w:tcPr>
            <w:tcW w:w="841" w:type="dxa"/>
            <w:tcBorders>
              <w:top w:val="single" w:sz="6" w:space="0" w:color="000000"/>
              <w:left w:val="single" w:sz="6" w:space="0" w:color="000000"/>
              <w:bottom w:val="single" w:sz="6" w:space="0" w:color="000000"/>
              <w:right w:val="single" w:sz="6" w:space="0" w:color="000000"/>
            </w:tcBorders>
          </w:tcPr>
          <w:p w14:paraId="3FD2297F" w14:textId="77777777" w:rsidR="00D83842" w:rsidRDefault="00000000" w:rsidP="002D54A3">
            <w:pPr>
              <w:spacing w:after="0" w:line="259" w:lineRule="auto"/>
              <w:ind w:left="41" w:right="0" w:firstLine="0"/>
              <w:jc w:val="left"/>
            </w:pPr>
            <w:r>
              <w:t xml:space="preserve">3.5 </w:t>
            </w:r>
          </w:p>
        </w:tc>
        <w:tc>
          <w:tcPr>
            <w:tcW w:w="856" w:type="dxa"/>
            <w:tcBorders>
              <w:top w:val="single" w:sz="6" w:space="0" w:color="000000"/>
              <w:left w:val="single" w:sz="6" w:space="0" w:color="000000"/>
              <w:bottom w:val="single" w:sz="6" w:space="0" w:color="000000"/>
              <w:right w:val="single" w:sz="6" w:space="0" w:color="000000"/>
            </w:tcBorders>
          </w:tcPr>
          <w:p w14:paraId="7C8EBEA8" w14:textId="77777777" w:rsidR="00D83842" w:rsidRDefault="00000000" w:rsidP="002D54A3">
            <w:pPr>
              <w:spacing w:after="0" w:line="259" w:lineRule="auto"/>
              <w:ind w:left="41" w:right="0" w:firstLine="0"/>
              <w:jc w:val="left"/>
            </w:pPr>
            <w:r>
              <w:t xml:space="preserve">2.7 </w:t>
            </w:r>
          </w:p>
        </w:tc>
        <w:tc>
          <w:tcPr>
            <w:tcW w:w="856" w:type="dxa"/>
            <w:tcBorders>
              <w:top w:val="single" w:sz="6" w:space="0" w:color="000000"/>
              <w:left w:val="single" w:sz="6" w:space="0" w:color="000000"/>
              <w:bottom w:val="single" w:sz="6" w:space="0" w:color="000000"/>
              <w:right w:val="single" w:sz="6" w:space="0" w:color="000000"/>
            </w:tcBorders>
          </w:tcPr>
          <w:p w14:paraId="0B3524DA" w14:textId="77777777" w:rsidR="00D83842" w:rsidRDefault="00000000" w:rsidP="002D54A3">
            <w:pPr>
              <w:spacing w:after="0" w:line="259" w:lineRule="auto"/>
              <w:ind w:left="41" w:right="0" w:firstLine="0"/>
              <w:jc w:val="left"/>
            </w:pPr>
            <w:r>
              <w:t xml:space="preserve">2.0 </w:t>
            </w:r>
          </w:p>
        </w:tc>
      </w:tr>
      <w:tr w:rsidR="00D83842" w14:paraId="76F9F0E5" w14:textId="77777777" w:rsidTr="002D54A3">
        <w:trPr>
          <w:trHeight w:val="285"/>
        </w:trPr>
        <w:tc>
          <w:tcPr>
            <w:tcW w:w="3846" w:type="dxa"/>
            <w:tcBorders>
              <w:top w:val="single" w:sz="6" w:space="0" w:color="000000"/>
              <w:left w:val="single" w:sz="6" w:space="0" w:color="000000"/>
              <w:bottom w:val="single" w:sz="6" w:space="0" w:color="000000"/>
              <w:right w:val="single" w:sz="6" w:space="0" w:color="000000"/>
            </w:tcBorders>
          </w:tcPr>
          <w:p w14:paraId="1A6487D9" w14:textId="77777777" w:rsidR="00D83842" w:rsidRDefault="00000000" w:rsidP="002D54A3">
            <w:pPr>
              <w:spacing w:after="0" w:line="259" w:lineRule="auto"/>
              <w:ind w:left="41" w:right="0" w:firstLine="0"/>
              <w:jc w:val="left"/>
            </w:pPr>
            <w:r>
              <w:t xml:space="preserve">- Grant freeze 25/26 to 28/29 </w:t>
            </w:r>
          </w:p>
        </w:tc>
        <w:tc>
          <w:tcPr>
            <w:tcW w:w="856" w:type="dxa"/>
            <w:tcBorders>
              <w:top w:val="single" w:sz="6" w:space="0" w:color="000000"/>
              <w:left w:val="single" w:sz="6" w:space="0" w:color="000000"/>
              <w:bottom w:val="single" w:sz="6" w:space="0" w:color="000000"/>
              <w:right w:val="single" w:sz="6" w:space="0" w:color="000000"/>
            </w:tcBorders>
          </w:tcPr>
          <w:p w14:paraId="1DBC5EBC" w14:textId="507071A3" w:rsidR="00D83842" w:rsidRDefault="00D83842" w:rsidP="002D54A3">
            <w:pPr>
              <w:spacing w:after="0" w:line="259" w:lineRule="auto"/>
              <w:ind w:left="41" w:right="75" w:firstLine="0"/>
              <w:jc w:val="right"/>
            </w:pPr>
          </w:p>
        </w:tc>
        <w:tc>
          <w:tcPr>
            <w:tcW w:w="856" w:type="dxa"/>
            <w:tcBorders>
              <w:top w:val="single" w:sz="6" w:space="0" w:color="000000"/>
              <w:left w:val="single" w:sz="6" w:space="0" w:color="000000"/>
              <w:bottom w:val="single" w:sz="6" w:space="0" w:color="000000"/>
              <w:right w:val="single" w:sz="6" w:space="0" w:color="000000"/>
            </w:tcBorders>
          </w:tcPr>
          <w:p w14:paraId="5E8B1009" w14:textId="77777777" w:rsidR="00D83842" w:rsidRDefault="00000000" w:rsidP="002D54A3">
            <w:pPr>
              <w:spacing w:after="0" w:line="259" w:lineRule="auto"/>
              <w:ind w:left="41" w:right="0" w:firstLine="0"/>
              <w:jc w:val="left"/>
            </w:pPr>
            <w:r>
              <w:t xml:space="preserve">4.5 </w:t>
            </w:r>
          </w:p>
        </w:tc>
        <w:tc>
          <w:tcPr>
            <w:tcW w:w="841" w:type="dxa"/>
            <w:tcBorders>
              <w:top w:val="single" w:sz="6" w:space="0" w:color="000000"/>
              <w:left w:val="single" w:sz="6" w:space="0" w:color="000000"/>
              <w:bottom w:val="single" w:sz="6" w:space="0" w:color="000000"/>
              <w:right w:val="single" w:sz="6" w:space="0" w:color="000000"/>
            </w:tcBorders>
          </w:tcPr>
          <w:p w14:paraId="17F31CE3" w14:textId="77777777" w:rsidR="00D83842" w:rsidRDefault="00000000" w:rsidP="002D54A3">
            <w:pPr>
              <w:spacing w:after="0" w:line="259" w:lineRule="auto"/>
              <w:ind w:left="41" w:right="0" w:firstLine="0"/>
              <w:jc w:val="left"/>
            </w:pPr>
            <w:r>
              <w:t xml:space="preserve">4.4 </w:t>
            </w:r>
          </w:p>
        </w:tc>
        <w:tc>
          <w:tcPr>
            <w:tcW w:w="856" w:type="dxa"/>
            <w:tcBorders>
              <w:top w:val="single" w:sz="6" w:space="0" w:color="000000"/>
              <w:left w:val="single" w:sz="6" w:space="0" w:color="000000"/>
              <w:bottom w:val="single" w:sz="6" w:space="0" w:color="000000"/>
              <w:right w:val="single" w:sz="6" w:space="0" w:color="000000"/>
            </w:tcBorders>
          </w:tcPr>
          <w:p w14:paraId="64A7EE5B" w14:textId="77777777" w:rsidR="00D83842" w:rsidRDefault="00000000" w:rsidP="002D54A3">
            <w:pPr>
              <w:spacing w:after="0" w:line="259" w:lineRule="auto"/>
              <w:ind w:left="41" w:right="0" w:firstLine="0"/>
              <w:jc w:val="left"/>
            </w:pPr>
            <w:r>
              <w:t xml:space="preserve">3.2 </w:t>
            </w:r>
          </w:p>
        </w:tc>
        <w:tc>
          <w:tcPr>
            <w:tcW w:w="856" w:type="dxa"/>
            <w:tcBorders>
              <w:top w:val="single" w:sz="6" w:space="0" w:color="000000"/>
              <w:left w:val="single" w:sz="6" w:space="0" w:color="000000"/>
              <w:bottom w:val="single" w:sz="6" w:space="0" w:color="000000"/>
              <w:right w:val="single" w:sz="6" w:space="0" w:color="000000"/>
            </w:tcBorders>
          </w:tcPr>
          <w:p w14:paraId="196FF440" w14:textId="77777777" w:rsidR="00D83842" w:rsidRDefault="00000000" w:rsidP="002D54A3">
            <w:pPr>
              <w:spacing w:after="0" w:line="259" w:lineRule="auto"/>
              <w:ind w:left="41" w:right="0" w:firstLine="0"/>
              <w:jc w:val="left"/>
            </w:pPr>
            <w:r>
              <w:t xml:space="preserve">2.0 </w:t>
            </w:r>
          </w:p>
        </w:tc>
      </w:tr>
      <w:tr w:rsidR="00D83842" w14:paraId="21D610DA" w14:textId="77777777" w:rsidTr="002D54A3">
        <w:trPr>
          <w:trHeight w:val="556"/>
        </w:trPr>
        <w:tc>
          <w:tcPr>
            <w:tcW w:w="3846" w:type="dxa"/>
            <w:tcBorders>
              <w:top w:val="single" w:sz="6" w:space="0" w:color="000000"/>
              <w:left w:val="single" w:sz="6" w:space="0" w:color="000000"/>
              <w:bottom w:val="single" w:sz="6" w:space="0" w:color="000000"/>
              <w:right w:val="single" w:sz="6" w:space="0" w:color="000000"/>
            </w:tcBorders>
          </w:tcPr>
          <w:p w14:paraId="6D9B837D" w14:textId="350AF41B" w:rsidR="00D83842" w:rsidRDefault="00000000" w:rsidP="002D54A3">
            <w:pPr>
              <w:spacing w:after="0" w:line="259" w:lineRule="auto"/>
              <w:ind w:left="41" w:right="0" w:firstLine="0"/>
              <w:jc w:val="left"/>
            </w:pPr>
            <w:r>
              <w:t xml:space="preserve">10% funding reduction from </w:t>
            </w:r>
          </w:p>
          <w:p w14:paraId="02104DD2" w14:textId="77777777" w:rsidR="00D83842" w:rsidRDefault="00000000" w:rsidP="002D54A3">
            <w:pPr>
              <w:spacing w:after="0" w:line="259" w:lineRule="auto"/>
              <w:ind w:left="41" w:right="0" w:firstLine="0"/>
              <w:jc w:val="left"/>
            </w:pPr>
            <w:r>
              <w:t xml:space="preserve">2025 </w:t>
            </w:r>
          </w:p>
        </w:tc>
        <w:tc>
          <w:tcPr>
            <w:tcW w:w="856" w:type="dxa"/>
            <w:tcBorders>
              <w:top w:val="single" w:sz="6" w:space="0" w:color="000000"/>
              <w:left w:val="single" w:sz="6" w:space="0" w:color="000000"/>
              <w:bottom w:val="single" w:sz="6" w:space="0" w:color="000000"/>
              <w:right w:val="single" w:sz="6" w:space="0" w:color="000000"/>
            </w:tcBorders>
            <w:vAlign w:val="center"/>
          </w:tcPr>
          <w:p w14:paraId="46862B0F" w14:textId="3315B536" w:rsidR="00D83842" w:rsidRDefault="00D83842" w:rsidP="002D54A3">
            <w:pPr>
              <w:spacing w:after="0" w:line="259" w:lineRule="auto"/>
              <w:ind w:left="41" w:right="75" w:firstLine="0"/>
              <w:jc w:val="right"/>
            </w:pPr>
          </w:p>
        </w:tc>
        <w:tc>
          <w:tcPr>
            <w:tcW w:w="856" w:type="dxa"/>
            <w:tcBorders>
              <w:top w:val="single" w:sz="6" w:space="0" w:color="000000"/>
              <w:left w:val="single" w:sz="6" w:space="0" w:color="000000"/>
              <w:bottom w:val="single" w:sz="6" w:space="0" w:color="000000"/>
              <w:right w:val="single" w:sz="6" w:space="0" w:color="000000"/>
            </w:tcBorders>
            <w:vAlign w:val="center"/>
          </w:tcPr>
          <w:p w14:paraId="242EBA04" w14:textId="77777777" w:rsidR="00D83842" w:rsidRDefault="00000000" w:rsidP="002D54A3">
            <w:pPr>
              <w:spacing w:after="0" w:line="259" w:lineRule="auto"/>
              <w:ind w:left="41" w:right="0" w:firstLine="0"/>
              <w:jc w:val="left"/>
            </w:pPr>
            <w:r>
              <w:t xml:space="preserve">3.6 </w:t>
            </w:r>
          </w:p>
        </w:tc>
        <w:tc>
          <w:tcPr>
            <w:tcW w:w="841" w:type="dxa"/>
            <w:tcBorders>
              <w:top w:val="single" w:sz="6" w:space="0" w:color="000000"/>
              <w:left w:val="single" w:sz="6" w:space="0" w:color="000000"/>
              <w:bottom w:val="single" w:sz="6" w:space="0" w:color="000000"/>
              <w:right w:val="single" w:sz="6" w:space="0" w:color="000000"/>
            </w:tcBorders>
            <w:vAlign w:val="center"/>
          </w:tcPr>
          <w:p w14:paraId="2FA2F496" w14:textId="77777777" w:rsidR="00D83842" w:rsidRDefault="00000000" w:rsidP="002D54A3">
            <w:pPr>
              <w:spacing w:after="0" w:line="259" w:lineRule="auto"/>
              <w:ind w:left="41" w:right="0" w:firstLine="0"/>
              <w:jc w:val="left"/>
            </w:pPr>
            <w:r>
              <w:t xml:space="preserve">2.7 </w:t>
            </w:r>
          </w:p>
        </w:tc>
        <w:tc>
          <w:tcPr>
            <w:tcW w:w="856" w:type="dxa"/>
            <w:tcBorders>
              <w:top w:val="single" w:sz="6" w:space="0" w:color="000000"/>
              <w:left w:val="single" w:sz="6" w:space="0" w:color="000000"/>
              <w:bottom w:val="single" w:sz="6" w:space="0" w:color="000000"/>
              <w:right w:val="single" w:sz="6" w:space="0" w:color="000000"/>
            </w:tcBorders>
            <w:vAlign w:val="center"/>
          </w:tcPr>
          <w:p w14:paraId="198DDCC3" w14:textId="77777777" w:rsidR="00D83842" w:rsidRDefault="00000000" w:rsidP="002D54A3">
            <w:pPr>
              <w:spacing w:after="0" w:line="259" w:lineRule="auto"/>
              <w:ind w:left="41" w:right="0" w:firstLine="0"/>
              <w:jc w:val="left"/>
            </w:pPr>
            <w:r>
              <w:t xml:space="preserve">1.0 </w:t>
            </w:r>
          </w:p>
        </w:tc>
        <w:tc>
          <w:tcPr>
            <w:tcW w:w="856" w:type="dxa"/>
            <w:tcBorders>
              <w:top w:val="single" w:sz="6" w:space="0" w:color="000000"/>
              <w:left w:val="single" w:sz="6" w:space="0" w:color="000000"/>
              <w:bottom w:val="single" w:sz="6" w:space="0" w:color="000000"/>
              <w:right w:val="single" w:sz="6" w:space="0" w:color="000000"/>
            </w:tcBorders>
            <w:vAlign w:val="center"/>
          </w:tcPr>
          <w:p w14:paraId="725AD624" w14:textId="77777777" w:rsidR="00D83842" w:rsidRDefault="00000000" w:rsidP="002D54A3">
            <w:pPr>
              <w:spacing w:after="0" w:line="259" w:lineRule="auto"/>
              <w:ind w:left="41" w:right="64" w:firstLine="0"/>
              <w:jc w:val="center"/>
            </w:pPr>
            <w:r>
              <w:t xml:space="preserve">(0.5) </w:t>
            </w:r>
          </w:p>
        </w:tc>
      </w:tr>
    </w:tbl>
    <w:p w14:paraId="2C5132B8" w14:textId="77777777" w:rsidR="00D83842" w:rsidRDefault="00000000" w:rsidP="00BA5F13">
      <w:pPr>
        <w:spacing w:after="243" w:line="243" w:lineRule="auto"/>
        <w:ind w:left="0" w:right="104" w:firstLine="0"/>
        <w:jc w:val="left"/>
      </w:pPr>
      <w:r>
        <w:t xml:space="preserve">The analysis shows that whilst the general reserve is sufficient to meet an element of volatility however, there would need to be structural changes to the underlying cost base should any of these scenarios materialise </w:t>
      </w:r>
      <w:proofErr w:type="gramStart"/>
      <w:r>
        <w:t>in order to</w:t>
      </w:r>
      <w:proofErr w:type="gramEnd"/>
      <w:r>
        <w:t xml:space="preserve"> maintain financial sustainability for the period of the MTFS. </w:t>
      </w:r>
    </w:p>
    <w:p w14:paraId="4213872C" w14:textId="77777777" w:rsidR="00D83842" w:rsidRDefault="00000000" w:rsidP="00BA5F13">
      <w:pPr>
        <w:pStyle w:val="Heading1"/>
        <w:ind w:left="0" w:firstLine="0"/>
      </w:pPr>
      <w:r>
        <w:t xml:space="preserve">Indicative Capital Programme </w:t>
      </w:r>
    </w:p>
    <w:p w14:paraId="02358405" w14:textId="77777777" w:rsidR="00D83842" w:rsidRDefault="00000000" w:rsidP="00BA5F13">
      <w:pPr>
        <w:spacing w:after="243" w:line="243" w:lineRule="auto"/>
        <w:ind w:left="0" w:right="105" w:firstLine="0"/>
      </w:pPr>
      <w:r>
        <w:t xml:space="preserve">The Authority has a ten-year capital programme, from 2024/25 to 2033/34. This reflects the Authority’s capital aspirations in the Fleet, Estates and ICT strategies. The first five years of the strategy are set out below. Work is ongoing to refine the later years of the programme (from years 6 to 10), </w:t>
      </w:r>
      <w:proofErr w:type="gramStart"/>
      <w:r>
        <w:t>in particular with</w:t>
      </w:r>
      <w:proofErr w:type="gramEnd"/>
      <w:r>
        <w:t xml:space="preserve"> detailed condition surveys across our estate.  </w:t>
      </w:r>
    </w:p>
    <w:p w14:paraId="5A166FE8" w14:textId="77777777" w:rsidR="00D83842" w:rsidRDefault="00000000" w:rsidP="00BA5F13">
      <w:pPr>
        <w:spacing w:after="11"/>
        <w:ind w:left="0" w:right="105" w:firstLine="0"/>
      </w:pPr>
      <w:r>
        <w:t xml:space="preserve">The table below shows the Authority’s first five years of the Capital Programme and how it is anticipated that it will be funded.  </w:t>
      </w:r>
    </w:p>
    <w:tbl>
      <w:tblPr>
        <w:tblStyle w:val="TableGrid"/>
        <w:tblW w:w="8516" w:type="dxa"/>
        <w:tblInd w:w="-8" w:type="dxa"/>
        <w:tblCellMar>
          <w:top w:w="0" w:type="dxa"/>
          <w:left w:w="0" w:type="dxa"/>
          <w:bottom w:w="0" w:type="dxa"/>
          <w:right w:w="31" w:type="dxa"/>
        </w:tblCellMar>
        <w:tblLook w:val="04A0" w:firstRow="1" w:lastRow="0" w:firstColumn="1" w:lastColumn="0" w:noHBand="0" w:noVBand="1"/>
      </w:tblPr>
      <w:tblGrid>
        <w:gridCol w:w="3005"/>
        <w:gridCol w:w="1096"/>
        <w:gridCol w:w="1111"/>
        <w:gridCol w:w="1096"/>
        <w:gridCol w:w="1097"/>
        <w:gridCol w:w="1111"/>
      </w:tblGrid>
      <w:tr w:rsidR="00D83842" w14:paraId="5AD3B611" w14:textId="77777777" w:rsidTr="002D54A3">
        <w:trPr>
          <w:trHeight w:val="736"/>
        </w:trPr>
        <w:tc>
          <w:tcPr>
            <w:tcW w:w="3005" w:type="dxa"/>
            <w:tcBorders>
              <w:top w:val="single" w:sz="6" w:space="0" w:color="000000"/>
              <w:left w:val="single" w:sz="6" w:space="0" w:color="000000"/>
              <w:bottom w:val="single" w:sz="6" w:space="0" w:color="000000"/>
              <w:right w:val="single" w:sz="6" w:space="0" w:color="000000"/>
            </w:tcBorders>
            <w:vAlign w:val="center"/>
          </w:tcPr>
          <w:p w14:paraId="29D00B0D" w14:textId="77777777" w:rsidR="00D83842" w:rsidRDefault="00000000" w:rsidP="00BA5F13">
            <w:pPr>
              <w:spacing w:after="0" w:line="259" w:lineRule="auto"/>
              <w:ind w:left="0" w:right="0" w:firstLine="0"/>
              <w:jc w:val="left"/>
            </w:pPr>
            <w:r w:rsidRPr="00BA5F13">
              <w:rPr>
                <w:b/>
              </w:rPr>
              <w:lastRenderedPageBreak/>
              <w:t xml:space="preserve">Capital Programme </w:t>
            </w:r>
          </w:p>
        </w:tc>
        <w:tc>
          <w:tcPr>
            <w:tcW w:w="1096" w:type="dxa"/>
            <w:tcBorders>
              <w:top w:val="single" w:sz="6" w:space="0" w:color="000000"/>
              <w:left w:val="single" w:sz="6" w:space="0" w:color="000000"/>
              <w:bottom w:val="single" w:sz="6" w:space="0" w:color="000000"/>
              <w:right w:val="single" w:sz="6" w:space="0" w:color="000000"/>
            </w:tcBorders>
          </w:tcPr>
          <w:p w14:paraId="2D44AE31" w14:textId="77777777" w:rsidR="00D83842" w:rsidRDefault="00000000" w:rsidP="00BA5F13">
            <w:pPr>
              <w:spacing w:after="0" w:line="259" w:lineRule="auto"/>
              <w:ind w:left="0" w:right="0" w:firstLine="0"/>
              <w:jc w:val="left"/>
            </w:pPr>
            <w:r w:rsidRPr="00BA5F13">
              <w:rPr>
                <w:b/>
              </w:rPr>
              <w:t xml:space="preserve">2024/25 £m </w:t>
            </w:r>
          </w:p>
        </w:tc>
        <w:tc>
          <w:tcPr>
            <w:tcW w:w="1111" w:type="dxa"/>
            <w:tcBorders>
              <w:top w:val="single" w:sz="6" w:space="0" w:color="000000"/>
              <w:left w:val="single" w:sz="6" w:space="0" w:color="000000"/>
              <w:bottom w:val="single" w:sz="6" w:space="0" w:color="000000"/>
              <w:right w:val="single" w:sz="6" w:space="0" w:color="000000"/>
            </w:tcBorders>
          </w:tcPr>
          <w:p w14:paraId="3EDB57AE" w14:textId="77777777" w:rsidR="00D83842" w:rsidRDefault="00000000" w:rsidP="00BA5F13">
            <w:pPr>
              <w:spacing w:after="0" w:line="259" w:lineRule="auto"/>
              <w:ind w:left="0" w:right="0" w:firstLine="0"/>
              <w:jc w:val="left"/>
            </w:pPr>
            <w:r w:rsidRPr="00BA5F13">
              <w:rPr>
                <w:b/>
              </w:rPr>
              <w:t xml:space="preserve">2025/26 £m </w:t>
            </w:r>
          </w:p>
        </w:tc>
        <w:tc>
          <w:tcPr>
            <w:tcW w:w="1096" w:type="dxa"/>
            <w:tcBorders>
              <w:top w:val="single" w:sz="6" w:space="0" w:color="000000"/>
              <w:left w:val="single" w:sz="6" w:space="0" w:color="000000"/>
              <w:bottom w:val="single" w:sz="6" w:space="0" w:color="000000"/>
              <w:right w:val="single" w:sz="6" w:space="0" w:color="000000"/>
            </w:tcBorders>
          </w:tcPr>
          <w:p w14:paraId="7FBF8BCB" w14:textId="77777777" w:rsidR="00D83842" w:rsidRDefault="00000000" w:rsidP="00BA5F13">
            <w:pPr>
              <w:spacing w:after="0" w:line="259" w:lineRule="auto"/>
              <w:ind w:left="0" w:right="0" w:firstLine="0"/>
              <w:jc w:val="left"/>
            </w:pPr>
            <w:r w:rsidRPr="00BA5F13">
              <w:rPr>
                <w:b/>
              </w:rPr>
              <w:t xml:space="preserve">2026/27 £m </w:t>
            </w:r>
          </w:p>
        </w:tc>
        <w:tc>
          <w:tcPr>
            <w:tcW w:w="1097" w:type="dxa"/>
            <w:tcBorders>
              <w:top w:val="single" w:sz="6" w:space="0" w:color="000000"/>
              <w:left w:val="single" w:sz="6" w:space="0" w:color="000000"/>
              <w:bottom w:val="single" w:sz="6" w:space="0" w:color="000000"/>
              <w:right w:val="single" w:sz="6" w:space="0" w:color="000000"/>
            </w:tcBorders>
          </w:tcPr>
          <w:p w14:paraId="7262E5ED" w14:textId="77777777" w:rsidR="00D83842" w:rsidRDefault="00000000" w:rsidP="00BA5F13">
            <w:pPr>
              <w:spacing w:after="0" w:line="259" w:lineRule="auto"/>
              <w:ind w:left="0" w:right="0" w:firstLine="0"/>
              <w:jc w:val="left"/>
            </w:pPr>
            <w:r w:rsidRPr="00BA5F13">
              <w:rPr>
                <w:b/>
              </w:rPr>
              <w:t xml:space="preserve">2027/28 £m </w:t>
            </w:r>
          </w:p>
        </w:tc>
        <w:tc>
          <w:tcPr>
            <w:tcW w:w="1111" w:type="dxa"/>
            <w:tcBorders>
              <w:top w:val="single" w:sz="6" w:space="0" w:color="000000"/>
              <w:left w:val="single" w:sz="6" w:space="0" w:color="000000"/>
              <w:bottom w:val="single" w:sz="6" w:space="0" w:color="000000"/>
              <w:right w:val="single" w:sz="6" w:space="0" w:color="000000"/>
            </w:tcBorders>
          </w:tcPr>
          <w:p w14:paraId="571BA69D" w14:textId="77777777" w:rsidR="00D83842" w:rsidRDefault="00000000" w:rsidP="00BA5F13">
            <w:pPr>
              <w:spacing w:after="0" w:line="259" w:lineRule="auto"/>
              <w:ind w:left="0" w:right="0" w:firstLine="0"/>
              <w:jc w:val="left"/>
            </w:pPr>
            <w:r w:rsidRPr="00BA5F13">
              <w:rPr>
                <w:b/>
              </w:rPr>
              <w:t xml:space="preserve">2028/29 £m </w:t>
            </w:r>
          </w:p>
        </w:tc>
      </w:tr>
      <w:tr w:rsidR="00D83842" w14:paraId="16257E67" w14:textId="77777777" w:rsidTr="002D54A3">
        <w:trPr>
          <w:trHeight w:val="286"/>
        </w:trPr>
        <w:tc>
          <w:tcPr>
            <w:tcW w:w="3005" w:type="dxa"/>
            <w:tcBorders>
              <w:top w:val="single" w:sz="6" w:space="0" w:color="000000"/>
              <w:left w:val="single" w:sz="6" w:space="0" w:color="000000"/>
              <w:bottom w:val="single" w:sz="6" w:space="0" w:color="000000"/>
              <w:right w:val="single" w:sz="6" w:space="0" w:color="000000"/>
            </w:tcBorders>
          </w:tcPr>
          <w:p w14:paraId="06FC8CA3" w14:textId="77777777" w:rsidR="00D83842" w:rsidRDefault="00000000" w:rsidP="00BA5F13">
            <w:pPr>
              <w:spacing w:after="0" w:line="259" w:lineRule="auto"/>
              <w:ind w:left="0" w:right="0" w:firstLine="0"/>
              <w:jc w:val="left"/>
            </w:pPr>
            <w:r>
              <w:t xml:space="preserve">Vehicles </w:t>
            </w:r>
          </w:p>
        </w:tc>
        <w:tc>
          <w:tcPr>
            <w:tcW w:w="1096" w:type="dxa"/>
            <w:tcBorders>
              <w:top w:val="single" w:sz="6" w:space="0" w:color="000000"/>
              <w:left w:val="single" w:sz="6" w:space="0" w:color="000000"/>
              <w:bottom w:val="single" w:sz="6" w:space="0" w:color="000000"/>
              <w:right w:val="single" w:sz="6" w:space="0" w:color="000000"/>
            </w:tcBorders>
          </w:tcPr>
          <w:p w14:paraId="21ABF041" w14:textId="77777777" w:rsidR="00D83842" w:rsidRDefault="00000000" w:rsidP="00BA5F13">
            <w:pPr>
              <w:spacing w:after="0" w:line="259" w:lineRule="auto"/>
              <w:ind w:left="0" w:right="69" w:firstLine="0"/>
              <w:jc w:val="right"/>
            </w:pPr>
            <w:r>
              <w:t xml:space="preserve">3.2 </w:t>
            </w:r>
          </w:p>
        </w:tc>
        <w:tc>
          <w:tcPr>
            <w:tcW w:w="1111" w:type="dxa"/>
            <w:tcBorders>
              <w:top w:val="single" w:sz="6" w:space="0" w:color="000000"/>
              <w:left w:val="single" w:sz="6" w:space="0" w:color="000000"/>
              <w:bottom w:val="single" w:sz="6" w:space="0" w:color="000000"/>
              <w:right w:val="single" w:sz="6" w:space="0" w:color="000000"/>
            </w:tcBorders>
          </w:tcPr>
          <w:p w14:paraId="5C2CB970" w14:textId="521BC674" w:rsidR="00D83842" w:rsidRDefault="00000000" w:rsidP="00BA5F13">
            <w:pPr>
              <w:tabs>
                <w:tab w:val="right" w:pos="1080"/>
              </w:tabs>
              <w:spacing w:after="0" w:line="259" w:lineRule="auto"/>
              <w:ind w:left="0" w:right="0" w:firstLine="0"/>
              <w:jc w:val="left"/>
            </w:pPr>
            <w:r>
              <w:t xml:space="preserve">1.6 </w:t>
            </w:r>
          </w:p>
        </w:tc>
        <w:tc>
          <w:tcPr>
            <w:tcW w:w="1096" w:type="dxa"/>
            <w:tcBorders>
              <w:top w:val="single" w:sz="6" w:space="0" w:color="000000"/>
              <w:left w:val="single" w:sz="6" w:space="0" w:color="000000"/>
              <w:bottom w:val="single" w:sz="6" w:space="0" w:color="000000"/>
              <w:right w:val="single" w:sz="6" w:space="0" w:color="000000"/>
            </w:tcBorders>
          </w:tcPr>
          <w:p w14:paraId="3AD2F6FF" w14:textId="1E21CBD0" w:rsidR="00D83842" w:rsidRDefault="00000000" w:rsidP="00BA5F13">
            <w:pPr>
              <w:tabs>
                <w:tab w:val="right" w:pos="1065"/>
              </w:tabs>
              <w:spacing w:after="0" w:line="259" w:lineRule="auto"/>
              <w:ind w:left="0" w:right="0" w:firstLine="0"/>
              <w:jc w:val="left"/>
            </w:pPr>
            <w:r>
              <w:t xml:space="preserve">1.6 </w:t>
            </w:r>
          </w:p>
        </w:tc>
        <w:tc>
          <w:tcPr>
            <w:tcW w:w="1097" w:type="dxa"/>
            <w:tcBorders>
              <w:top w:val="single" w:sz="6" w:space="0" w:color="000000"/>
              <w:left w:val="single" w:sz="6" w:space="0" w:color="000000"/>
              <w:bottom w:val="single" w:sz="6" w:space="0" w:color="000000"/>
              <w:right w:val="single" w:sz="6" w:space="0" w:color="000000"/>
            </w:tcBorders>
          </w:tcPr>
          <w:p w14:paraId="4A5A7166" w14:textId="33DD3CA2" w:rsidR="00D83842" w:rsidRDefault="00000000" w:rsidP="00BA5F13">
            <w:pPr>
              <w:tabs>
                <w:tab w:val="right" w:pos="1065"/>
              </w:tabs>
              <w:spacing w:after="0" w:line="259" w:lineRule="auto"/>
              <w:ind w:left="0" w:right="0" w:firstLine="0"/>
              <w:jc w:val="left"/>
            </w:pPr>
            <w:r>
              <w:t xml:space="preserve">1.6 </w:t>
            </w:r>
          </w:p>
        </w:tc>
        <w:tc>
          <w:tcPr>
            <w:tcW w:w="1111" w:type="dxa"/>
            <w:tcBorders>
              <w:top w:val="single" w:sz="6" w:space="0" w:color="000000"/>
              <w:left w:val="single" w:sz="6" w:space="0" w:color="000000"/>
              <w:bottom w:val="single" w:sz="6" w:space="0" w:color="000000"/>
              <w:right w:val="single" w:sz="6" w:space="0" w:color="000000"/>
            </w:tcBorders>
          </w:tcPr>
          <w:p w14:paraId="0ABD2AF4" w14:textId="422BC3F8" w:rsidR="00D83842" w:rsidRDefault="00000000" w:rsidP="00BA5F13">
            <w:pPr>
              <w:tabs>
                <w:tab w:val="right" w:pos="1080"/>
              </w:tabs>
              <w:spacing w:after="0" w:line="259" w:lineRule="auto"/>
              <w:ind w:left="0" w:right="0" w:firstLine="0"/>
              <w:jc w:val="left"/>
            </w:pPr>
            <w:r>
              <w:t xml:space="preserve">2.1 </w:t>
            </w:r>
          </w:p>
        </w:tc>
      </w:tr>
      <w:tr w:rsidR="00D83842" w14:paraId="6918DCC9"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376EEBE4" w14:textId="77777777" w:rsidR="00D83842" w:rsidRDefault="00000000" w:rsidP="00BA5F13">
            <w:pPr>
              <w:spacing w:after="0" w:line="259" w:lineRule="auto"/>
              <w:ind w:left="0" w:right="0" w:firstLine="0"/>
              <w:jc w:val="left"/>
            </w:pPr>
            <w:r>
              <w:t xml:space="preserve">Operational Equipment </w:t>
            </w:r>
          </w:p>
        </w:tc>
        <w:tc>
          <w:tcPr>
            <w:tcW w:w="1096" w:type="dxa"/>
            <w:tcBorders>
              <w:top w:val="single" w:sz="6" w:space="0" w:color="000000"/>
              <w:left w:val="single" w:sz="6" w:space="0" w:color="000000"/>
              <w:bottom w:val="single" w:sz="6" w:space="0" w:color="000000"/>
              <w:right w:val="single" w:sz="6" w:space="0" w:color="000000"/>
            </w:tcBorders>
          </w:tcPr>
          <w:p w14:paraId="355C65B1" w14:textId="77777777" w:rsidR="00D83842" w:rsidRDefault="00000000" w:rsidP="00BA5F13">
            <w:pPr>
              <w:spacing w:after="0" w:line="259" w:lineRule="auto"/>
              <w:ind w:left="0" w:right="69" w:firstLine="0"/>
              <w:jc w:val="right"/>
            </w:pPr>
            <w:r>
              <w:t xml:space="preserve">1.3 </w:t>
            </w:r>
          </w:p>
        </w:tc>
        <w:tc>
          <w:tcPr>
            <w:tcW w:w="1111" w:type="dxa"/>
            <w:tcBorders>
              <w:top w:val="single" w:sz="6" w:space="0" w:color="000000"/>
              <w:left w:val="single" w:sz="6" w:space="0" w:color="000000"/>
              <w:bottom w:val="single" w:sz="6" w:space="0" w:color="000000"/>
              <w:right w:val="single" w:sz="6" w:space="0" w:color="000000"/>
            </w:tcBorders>
          </w:tcPr>
          <w:p w14:paraId="34B6054D" w14:textId="506CCFF3" w:rsidR="00D83842" w:rsidRDefault="00000000" w:rsidP="00BA5F13">
            <w:pPr>
              <w:tabs>
                <w:tab w:val="right" w:pos="1080"/>
              </w:tabs>
              <w:spacing w:after="0" w:line="259" w:lineRule="auto"/>
              <w:ind w:left="0" w:right="0" w:firstLine="0"/>
              <w:jc w:val="left"/>
            </w:pPr>
            <w:r>
              <w:t xml:space="preserve">1.0 </w:t>
            </w:r>
          </w:p>
        </w:tc>
        <w:tc>
          <w:tcPr>
            <w:tcW w:w="1096" w:type="dxa"/>
            <w:tcBorders>
              <w:top w:val="single" w:sz="6" w:space="0" w:color="000000"/>
              <w:left w:val="single" w:sz="6" w:space="0" w:color="000000"/>
              <w:bottom w:val="single" w:sz="6" w:space="0" w:color="000000"/>
              <w:right w:val="single" w:sz="6" w:space="0" w:color="000000"/>
            </w:tcBorders>
          </w:tcPr>
          <w:p w14:paraId="45F6382F" w14:textId="3A59E24F" w:rsidR="00D83842" w:rsidRDefault="00000000" w:rsidP="00BA5F13">
            <w:pPr>
              <w:tabs>
                <w:tab w:val="right" w:pos="1065"/>
              </w:tabs>
              <w:spacing w:after="0" w:line="259" w:lineRule="auto"/>
              <w:ind w:left="0" w:right="0" w:firstLine="0"/>
              <w:jc w:val="left"/>
            </w:pPr>
            <w:r>
              <w:t xml:space="preserve">0.9 </w:t>
            </w:r>
          </w:p>
        </w:tc>
        <w:tc>
          <w:tcPr>
            <w:tcW w:w="1097" w:type="dxa"/>
            <w:tcBorders>
              <w:top w:val="single" w:sz="6" w:space="0" w:color="000000"/>
              <w:left w:val="single" w:sz="6" w:space="0" w:color="000000"/>
              <w:bottom w:val="single" w:sz="6" w:space="0" w:color="000000"/>
              <w:right w:val="single" w:sz="6" w:space="0" w:color="000000"/>
            </w:tcBorders>
          </w:tcPr>
          <w:p w14:paraId="11D63B6B" w14:textId="42531E45" w:rsidR="00D83842" w:rsidRDefault="00000000" w:rsidP="00BA5F13">
            <w:pPr>
              <w:tabs>
                <w:tab w:val="right" w:pos="1065"/>
              </w:tabs>
              <w:spacing w:after="0" w:line="259" w:lineRule="auto"/>
              <w:ind w:left="0" w:right="0" w:firstLine="0"/>
              <w:jc w:val="left"/>
            </w:pPr>
            <w:r>
              <w:t xml:space="preserve">0.4 </w:t>
            </w:r>
          </w:p>
        </w:tc>
        <w:tc>
          <w:tcPr>
            <w:tcW w:w="1111" w:type="dxa"/>
            <w:tcBorders>
              <w:top w:val="single" w:sz="6" w:space="0" w:color="000000"/>
              <w:left w:val="single" w:sz="6" w:space="0" w:color="000000"/>
              <w:bottom w:val="single" w:sz="6" w:space="0" w:color="000000"/>
              <w:right w:val="single" w:sz="6" w:space="0" w:color="000000"/>
            </w:tcBorders>
          </w:tcPr>
          <w:p w14:paraId="62B23144" w14:textId="3915AF47" w:rsidR="00D83842" w:rsidRDefault="00000000" w:rsidP="00BA5F13">
            <w:pPr>
              <w:tabs>
                <w:tab w:val="right" w:pos="1080"/>
              </w:tabs>
              <w:spacing w:after="0" w:line="259" w:lineRule="auto"/>
              <w:ind w:left="0" w:right="0" w:firstLine="0"/>
              <w:jc w:val="left"/>
            </w:pPr>
            <w:r>
              <w:t xml:space="preserve">0.6 </w:t>
            </w:r>
          </w:p>
        </w:tc>
      </w:tr>
      <w:tr w:rsidR="00D83842" w14:paraId="38EAC0BE"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79DAF81D" w14:textId="77777777" w:rsidR="00D83842" w:rsidRDefault="00000000" w:rsidP="00BA5F13">
            <w:pPr>
              <w:spacing w:after="0" w:line="259" w:lineRule="auto"/>
              <w:ind w:left="0" w:right="0" w:firstLine="0"/>
              <w:jc w:val="left"/>
            </w:pPr>
            <w:r>
              <w:t xml:space="preserve">Buildings </w:t>
            </w:r>
          </w:p>
        </w:tc>
        <w:tc>
          <w:tcPr>
            <w:tcW w:w="1096" w:type="dxa"/>
            <w:tcBorders>
              <w:top w:val="single" w:sz="6" w:space="0" w:color="000000"/>
              <w:left w:val="single" w:sz="6" w:space="0" w:color="000000"/>
              <w:bottom w:val="single" w:sz="6" w:space="0" w:color="000000"/>
              <w:right w:val="single" w:sz="6" w:space="0" w:color="000000"/>
            </w:tcBorders>
          </w:tcPr>
          <w:p w14:paraId="606D5C5B" w14:textId="77777777" w:rsidR="00D83842" w:rsidRDefault="00000000" w:rsidP="00BA5F13">
            <w:pPr>
              <w:spacing w:after="0" w:line="259" w:lineRule="auto"/>
              <w:ind w:left="0" w:right="69" w:firstLine="0"/>
              <w:jc w:val="right"/>
            </w:pPr>
            <w:r>
              <w:t xml:space="preserve">3.5 </w:t>
            </w:r>
          </w:p>
        </w:tc>
        <w:tc>
          <w:tcPr>
            <w:tcW w:w="1111" w:type="dxa"/>
            <w:tcBorders>
              <w:top w:val="single" w:sz="6" w:space="0" w:color="000000"/>
              <w:left w:val="single" w:sz="6" w:space="0" w:color="000000"/>
              <w:bottom w:val="single" w:sz="6" w:space="0" w:color="000000"/>
              <w:right w:val="single" w:sz="6" w:space="0" w:color="000000"/>
            </w:tcBorders>
          </w:tcPr>
          <w:p w14:paraId="5E7CF795" w14:textId="0EE7C69F" w:rsidR="00D83842" w:rsidRDefault="00000000" w:rsidP="00BA5F13">
            <w:pPr>
              <w:tabs>
                <w:tab w:val="right" w:pos="1080"/>
              </w:tabs>
              <w:spacing w:after="0" w:line="259" w:lineRule="auto"/>
              <w:ind w:left="0" w:right="0" w:firstLine="0"/>
              <w:jc w:val="left"/>
            </w:pPr>
            <w:r>
              <w:t xml:space="preserve">15.4 </w:t>
            </w:r>
          </w:p>
        </w:tc>
        <w:tc>
          <w:tcPr>
            <w:tcW w:w="1096" w:type="dxa"/>
            <w:tcBorders>
              <w:top w:val="single" w:sz="6" w:space="0" w:color="000000"/>
              <w:left w:val="single" w:sz="6" w:space="0" w:color="000000"/>
              <w:bottom w:val="single" w:sz="6" w:space="0" w:color="000000"/>
              <w:right w:val="single" w:sz="6" w:space="0" w:color="000000"/>
            </w:tcBorders>
          </w:tcPr>
          <w:p w14:paraId="7B32F7E0" w14:textId="72C19499" w:rsidR="00D83842" w:rsidRDefault="00000000" w:rsidP="00BA5F13">
            <w:pPr>
              <w:tabs>
                <w:tab w:val="right" w:pos="1065"/>
              </w:tabs>
              <w:spacing w:after="0" w:line="259" w:lineRule="auto"/>
              <w:ind w:left="0" w:right="0" w:firstLine="0"/>
              <w:jc w:val="left"/>
            </w:pPr>
            <w:r>
              <w:t xml:space="preserve">15.4 </w:t>
            </w:r>
          </w:p>
        </w:tc>
        <w:tc>
          <w:tcPr>
            <w:tcW w:w="1097" w:type="dxa"/>
            <w:tcBorders>
              <w:top w:val="single" w:sz="6" w:space="0" w:color="000000"/>
              <w:left w:val="single" w:sz="6" w:space="0" w:color="000000"/>
              <w:bottom w:val="single" w:sz="6" w:space="0" w:color="000000"/>
              <w:right w:val="single" w:sz="6" w:space="0" w:color="000000"/>
            </w:tcBorders>
          </w:tcPr>
          <w:p w14:paraId="6D5C4A07" w14:textId="7619210B" w:rsidR="00D83842" w:rsidRDefault="00000000" w:rsidP="00BA5F13">
            <w:pPr>
              <w:tabs>
                <w:tab w:val="right" w:pos="1065"/>
              </w:tabs>
              <w:spacing w:after="0" w:line="259" w:lineRule="auto"/>
              <w:ind w:left="0" w:right="0" w:firstLine="0"/>
              <w:jc w:val="left"/>
            </w:pPr>
            <w:r>
              <w:t xml:space="preserve">7.9 </w:t>
            </w:r>
          </w:p>
        </w:tc>
        <w:tc>
          <w:tcPr>
            <w:tcW w:w="1111" w:type="dxa"/>
            <w:tcBorders>
              <w:top w:val="single" w:sz="6" w:space="0" w:color="000000"/>
              <w:left w:val="single" w:sz="6" w:space="0" w:color="000000"/>
              <w:bottom w:val="single" w:sz="6" w:space="0" w:color="000000"/>
              <w:right w:val="single" w:sz="6" w:space="0" w:color="000000"/>
            </w:tcBorders>
          </w:tcPr>
          <w:p w14:paraId="0890DFEA" w14:textId="12DB2229" w:rsidR="00D83842" w:rsidRDefault="00000000" w:rsidP="00BA5F13">
            <w:pPr>
              <w:tabs>
                <w:tab w:val="right" w:pos="1080"/>
              </w:tabs>
              <w:spacing w:after="0" w:line="259" w:lineRule="auto"/>
              <w:ind w:left="0" w:right="0" w:firstLine="0"/>
              <w:jc w:val="left"/>
            </w:pPr>
            <w:r>
              <w:t xml:space="preserve">10.8 </w:t>
            </w:r>
          </w:p>
        </w:tc>
      </w:tr>
      <w:tr w:rsidR="00D83842" w14:paraId="1D856D64"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20F0FD5C" w14:textId="77777777" w:rsidR="00D83842" w:rsidRDefault="00000000" w:rsidP="00BA5F13">
            <w:pPr>
              <w:spacing w:after="0" w:line="259" w:lineRule="auto"/>
              <w:ind w:left="0" w:right="0" w:firstLine="0"/>
              <w:jc w:val="left"/>
            </w:pPr>
            <w:r>
              <w:t xml:space="preserve">ICT </w:t>
            </w:r>
          </w:p>
        </w:tc>
        <w:tc>
          <w:tcPr>
            <w:tcW w:w="1096" w:type="dxa"/>
            <w:tcBorders>
              <w:top w:val="single" w:sz="6" w:space="0" w:color="000000"/>
              <w:left w:val="single" w:sz="6" w:space="0" w:color="000000"/>
              <w:bottom w:val="single" w:sz="6" w:space="0" w:color="000000"/>
              <w:right w:val="single" w:sz="6" w:space="0" w:color="000000"/>
            </w:tcBorders>
          </w:tcPr>
          <w:p w14:paraId="58347F13" w14:textId="77777777" w:rsidR="00D83842" w:rsidRDefault="00000000" w:rsidP="00BA5F13">
            <w:pPr>
              <w:spacing w:after="0" w:line="259" w:lineRule="auto"/>
              <w:ind w:left="0" w:right="69" w:firstLine="0"/>
              <w:jc w:val="right"/>
            </w:pPr>
            <w:r>
              <w:t xml:space="preserve">2.2 </w:t>
            </w:r>
          </w:p>
        </w:tc>
        <w:tc>
          <w:tcPr>
            <w:tcW w:w="1111" w:type="dxa"/>
            <w:tcBorders>
              <w:top w:val="single" w:sz="6" w:space="0" w:color="000000"/>
              <w:left w:val="single" w:sz="6" w:space="0" w:color="000000"/>
              <w:bottom w:val="single" w:sz="6" w:space="0" w:color="000000"/>
              <w:right w:val="single" w:sz="6" w:space="0" w:color="000000"/>
            </w:tcBorders>
          </w:tcPr>
          <w:p w14:paraId="70FBCEC5" w14:textId="6E2B638E" w:rsidR="00D83842" w:rsidRDefault="00000000" w:rsidP="00BA5F13">
            <w:pPr>
              <w:tabs>
                <w:tab w:val="right" w:pos="1080"/>
              </w:tabs>
              <w:spacing w:after="0" w:line="259" w:lineRule="auto"/>
              <w:ind w:left="0" w:right="0" w:firstLine="0"/>
              <w:jc w:val="left"/>
            </w:pPr>
            <w:r>
              <w:t xml:space="preserve">2.3 </w:t>
            </w:r>
          </w:p>
        </w:tc>
        <w:tc>
          <w:tcPr>
            <w:tcW w:w="1096" w:type="dxa"/>
            <w:tcBorders>
              <w:top w:val="single" w:sz="6" w:space="0" w:color="000000"/>
              <w:left w:val="single" w:sz="6" w:space="0" w:color="000000"/>
              <w:bottom w:val="single" w:sz="6" w:space="0" w:color="000000"/>
              <w:right w:val="single" w:sz="6" w:space="0" w:color="000000"/>
            </w:tcBorders>
          </w:tcPr>
          <w:p w14:paraId="073857BA" w14:textId="78CB87E0" w:rsidR="00D83842" w:rsidRDefault="00000000" w:rsidP="00BA5F13">
            <w:pPr>
              <w:tabs>
                <w:tab w:val="right" w:pos="1065"/>
              </w:tabs>
              <w:spacing w:after="0" w:line="259" w:lineRule="auto"/>
              <w:ind w:left="0" w:right="0" w:firstLine="0"/>
              <w:jc w:val="left"/>
            </w:pPr>
            <w:r>
              <w:t xml:space="preserve">0.6 </w:t>
            </w:r>
          </w:p>
        </w:tc>
        <w:tc>
          <w:tcPr>
            <w:tcW w:w="1097" w:type="dxa"/>
            <w:tcBorders>
              <w:top w:val="single" w:sz="6" w:space="0" w:color="000000"/>
              <w:left w:val="single" w:sz="6" w:space="0" w:color="000000"/>
              <w:bottom w:val="single" w:sz="6" w:space="0" w:color="000000"/>
              <w:right w:val="single" w:sz="6" w:space="0" w:color="000000"/>
            </w:tcBorders>
          </w:tcPr>
          <w:p w14:paraId="178A2D4D" w14:textId="63BE1D83" w:rsidR="00D83842" w:rsidRDefault="00000000" w:rsidP="00BA5F13">
            <w:pPr>
              <w:tabs>
                <w:tab w:val="right" w:pos="1065"/>
              </w:tabs>
              <w:spacing w:after="0" w:line="259" w:lineRule="auto"/>
              <w:ind w:left="0" w:right="0" w:firstLine="0"/>
              <w:jc w:val="left"/>
            </w:pPr>
            <w:r>
              <w:t xml:space="preserve">0.2 </w:t>
            </w:r>
          </w:p>
        </w:tc>
        <w:tc>
          <w:tcPr>
            <w:tcW w:w="1111" w:type="dxa"/>
            <w:tcBorders>
              <w:top w:val="single" w:sz="6" w:space="0" w:color="000000"/>
              <w:left w:val="single" w:sz="6" w:space="0" w:color="000000"/>
              <w:bottom w:val="single" w:sz="6" w:space="0" w:color="000000"/>
              <w:right w:val="single" w:sz="6" w:space="0" w:color="000000"/>
            </w:tcBorders>
          </w:tcPr>
          <w:p w14:paraId="2AF89553" w14:textId="7474C7C5" w:rsidR="00D83842" w:rsidRDefault="00000000" w:rsidP="00BA5F13">
            <w:pPr>
              <w:tabs>
                <w:tab w:val="right" w:pos="1080"/>
              </w:tabs>
              <w:spacing w:after="0" w:line="259" w:lineRule="auto"/>
              <w:ind w:left="0" w:right="0" w:firstLine="0"/>
              <w:jc w:val="left"/>
            </w:pPr>
            <w:r>
              <w:t xml:space="preserve">0.5 </w:t>
            </w:r>
          </w:p>
        </w:tc>
      </w:tr>
      <w:tr w:rsidR="00D83842" w14:paraId="00E1B39A" w14:textId="77777777" w:rsidTr="002D54A3">
        <w:trPr>
          <w:trHeight w:val="286"/>
        </w:trPr>
        <w:tc>
          <w:tcPr>
            <w:tcW w:w="3005" w:type="dxa"/>
            <w:tcBorders>
              <w:top w:val="single" w:sz="6" w:space="0" w:color="000000"/>
              <w:left w:val="single" w:sz="6" w:space="0" w:color="000000"/>
              <w:bottom w:val="single" w:sz="6" w:space="0" w:color="000000"/>
              <w:right w:val="single" w:sz="6" w:space="0" w:color="000000"/>
            </w:tcBorders>
          </w:tcPr>
          <w:p w14:paraId="22C25FCF" w14:textId="01304B2A" w:rsidR="00D83842" w:rsidRDefault="00D83842" w:rsidP="00BA5F13">
            <w:pPr>
              <w:spacing w:after="0" w:line="259" w:lineRule="auto"/>
              <w:ind w:left="0" w:right="0" w:firstLine="0"/>
              <w:jc w:val="right"/>
            </w:pPr>
          </w:p>
        </w:tc>
        <w:tc>
          <w:tcPr>
            <w:tcW w:w="1096" w:type="dxa"/>
            <w:tcBorders>
              <w:top w:val="single" w:sz="6" w:space="0" w:color="000000"/>
              <w:left w:val="single" w:sz="6" w:space="0" w:color="000000"/>
              <w:bottom w:val="single" w:sz="6" w:space="0" w:color="000000"/>
              <w:right w:val="single" w:sz="6" w:space="0" w:color="000000"/>
            </w:tcBorders>
          </w:tcPr>
          <w:p w14:paraId="15E250CF" w14:textId="77777777" w:rsidR="00D83842" w:rsidRDefault="00000000" w:rsidP="00BA5F13">
            <w:pPr>
              <w:spacing w:after="0" w:line="259" w:lineRule="auto"/>
              <w:ind w:left="0" w:right="69" w:firstLine="0"/>
              <w:jc w:val="right"/>
            </w:pPr>
            <w:r w:rsidRPr="00BA5F13">
              <w:rPr>
                <w:b/>
              </w:rPr>
              <w:t xml:space="preserve">10.2 </w:t>
            </w:r>
          </w:p>
        </w:tc>
        <w:tc>
          <w:tcPr>
            <w:tcW w:w="1111" w:type="dxa"/>
            <w:tcBorders>
              <w:top w:val="single" w:sz="6" w:space="0" w:color="000000"/>
              <w:left w:val="single" w:sz="6" w:space="0" w:color="000000"/>
              <w:bottom w:val="single" w:sz="6" w:space="0" w:color="000000"/>
              <w:right w:val="single" w:sz="6" w:space="0" w:color="000000"/>
            </w:tcBorders>
          </w:tcPr>
          <w:p w14:paraId="2642C90D" w14:textId="2253BD50" w:rsidR="00D83842" w:rsidRDefault="00000000" w:rsidP="00BA5F13">
            <w:pPr>
              <w:tabs>
                <w:tab w:val="right" w:pos="1080"/>
              </w:tabs>
              <w:spacing w:after="0" w:line="259" w:lineRule="auto"/>
              <w:ind w:left="0" w:right="0" w:firstLine="0"/>
              <w:jc w:val="left"/>
            </w:pPr>
            <w:r w:rsidRPr="00BA5F13">
              <w:rPr>
                <w:b/>
              </w:rPr>
              <w:t xml:space="preserve">20.3 </w:t>
            </w:r>
          </w:p>
        </w:tc>
        <w:tc>
          <w:tcPr>
            <w:tcW w:w="1096" w:type="dxa"/>
            <w:tcBorders>
              <w:top w:val="single" w:sz="6" w:space="0" w:color="000000"/>
              <w:left w:val="single" w:sz="6" w:space="0" w:color="000000"/>
              <w:bottom w:val="single" w:sz="6" w:space="0" w:color="000000"/>
              <w:right w:val="single" w:sz="6" w:space="0" w:color="000000"/>
            </w:tcBorders>
          </w:tcPr>
          <w:p w14:paraId="6B27C5DF" w14:textId="44D50CF3" w:rsidR="00D83842" w:rsidRDefault="00000000" w:rsidP="00BA5F13">
            <w:pPr>
              <w:tabs>
                <w:tab w:val="right" w:pos="1065"/>
              </w:tabs>
              <w:spacing w:after="0" w:line="259" w:lineRule="auto"/>
              <w:ind w:left="0" w:right="0" w:firstLine="0"/>
              <w:jc w:val="left"/>
            </w:pPr>
            <w:r w:rsidRPr="00BA5F13">
              <w:rPr>
                <w:b/>
              </w:rPr>
              <w:t xml:space="preserve">18.5 </w:t>
            </w:r>
          </w:p>
        </w:tc>
        <w:tc>
          <w:tcPr>
            <w:tcW w:w="1097" w:type="dxa"/>
            <w:tcBorders>
              <w:top w:val="single" w:sz="6" w:space="0" w:color="000000"/>
              <w:left w:val="single" w:sz="6" w:space="0" w:color="000000"/>
              <w:bottom w:val="single" w:sz="6" w:space="0" w:color="000000"/>
              <w:right w:val="single" w:sz="6" w:space="0" w:color="000000"/>
            </w:tcBorders>
          </w:tcPr>
          <w:p w14:paraId="6FDEE728" w14:textId="4F2E78F3" w:rsidR="00D83842" w:rsidRDefault="00000000" w:rsidP="00BA5F13">
            <w:pPr>
              <w:tabs>
                <w:tab w:val="right" w:pos="1065"/>
              </w:tabs>
              <w:spacing w:after="0" w:line="259" w:lineRule="auto"/>
              <w:ind w:left="0" w:right="0" w:firstLine="0"/>
              <w:jc w:val="left"/>
            </w:pPr>
            <w:r w:rsidRPr="00BA5F13">
              <w:rPr>
                <w:b/>
              </w:rPr>
              <w:t xml:space="preserve">10.0 </w:t>
            </w:r>
          </w:p>
        </w:tc>
        <w:tc>
          <w:tcPr>
            <w:tcW w:w="1111" w:type="dxa"/>
            <w:tcBorders>
              <w:top w:val="single" w:sz="6" w:space="0" w:color="000000"/>
              <w:left w:val="single" w:sz="6" w:space="0" w:color="000000"/>
              <w:bottom w:val="single" w:sz="6" w:space="0" w:color="000000"/>
              <w:right w:val="single" w:sz="6" w:space="0" w:color="000000"/>
            </w:tcBorders>
          </w:tcPr>
          <w:p w14:paraId="5556E024" w14:textId="349392C4" w:rsidR="00D83842" w:rsidRDefault="00000000" w:rsidP="00BA5F13">
            <w:pPr>
              <w:tabs>
                <w:tab w:val="right" w:pos="1080"/>
              </w:tabs>
              <w:spacing w:after="0" w:line="259" w:lineRule="auto"/>
              <w:ind w:left="0" w:right="0" w:firstLine="0"/>
              <w:jc w:val="left"/>
            </w:pPr>
            <w:r w:rsidRPr="00BA5F13">
              <w:rPr>
                <w:b/>
              </w:rPr>
              <w:t xml:space="preserve">13.9 </w:t>
            </w:r>
          </w:p>
        </w:tc>
      </w:tr>
      <w:tr w:rsidR="00D83842" w14:paraId="154590A8"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6DB3CB59" w14:textId="77777777" w:rsidR="00D83842" w:rsidRDefault="00000000" w:rsidP="00BA5F13">
            <w:pPr>
              <w:spacing w:after="0" w:line="259" w:lineRule="auto"/>
              <w:ind w:left="0" w:right="0" w:firstLine="0"/>
              <w:jc w:val="left"/>
            </w:pPr>
            <w:r w:rsidRPr="00BA5F13">
              <w:rPr>
                <w:b/>
              </w:rPr>
              <w:t xml:space="preserve">Funding </w:t>
            </w:r>
          </w:p>
        </w:tc>
        <w:tc>
          <w:tcPr>
            <w:tcW w:w="1096" w:type="dxa"/>
            <w:tcBorders>
              <w:top w:val="single" w:sz="6" w:space="0" w:color="000000"/>
              <w:left w:val="single" w:sz="6" w:space="0" w:color="000000"/>
              <w:bottom w:val="single" w:sz="6" w:space="0" w:color="000000"/>
              <w:right w:val="single" w:sz="6" w:space="0" w:color="000000"/>
            </w:tcBorders>
          </w:tcPr>
          <w:p w14:paraId="258CFC36" w14:textId="0DBB6978" w:rsidR="00D83842" w:rsidRDefault="00D83842" w:rsidP="00BA5F13">
            <w:pPr>
              <w:spacing w:after="0" w:line="259" w:lineRule="auto"/>
              <w:ind w:left="0" w:right="0" w:firstLine="0"/>
              <w:jc w:val="left"/>
            </w:pPr>
          </w:p>
        </w:tc>
        <w:tc>
          <w:tcPr>
            <w:tcW w:w="1111" w:type="dxa"/>
            <w:tcBorders>
              <w:top w:val="single" w:sz="6" w:space="0" w:color="000000"/>
              <w:left w:val="single" w:sz="6" w:space="0" w:color="000000"/>
              <w:bottom w:val="single" w:sz="6" w:space="0" w:color="000000"/>
              <w:right w:val="single" w:sz="6" w:space="0" w:color="000000"/>
            </w:tcBorders>
          </w:tcPr>
          <w:p w14:paraId="2CB471C5" w14:textId="7199A6CA" w:rsidR="00D83842" w:rsidRDefault="00D83842" w:rsidP="00BA5F13">
            <w:pPr>
              <w:spacing w:after="0" w:line="259" w:lineRule="auto"/>
              <w:ind w:left="0" w:right="0" w:firstLine="0"/>
              <w:jc w:val="left"/>
            </w:pPr>
          </w:p>
        </w:tc>
        <w:tc>
          <w:tcPr>
            <w:tcW w:w="1096" w:type="dxa"/>
            <w:tcBorders>
              <w:top w:val="single" w:sz="6" w:space="0" w:color="000000"/>
              <w:left w:val="single" w:sz="6" w:space="0" w:color="000000"/>
              <w:bottom w:val="single" w:sz="6" w:space="0" w:color="000000"/>
              <w:right w:val="single" w:sz="6" w:space="0" w:color="000000"/>
            </w:tcBorders>
          </w:tcPr>
          <w:p w14:paraId="217D575A" w14:textId="2480C4DD" w:rsidR="00D83842" w:rsidRDefault="00D83842" w:rsidP="00BA5F13">
            <w:pPr>
              <w:spacing w:after="0" w:line="259" w:lineRule="auto"/>
              <w:ind w:left="0" w:right="0" w:firstLine="0"/>
              <w:jc w:val="left"/>
            </w:pPr>
          </w:p>
        </w:tc>
        <w:tc>
          <w:tcPr>
            <w:tcW w:w="1097" w:type="dxa"/>
            <w:tcBorders>
              <w:top w:val="single" w:sz="6" w:space="0" w:color="000000"/>
              <w:left w:val="single" w:sz="6" w:space="0" w:color="000000"/>
              <w:bottom w:val="single" w:sz="6" w:space="0" w:color="000000"/>
              <w:right w:val="single" w:sz="6" w:space="0" w:color="000000"/>
            </w:tcBorders>
          </w:tcPr>
          <w:p w14:paraId="608CE7CB" w14:textId="5B7D567D" w:rsidR="00D83842" w:rsidRDefault="00D83842" w:rsidP="00BA5F13">
            <w:pPr>
              <w:spacing w:after="0" w:line="259" w:lineRule="auto"/>
              <w:ind w:left="0" w:right="0" w:firstLine="0"/>
              <w:jc w:val="left"/>
            </w:pPr>
          </w:p>
        </w:tc>
        <w:tc>
          <w:tcPr>
            <w:tcW w:w="1111" w:type="dxa"/>
            <w:tcBorders>
              <w:top w:val="single" w:sz="6" w:space="0" w:color="000000"/>
              <w:left w:val="single" w:sz="6" w:space="0" w:color="000000"/>
              <w:bottom w:val="single" w:sz="6" w:space="0" w:color="000000"/>
              <w:right w:val="single" w:sz="6" w:space="0" w:color="000000"/>
            </w:tcBorders>
          </w:tcPr>
          <w:p w14:paraId="18A53742" w14:textId="74022668" w:rsidR="00D83842" w:rsidRDefault="00D83842" w:rsidP="00BA5F13">
            <w:pPr>
              <w:spacing w:after="0" w:line="259" w:lineRule="auto"/>
              <w:ind w:left="0" w:right="0" w:firstLine="0"/>
              <w:jc w:val="left"/>
            </w:pPr>
          </w:p>
        </w:tc>
      </w:tr>
      <w:tr w:rsidR="00D83842" w14:paraId="43A530A8"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28CB40EB" w14:textId="77777777" w:rsidR="00D83842" w:rsidRDefault="00000000" w:rsidP="00BA5F13">
            <w:pPr>
              <w:spacing w:after="0" w:line="259" w:lineRule="auto"/>
              <w:ind w:left="0" w:right="0" w:firstLine="0"/>
              <w:jc w:val="left"/>
            </w:pPr>
            <w:r>
              <w:t xml:space="preserve">Revenue Contributions </w:t>
            </w:r>
          </w:p>
        </w:tc>
        <w:tc>
          <w:tcPr>
            <w:tcW w:w="1096" w:type="dxa"/>
            <w:tcBorders>
              <w:top w:val="single" w:sz="6" w:space="0" w:color="000000"/>
              <w:left w:val="single" w:sz="6" w:space="0" w:color="000000"/>
              <w:bottom w:val="single" w:sz="6" w:space="0" w:color="000000"/>
              <w:right w:val="single" w:sz="6" w:space="0" w:color="000000"/>
            </w:tcBorders>
          </w:tcPr>
          <w:p w14:paraId="18864094" w14:textId="77777777" w:rsidR="00D83842" w:rsidRDefault="00000000" w:rsidP="00BA5F13">
            <w:pPr>
              <w:spacing w:after="0" w:line="259" w:lineRule="auto"/>
              <w:ind w:left="0" w:right="69" w:firstLine="0"/>
              <w:jc w:val="right"/>
            </w:pPr>
            <w:r>
              <w:t xml:space="preserve">2.5 </w:t>
            </w:r>
          </w:p>
        </w:tc>
        <w:tc>
          <w:tcPr>
            <w:tcW w:w="1111" w:type="dxa"/>
            <w:tcBorders>
              <w:top w:val="single" w:sz="6" w:space="0" w:color="000000"/>
              <w:left w:val="single" w:sz="6" w:space="0" w:color="000000"/>
              <w:bottom w:val="single" w:sz="6" w:space="0" w:color="000000"/>
              <w:right w:val="single" w:sz="6" w:space="0" w:color="000000"/>
            </w:tcBorders>
          </w:tcPr>
          <w:p w14:paraId="716832FF" w14:textId="431DA425" w:rsidR="00D83842" w:rsidRDefault="00000000" w:rsidP="00BA5F13">
            <w:pPr>
              <w:tabs>
                <w:tab w:val="right" w:pos="1080"/>
              </w:tabs>
              <w:spacing w:after="0" w:line="259" w:lineRule="auto"/>
              <w:ind w:left="0" w:right="0" w:firstLine="0"/>
              <w:jc w:val="left"/>
            </w:pPr>
            <w:r>
              <w:t xml:space="preserve">2.0 </w:t>
            </w:r>
          </w:p>
        </w:tc>
        <w:tc>
          <w:tcPr>
            <w:tcW w:w="1096" w:type="dxa"/>
            <w:tcBorders>
              <w:top w:val="single" w:sz="6" w:space="0" w:color="000000"/>
              <w:left w:val="single" w:sz="6" w:space="0" w:color="000000"/>
              <w:bottom w:val="single" w:sz="6" w:space="0" w:color="000000"/>
              <w:right w:val="single" w:sz="6" w:space="0" w:color="000000"/>
            </w:tcBorders>
          </w:tcPr>
          <w:p w14:paraId="45795A8C" w14:textId="13FC06CB" w:rsidR="00D83842" w:rsidRDefault="00000000" w:rsidP="00BA5F13">
            <w:pPr>
              <w:tabs>
                <w:tab w:val="right" w:pos="1065"/>
              </w:tabs>
              <w:spacing w:after="0" w:line="259" w:lineRule="auto"/>
              <w:ind w:left="0" w:right="0" w:firstLine="0"/>
              <w:jc w:val="left"/>
            </w:pPr>
            <w:r>
              <w:t xml:space="preserve">3.0 </w:t>
            </w:r>
          </w:p>
        </w:tc>
        <w:tc>
          <w:tcPr>
            <w:tcW w:w="1097" w:type="dxa"/>
            <w:tcBorders>
              <w:top w:val="single" w:sz="6" w:space="0" w:color="000000"/>
              <w:left w:val="single" w:sz="6" w:space="0" w:color="000000"/>
              <w:bottom w:val="single" w:sz="6" w:space="0" w:color="000000"/>
              <w:right w:val="single" w:sz="6" w:space="0" w:color="000000"/>
            </w:tcBorders>
          </w:tcPr>
          <w:p w14:paraId="5B9374B7" w14:textId="132F11C5" w:rsidR="00D83842" w:rsidRDefault="00000000" w:rsidP="00BA5F13">
            <w:pPr>
              <w:tabs>
                <w:tab w:val="right" w:pos="1065"/>
              </w:tabs>
              <w:spacing w:after="0" w:line="259" w:lineRule="auto"/>
              <w:ind w:left="0" w:right="0" w:firstLine="0"/>
              <w:jc w:val="left"/>
            </w:pPr>
            <w:r>
              <w:t xml:space="preserve">3.5 </w:t>
            </w:r>
          </w:p>
        </w:tc>
        <w:tc>
          <w:tcPr>
            <w:tcW w:w="1111" w:type="dxa"/>
            <w:tcBorders>
              <w:top w:val="single" w:sz="6" w:space="0" w:color="000000"/>
              <w:left w:val="single" w:sz="6" w:space="0" w:color="000000"/>
              <w:bottom w:val="single" w:sz="6" w:space="0" w:color="000000"/>
              <w:right w:val="single" w:sz="6" w:space="0" w:color="000000"/>
            </w:tcBorders>
          </w:tcPr>
          <w:p w14:paraId="42F171BD" w14:textId="61D0C96C" w:rsidR="00D83842" w:rsidRDefault="00000000" w:rsidP="00BA5F13">
            <w:pPr>
              <w:tabs>
                <w:tab w:val="right" w:pos="1080"/>
              </w:tabs>
              <w:spacing w:after="0" w:line="259" w:lineRule="auto"/>
              <w:ind w:left="0" w:right="0" w:firstLine="0"/>
              <w:jc w:val="left"/>
            </w:pPr>
            <w:r>
              <w:t xml:space="preserve">4.0 </w:t>
            </w:r>
          </w:p>
        </w:tc>
      </w:tr>
      <w:tr w:rsidR="00D83842" w14:paraId="7011F814"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3348846F" w14:textId="77777777" w:rsidR="00D83842" w:rsidRDefault="00000000" w:rsidP="00BA5F13">
            <w:pPr>
              <w:spacing w:after="0" w:line="259" w:lineRule="auto"/>
              <w:ind w:left="0" w:right="0" w:firstLine="0"/>
              <w:jc w:val="left"/>
            </w:pPr>
            <w:r>
              <w:t xml:space="preserve">Capital Reserve </w:t>
            </w:r>
          </w:p>
        </w:tc>
        <w:tc>
          <w:tcPr>
            <w:tcW w:w="1096" w:type="dxa"/>
            <w:tcBorders>
              <w:top w:val="single" w:sz="6" w:space="0" w:color="000000"/>
              <w:left w:val="single" w:sz="6" w:space="0" w:color="000000"/>
              <w:bottom w:val="single" w:sz="6" w:space="0" w:color="000000"/>
              <w:right w:val="single" w:sz="6" w:space="0" w:color="000000"/>
            </w:tcBorders>
          </w:tcPr>
          <w:p w14:paraId="000D6348" w14:textId="77777777" w:rsidR="00D83842" w:rsidRDefault="00000000" w:rsidP="00BA5F13">
            <w:pPr>
              <w:spacing w:after="0" w:line="259" w:lineRule="auto"/>
              <w:ind w:left="0" w:right="69" w:firstLine="0"/>
              <w:jc w:val="right"/>
            </w:pPr>
            <w:r>
              <w:t xml:space="preserve">7.7 </w:t>
            </w:r>
          </w:p>
        </w:tc>
        <w:tc>
          <w:tcPr>
            <w:tcW w:w="1111" w:type="dxa"/>
            <w:tcBorders>
              <w:top w:val="single" w:sz="6" w:space="0" w:color="000000"/>
              <w:left w:val="single" w:sz="6" w:space="0" w:color="000000"/>
              <w:bottom w:val="single" w:sz="6" w:space="0" w:color="000000"/>
              <w:right w:val="single" w:sz="6" w:space="0" w:color="000000"/>
            </w:tcBorders>
          </w:tcPr>
          <w:p w14:paraId="1CA6632D" w14:textId="6B076F07" w:rsidR="00D83842" w:rsidRDefault="00000000" w:rsidP="00BA5F13">
            <w:pPr>
              <w:tabs>
                <w:tab w:val="right" w:pos="1080"/>
              </w:tabs>
              <w:spacing w:after="0" w:line="259" w:lineRule="auto"/>
              <w:ind w:left="0" w:right="0" w:firstLine="0"/>
              <w:jc w:val="left"/>
            </w:pPr>
            <w:r>
              <w:t xml:space="preserve">11.1 </w:t>
            </w:r>
          </w:p>
        </w:tc>
        <w:tc>
          <w:tcPr>
            <w:tcW w:w="1096" w:type="dxa"/>
            <w:tcBorders>
              <w:top w:val="single" w:sz="6" w:space="0" w:color="000000"/>
              <w:left w:val="single" w:sz="6" w:space="0" w:color="000000"/>
              <w:bottom w:val="single" w:sz="6" w:space="0" w:color="000000"/>
              <w:right w:val="single" w:sz="6" w:space="0" w:color="000000"/>
            </w:tcBorders>
          </w:tcPr>
          <w:p w14:paraId="36377AA9" w14:textId="18504468" w:rsidR="00D83842" w:rsidRDefault="00000000" w:rsidP="00BA5F13">
            <w:pPr>
              <w:tabs>
                <w:tab w:val="right" w:pos="1065"/>
              </w:tabs>
              <w:spacing w:after="0" w:line="259" w:lineRule="auto"/>
              <w:ind w:left="0" w:right="0" w:firstLine="0"/>
              <w:jc w:val="left"/>
            </w:pPr>
            <w:r>
              <w:t xml:space="preserve">0.0 </w:t>
            </w:r>
          </w:p>
        </w:tc>
        <w:tc>
          <w:tcPr>
            <w:tcW w:w="1097" w:type="dxa"/>
            <w:tcBorders>
              <w:top w:val="single" w:sz="6" w:space="0" w:color="000000"/>
              <w:left w:val="single" w:sz="6" w:space="0" w:color="000000"/>
              <w:bottom w:val="single" w:sz="6" w:space="0" w:color="000000"/>
              <w:right w:val="single" w:sz="6" w:space="0" w:color="000000"/>
            </w:tcBorders>
          </w:tcPr>
          <w:p w14:paraId="0969672F" w14:textId="73BEFDF2" w:rsidR="00D83842" w:rsidRDefault="00000000" w:rsidP="00BA5F13">
            <w:pPr>
              <w:tabs>
                <w:tab w:val="right" w:pos="1065"/>
              </w:tabs>
              <w:spacing w:after="0" w:line="259" w:lineRule="auto"/>
              <w:ind w:left="0" w:right="0" w:firstLine="0"/>
              <w:jc w:val="left"/>
            </w:pPr>
            <w:r>
              <w:t xml:space="preserve">0.0 </w:t>
            </w:r>
          </w:p>
        </w:tc>
        <w:tc>
          <w:tcPr>
            <w:tcW w:w="1111" w:type="dxa"/>
            <w:tcBorders>
              <w:top w:val="single" w:sz="6" w:space="0" w:color="000000"/>
              <w:left w:val="single" w:sz="6" w:space="0" w:color="000000"/>
              <w:bottom w:val="single" w:sz="6" w:space="0" w:color="000000"/>
              <w:right w:val="single" w:sz="6" w:space="0" w:color="000000"/>
            </w:tcBorders>
          </w:tcPr>
          <w:p w14:paraId="2BA83BFC" w14:textId="441FC816" w:rsidR="00D83842" w:rsidRDefault="00000000" w:rsidP="00BA5F13">
            <w:pPr>
              <w:tabs>
                <w:tab w:val="right" w:pos="1080"/>
              </w:tabs>
              <w:spacing w:after="0" w:line="259" w:lineRule="auto"/>
              <w:ind w:left="0" w:right="0" w:firstLine="0"/>
              <w:jc w:val="left"/>
            </w:pPr>
            <w:r>
              <w:t xml:space="preserve">0.0 </w:t>
            </w:r>
          </w:p>
        </w:tc>
      </w:tr>
      <w:tr w:rsidR="00D83842" w14:paraId="5FB99E6C"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7C6706AE" w14:textId="77777777" w:rsidR="00D83842" w:rsidRDefault="00000000" w:rsidP="00BA5F13">
            <w:pPr>
              <w:spacing w:after="0" w:line="259" w:lineRule="auto"/>
              <w:ind w:left="0" w:right="0" w:firstLine="0"/>
              <w:jc w:val="left"/>
            </w:pPr>
            <w:r>
              <w:t xml:space="preserve">Capital Receipts </w:t>
            </w:r>
          </w:p>
        </w:tc>
        <w:tc>
          <w:tcPr>
            <w:tcW w:w="1096" w:type="dxa"/>
            <w:tcBorders>
              <w:top w:val="single" w:sz="6" w:space="0" w:color="000000"/>
              <w:left w:val="single" w:sz="6" w:space="0" w:color="000000"/>
              <w:bottom w:val="single" w:sz="6" w:space="0" w:color="000000"/>
              <w:right w:val="single" w:sz="6" w:space="0" w:color="000000"/>
            </w:tcBorders>
          </w:tcPr>
          <w:p w14:paraId="17784550" w14:textId="77777777" w:rsidR="00D83842" w:rsidRDefault="00000000" w:rsidP="00BA5F13">
            <w:pPr>
              <w:spacing w:after="0" w:line="259" w:lineRule="auto"/>
              <w:ind w:left="0" w:right="69" w:firstLine="0"/>
              <w:jc w:val="right"/>
            </w:pPr>
            <w:r>
              <w:t xml:space="preserve">0.0 </w:t>
            </w:r>
          </w:p>
        </w:tc>
        <w:tc>
          <w:tcPr>
            <w:tcW w:w="1111" w:type="dxa"/>
            <w:tcBorders>
              <w:top w:val="single" w:sz="6" w:space="0" w:color="000000"/>
              <w:left w:val="single" w:sz="6" w:space="0" w:color="000000"/>
              <w:bottom w:val="single" w:sz="6" w:space="0" w:color="000000"/>
              <w:right w:val="single" w:sz="6" w:space="0" w:color="000000"/>
            </w:tcBorders>
          </w:tcPr>
          <w:p w14:paraId="7C07CA87" w14:textId="340D6DC9" w:rsidR="00D83842" w:rsidRDefault="00000000" w:rsidP="00BA5F13">
            <w:pPr>
              <w:tabs>
                <w:tab w:val="right" w:pos="1080"/>
              </w:tabs>
              <w:spacing w:after="0" w:line="259" w:lineRule="auto"/>
              <w:ind w:left="0" w:right="0" w:firstLine="0"/>
              <w:jc w:val="left"/>
            </w:pPr>
            <w:r>
              <w:t xml:space="preserve">0.0 </w:t>
            </w:r>
          </w:p>
        </w:tc>
        <w:tc>
          <w:tcPr>
            <w:tcW w:w="1096" w:type="dxa"/>
            <w:tcBorders>
              <w:top w:val="single" w:sz="6" w:space="0" w:color="000000"/>
              <w:left w:val="single" w:sz="6" w:space="0" w:color="000000"/>
              <w:bottom w:val="single" w:sz="6" w:space="0" w:color="000000"/>
              <w:right w:val="single" w:sz="6" w:space="0" w:color="000000"/>
            </w:tcBorders>
          </w:tcPr>
          <w:p w14:paraId="51F18D49" w14:textId="18CF6AFA" w:rsidR="00D83842" w:rsidRDefault="00000000" w:rsidP="00BA5F13">
            <w:pPr>
              <w:tabs>
                <w:tab w:val="right" w:pos="1065"/>
              </w:tabs>
              <w:spacing w:after="0" w:line="259" w:lineRule="auto"/>
              <w:ind w:left="0" w:right="0" w:firstLine="0"/>
              <w:jc w:val="left"/>
            </w:pPr>
            <w:r>
              <w:t xml:space="preserve">0.0 </w:t>
            </w:r>
          </w:p>
        </w:tc>
        <w:tc>
          <w:tcPr>
            <w:tcW w:w="1097" w:type="dxa"/>
            <w:tcBorders>
              <w:top w:val="single" w:sz="6" w:space="0" w:color="000000"/>
              <w:left w:val="single" w:sz="6" w:space="0" w:color="000000"/>
              <w:bottom w:val="single" w:sz="6" w:space="0" w:color="000000"/>
              <w:right w:val="single" w:sz="6" w:space="0" w:color="000000"/>
            </w:tcBorders>
          </w:tcPr>
          <w:p w14:paraId="3AC60741" w14:textId="0C921491" w:rsidR="00D83842" w:rsidRDefault="00000000" w:rsidP="00BA5F13">
            <w:pPr>
              <w:tabs>
                <w:tab w:val="right" w:pos="1065"/>
              </w:tabs>
              <w:spacing w:after="0" w:line="259" w:lineRule="auto"/>
              <w:ind w:left="0" w:right="0" w:firstLine="0"/>
              <w:jc w:val="left"/>
            </w:pPr>
            <w:r>
              <w:t xml:space="preserve">5.0 </w:t>
            </w:r>
          </w:p>
        </w:tc>
        <w:tc>
          <w:tcPr>
            <w:tcW w:w="1111" w:type="dxa"/>
            <w:tcBorders>
              <w:top w:val="single" w:sz="6" w:space="0" w:color="000000"/>
              <w:left w:val="single" w:sz="6" w:space="0" w:color="000000"/>
              <w:bottom w:val="single" w:sz="6" w:space="0" w:color="000000"/>
              <w:right w:val="single" w:sz="6" w:space="0" w:color="000000"/>
            </w:tcBorders>
          </w:tcPr>
          <w:p w14:paraId="5A112B5E" w14:textId="71211C33" w:rsidR="00D83842" w:rsidRDefault="00000000" w:rsidP="00BA5F13">
            <w:pPr>
              <w:tabs>
                <w:tab w:val="right" w:pos="1080"/>
              </w:tabs>
              <w:spacing w:after="0" w:line="259" w:lineRule="auto"/>
              <w:ind w:left="0" w:right="0" w:firstLine="0"/>
              <w:jc w:val="left"/>
            </w:pPr>
            <w:r>
              <w:t xml:space="preserve">0.0 </w:t>
            </w:r>
          </w:p>
        </w:tc>
      </w:tr>
      <w:tr w:rsidR="00D83842" w14:paraId="6806F8B0"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6EFF76F0" w14:textId="77777777" w:rsidR="00D83842" w:rsidRDefault="00000000" w:rsidP="00BA5F13">
            <w:pPr>
              <w:spacing w:after="0" w:line="259" w:lineRule="auto"/>
              <w:ind w:left="0" w:right="0" w:firstLine="0"/>
              <w:jc w:val="left"/>
            </w:pPr>
            <w:r>
              <w:t xml:space="preserve">Grants </w:t>
            </w:r>
          </w:p>
        </w:tc>
        <w:tc>
          <w:tcPr>
            <w:tcW w:w="1096" w:type="dxa"/>
            <w:tcBorders>
              <w:top w:val="single" w:sz="6" w:space="0" w:color="000000"/>
              <w:left w:val="single" w:sz="6" w:space="0" w:color="000000"/>
              <w:bottom w:val="single" w:sz="6" w:space="0" w:color="000000"/>
              <w:right w:val="single" w:sz="6" w:space="0" w:color="000000"/>
            </w:tcBorders>
          </w:tcPr>
          <w:p w14:paraId="5982CFFE" w14:textId="77777777" w:rsidR="00D83842" w:rsidRDefault="00000000" w:rsidP="00BA5F13">
            <w:pPr>
              <w:spacing w:after="0" w:line="259" w:lineRule="auto"/>
              <w:ind w:left="0" w:right="69" w:firstLine="0"/>
              <w:jc w:val="right"/>
            </w:pPr>
            <w:r>
              <w:t xml:space="preserve">0.0 </w:t>
            </w:r>
          </w:p>
        </w:tc>
        <w:tc>
          <w:tcPr>
            <w:tcW w:w="1111" w:type="dxa"/>
            <w:tcBorders>
              <w:top w:val="single" w:sz="6" w:space="0" w:color="000000"/>
              <w:left w:val="single" w:sz="6" w:space="0" w:color="000000"/>
              <w:bottom w:val="single" w:sz="6" w:space="0" w:color="000000"/>
              <w:right w:val="single" w:sz="6" w:space="0" w:color="000000"/>
            </w:tcBorders>
          </w:tcPr>
          <w:p w14:paraId="0A723864" w14:textId="5E0407E4" w:rsidR="00D83842" w:rsidRDefault="00000000" w:rsidP="00BA5F13">
            <w:pPr>
              <w:tabs>
                <w:tab w:val="right" w:pos="1080"/>
              </w:tabs>
              <w:spacing w:after="0" w:line="259" w:lineRule="auto"/>
              <w:ind w:left="0" w:right="0" w:firstLine="0"/>
              <w:jc w:val="left"/>
            </w:pPr>
            <w:r>
              <w:t xml:space="preserve">1.0 </w:t>
            </w:r>
          </w:p>
        </w:tc>
        <w:tc>
          <w:tcPr>
            <w:tcW w:w="1096" w:type="dxa"/>
            <w:tcBorders>
              <w:top w:val="single" w:sz="6" w:space="0" w:color="000000"/>
              <w:left w:val="single" w:sz="6" w:space="0" w:color="000000"/>
              <w:bottom w:val="single" w:sz="6" w:space="0" w:color="000000"/>
              <w:right w:val="single" w:sz="6" w:space="0" w:color="000000"/>
            </w:tcBorders>
          </w:tcPr>
          <w:p w14:paraId="5AEA0422" w14:textId="085E99F7" w:rsidR="00D83842" w:rsidRDefault="00000000" w:rsidP="00BA5F13">
            <w:pPr>
              <w:tabs>
                <w:tab w:val="right" w:pos="1065"/>
              </w:tabs>
              <w:spacing w:after="0" w:line="259" w:lineRule="auto"/>
              <w:ind w:left="0" w:right="0" w:firstLine="0"/>
              <w:jc w:val="left"/>
            </w:pPr>
            <w:r>
              <w:t xml:space="preserve">0.0 </w:t>
            </w:r>
          </w:p>
        </w:tc>
        <w:tc>
          <w:tcPr>
            <w:tcW w:w="1097" w:type="dxa"/>
            <w:tcBorders>
              <w:top w:val="single" w:sz="6" w:space="0" w:color="000000"/>
              <w:left w:val="single" w:sz="6" w:space="0" w:color="000000"/>
              <w:bottom w:val="single" w:sz="6" w:space="0" w:color="000000"/>
              <w:right w:val="single" w:sz="6" w:space="0" w:color="000000"/>
            </w:tcBorders>
          </w:tcPr>
          <w:p w14:paraId="5EAD61D8" w14:textId="571EFF50" w:rsidR="00D83842" w:rsidRDefault="00000000" w:rsidP="00BA5F13">
            <w:pPr>
              <w:tabs>
                <w:tab w:val="right" w:pos="1065"/>
              </w:tabs>
              <w:spacing w:after="0" w:line="259" w:lineRule="auto"/>
              <w:ind w:left="0" w:right="0" w:firstLine="0"/>
              <w:jc w:val="left"/>
            </w:pPr>
            <w:r>
              <w:t xml:space="preserve">0.0 </w:t>
            </w:r>
          </w:p>
        </w:tc>
        <w:tc>
          <w:tcPr>
            <w:tcW w:w="1111" w:type="dxa"/>
            <w:tcBorders>
              <w:top w:val="single" w:sz="6" w:space="0" w:color="000000"/>
              <w:left w:val="single" w:sz="6" w:space="0" w:color="000000"/>
              <w:bottom w:val="single" w:sz="6" w:space="0" w:color="000000"/>
              <w:right w:val="single" w:sz="6" w:space="0" w:color="000000"/>
            </w:tcBorders>
          </w:tcPr>
          <w:p w14:paraId="3C8F7EF9" w14:textId="20DD0E33" w:rsidR="00D83842" w:rsidRDefault="00000000" w:rsidP="00BA5F13">
            <w:pPr>
              <w:tabs>
                <w:tab w:val="right" w:pos="1080"/>
              </w:tabs>
              <w:spacing w:after="0" w:line="259" w:lineRule="auto"/>
              <w:ind w:left="0" w:right="0" w:firstLine="0"/>
              <w:jc w:val="left"/>
            </w:pPr>
            <w:r>
              <w:t xml:space="preserve">0.0 </w:t>
            </w:r>
          </w:p>
        </w:tc>
      </w:tr>
      <w:tr w:rsidR="00D83842" w14:paraId="3625D68C" w14:textId="77777777" w:rsidTr="002D54A3">
        <w:trPr>
          <w:trHeight w:val="286"/>
        </w:trPr>
        <w:tc>
          <w:tcPr>
            <w:tcW w:w="3005" w:type="dxa"/>
            <w:tcBorders>
              <w:top w:val="single" w:sz="6" w:space="0" w:color="000000"/>
              <w:left w:val="single" w:sz="6" w:space="0" w:color="000000"/>
              <w:bottom w:val="single" w:sz="6" w:space="0" w:color="000000"/>
              <w:right w:val="single" w:sz="6" w:space="0" w:color="000000"/>
            </w:tcBorders>
          </w:tcPr>
          <w:p w14:paraId="6E7F56CB" w14:textId="77777777" w:rsidR="00D83842" w:rsidRDefault="00000000" w:rsidP="00BA5F13">
            <w:pPr>
              <w:spacing w:after="0" w:line="259" w:lineRule="auto"/>
              <w:ind w:left="0" w:right="0" w:firstLine="0"/>
              <w:jc w:val="left"/>
            </w:pPr>
            <w:r>
              <w:t xml:space="preserve">Borrowing </w:t>
            </w:r>
          </w:p>
        </w:tc>
        <w:tc>
          <w:tcPr>
            <w:tcW w:w="1096" w:type="dxa"/>
            <w:tcBorders>
              <w:top w:val="single" w:sz="6" w:space="0" w:color="000000"/>
              <w:left w:val="single" w:sz="6" w:space="0" w:color="000000"/>
              <w:bottom w:val="single" w:sz="6" w:space="0" w:color="000000"/>
              <w:right w:val="single" w:sz="6" w:space="0" w:color="000000"/>
            </w:tcBorders>
          </w:tcPr>
          <w:p w14:paraId="2631A84D" w14:textId="77777777" w:rsidR="00D83842" w:rsidRDefault="00000000" w:rsidP="00BA5F13">
            <w:pPr>
              <w:spacing w:after="0" w:line="259" w:lineRule="auto"/>
              <w:ind w:left="0" w:right="69" w:firstLine="0"/>
              <w:jc w:val="right"/>
            </w:pPr>
            <w:r>
              <w:t xml:space="preserve">0.0 </w:t>
            </w:r>
          </w:p>
        </w:tc>
        <w:tc>
          <w:tcPr>
            <w:tcW w:w="1111" w:type="dxa"/>
            <w:tcBorders>
              <w:top w:val="single" w:sz="6" w:space="0" w:color="000000"/>
              <w:left w:val="single" w:sz="6" w:space="0" w:color="000000"/>
              <w:bottom w:val="single" w:sz="6" w:space="0" w:color="000000"/>
              <w:right w:val="single" w:sz="6" w:space="0" w:color="000000"/>
            </w:tcBorders>
          </w:tcPr>
          <w:p w14:paraId="5A1263DE" w14:textId="7EC5868C" w:rsidR="00D83842" w:rsidRDefault="00000000" w:rsidP="00BA5F13">
            <w:pPr>
              <w:tabs>
                <w:tab w:val="right" w:pos="1080"/>
              </w:tabs>
              <w:spacing w:after="0" w:line="259" w:lineRule="auto"/>
              <w:ind w:left="0" w:right="0" w:firstLine="0"/>
              <w:jc w:val="left"/>
            </w:pPr>
            <w:r>
              <w:t xml:space="preserve">6.2 </w:t>
            </w:r>
          </w:p>
        </w:tc>
        <w:tc>
          <w:tcPr>
            <w:tcW w:w="1096" w:type="dxa"/>
            <w:tcBorders>
              <w:top w:val="single" w:sz="6" w:space="0" w:color="000000"/>
              <w:left w:val="single" w:sz="6" w:space="0" w:color="000000"/>
              <w:bottom w:val="single" w:sz="6" w:space="0" w:color="000000"/>
              <w:right w:val="single" w:sz="6" w:space="0" w:color="000000"/>
            </w:tcBorders>
          </w:tcPr>
          <w:p w14:paraId="0E8E29F2" w14:textId="78A81378" w:rsidR="00D83842" w:rsidRDefault="00000000" w:rsidP="00BA5F13">
            <w:pPr>
              <w:tabs>
                <w:tab w:val="right" w:pos="1065"/>
              </w:tabs>
              <w:spacing w:after="0" w:line="259" w:lineRule="auto"/>
              <w:ind w:left="0" w:right="0" w:firstLine="0"/>
              <w:jc w:val="left"/>
            </w:pPr>
            <w:r>
              <w:t xml:space="preserve">15.5 </w:t>
            </w:r>
          </w:p>
        </w:tc>
        <w:tc>
          <w:tcPr>
            <w:tcW w:w="1097" w:type="dxa"/>
            <w:tcBorders>
              <w:top w:val="single" w:sz="6" w:space="0" w:color="000000"/>
              <w:left w:val="single" w:sz="6" w:space="0" w:color="000000"/>
              <w:bottom w:val="single" w:sz="6" w:space="0" w:color="000000"/>
              <w:right w:val="single" w:sz="6" w:space="0" w:color="000000"/>
            </w:tcBorders>
          </w:tcPr>
          <w:p w14:paraId="7EEBEAC6" w14:textId="3A7EBAA7" w:rsidR="00D83842" w:rsidRDefault="00000000" w:rsidP="00BA5F13">
            <w:pPr>
              <w:tabs>
                <w:tab w:val="right" w:pos="1065"/>
              </w:tabs>
              <w:spacing w:after="0" w:line="259" w:lineRule="auto"/>
              <w:ind w:left="0" w:right="0" w:firstLine="0"/>
              <w:jc w:val="left"/>
            </w:pPr>
            <w:r>
              <w:t xml:space="preserve">1.5 </w:t>
            </w:r>
          </w:p>
        </w:tc>
        <w:tc>
          <w:tcPr>
            <w:tcW w:w="1111" w:type="dxa"/>
            <w:tcBorders>
              <w:top w:val="single" w:sz="6" w:space="0" w:color="000000"/>
              <w:left w:val="single" w:sz="6" w:space="0" w:color="000000"/>
              <w:bottom w:val="single" w:sz="6" w:space="0" w:color="000000"/>
              <w:right w:val="single" w:sz="6" w:space="0" w:color="000000"/>
            </w:tcBorders>
          </w:tcPr>
          <w:p w14:paraId="3B9AA12C" w14:textId="1D958BA4" w:rsidR="00D83842" w:rsidRDefault="00000000" w:rsidP="00BA5F13">
            <w:pPr>
              <w:tabs>
                <w:tab w:val="right" w:pos="1080"/>
              </w:tabs>
              <w:spacing w:after="0" w:line="259" w:lineRule="auto"/>
              <w:ind w:left="0" w:right="0" w:firstLine="0"/>
              <w:jc w:val="left"/>
            </w:pPr>
            <w:r>
              <w:t xml:space="preserve">9.9 </w:t>
            </w:r>
          </w:p>
        </w:tc>
      </w:tr>
      <w:tr w:rsidR="00D83842" w14:paraId="346906A1"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64A49039" w14:textId="77777777" w:rsidR="00D83842" w:rsidRDefault="00000000" w:rsidP="00BA5F13">
            <w:pPr>
              <w:spacing w:after="0" w:line="259" w:lineRule="auto"/>
              <w:ind w:left="0" w:right="0" w:firstLine="0"/>
              <w:jc w:val="left"/>
            </w:pPr>
            <w:r w:rsidRPr="00BA5F13">
              <w:rPr>
                <w:b/>
              </w:rPr>
              <w:t xml:space="preserve">Total </w:t>
            </w:r>
          </w:p>
        </w:tc>
        <w:tc>
          <w:tcPr>
            <w:tcW w:w="1096" w:type="dxa"/>
            <w:tcBorders>
              <w:top w:val="single" w:sz="6" w:space="0" w:color="000000"/>
              <w:left w:val="single" w:sz="6" w:space="0" w:color="000000"/>
              <w:bottom w:val="single" w:sz="6" w:space="0" w:color="000000"/>
              <w:right w:val="single" w:sz="6" w:space="0" w:color="000000"/>
            </w:tcBorders>
          </w:tcPr>
          <w:p w14:paraId="183DD2F8" w14:textId="77777777" w:rsidR="00D83842" w:rsidRDefault="00000000" w:rsidP="00BA5F13">
            <w:pPr>
              <w:spacing w:after="0" w:line="259" w:lineRule="auto"/>
              <w:ind w:left="0" w:right="69" w:firstLine="0"/>
              <w:jc w:val="right"/>
            </w:pPr>
            <w:r w:rsidRPr="00BA5F13">
              <w:rPr>
                <w:b/>
              </w:rPr>
              <w:t xml:space="preserve">10.2 </w:t>
            </w:r>
          </w:p>
        </w:tc>
        <w:tc>
          <w:tcPr>
            <w:tcW w:w="1111" w:type="dxa"/>
            <w:tcBorders>
              <w:top w:val="single" w:sz="6" w:space="0" w:color="000000"/>
              <w:left w:val="single" w:sz="6" w:space="0" w:color="000000"/>
              <w:bottom w:val="single" w:sz="6" w:space="0" w:color="000000"/>
              <w:right w:val="single" w:sz="6" w:space="0" w:color="000000"/>
            </w:tcBorders>
          </w:tcPr>
          <w:p w14:paraId="16D33C07" w14:textId="7F7ACAC9" w:rsidR="00D83842" w:rsidRDefault="00000000" w:rsidP="00BA5F13">
            <w:pPr>
              <w:tabs>
                <w:tab w:val="right" w:pos="1080"/>
              </w:tabs>
              <w:spacing w:after="0" w:line="259" w:lineRule="auto"/>
              <w:ind w:left="0" w:right="0" w:firstLine="0"/>
              <w:jc w:val="left"/>
            </w:pPr>
            <w:r w:rsidRPr="00BA5F13">
              <w:rPr>
                <w:b/>
              </w:rPr>
              <w:t xml:space="preserve">20.3 </w:t>
            </w:r>
          </w:p>
        </w:tc>
        <w:tc>
          <w:tcPr>
            <w:tcW w:w="1096" w:type="dxa"/>
            <w:tcBorders>
              <w:top w:val="single" w:sz="6" w:space="0" w:color="000000"/>
              <w:left w:val="single" w:sz="6" w:space="0" w:color="000000"/>
              <w:bottom w:val="single" w:sz="6" w:space="0" w:color="000000"/>
              <w:right w:val="single" w:sz="6" w:space="0" w:color="000000"/>
            </w:tcBorders>
          </w:tcPr>
          <w:p w14:paraId="40B29A68" w14:textId="0F0AB666" w:rsidR="00D83842" w:rsidRDefault="00000000" w:rsidP="00BA5F13">
            <w:pPr>
              <w:tabs>
                <w:tab w:val="right" w:pos="1065"/>
              </w:tabs>
              <w:spacing w:after="0" w:line="259" w:lineRule="auto"/>
              <w:ind w:left="0" w:right="0" w:firstLine="0"/>
              <w:jc w:val="left"/>
            </w:pPr>
            <w:r w:rsidRPr="00BA5F13">
              <w:rPr>
                <w:b/>
              </w:rPr>
              <w:t xml:space="preserve">18.5 </w:t>
            </w:r>
          </w:p>
        </w:tc>
        <w:tc>
          <w:tcPr>
            <w:tcW w:w="1097" w:type="dxa"/>
            <w:tcBorders>
              <w:top w:val="single" w:sz="6" w:space="0" w:color="000000"/>
              <w:left w:val="single" w:sz="6" w:space="0" w:color="000000"/>
              <w:bottom w:val="single" w:sz="6" w:space="0" w:color="000000"/>
              <w:right w:val="single" w:sz="6" w:space="0" w:color="000000"/>
            </w:tcBorders>
          </w:tcPr>
          <w:p w14:paraId="1EDA54A9" w14:textId="4E4CEE82" w:rsidR="00D83842" w:rsidRDefault="00000000" w:rsidP="00BA5F13">
            <w:pPr>
              <w:tabs>
                <w:tab w:val="right" w:pos="1065"/>
              </w:tabs>
              <w:spacing w:after="0" w:line="259" w:lineRule="auto"/>
              <w:ind w:left="0" w:right="0" w:firstLine="0"/>
              <w:jc w:val="left"/>
            </w:pPr>
            <w:r w:rsidRPr="00BA5F13">
              <w:rPr>
                <w:b/>
              </w:rPr>
              <w:t xml:space="preserve">10.0 </w:t>
            </w:r>
          </w:p>
        </w:tc>
        <w:tc>
          <w:tcPr>
            <w:tcW w:w="1111" w:type="dxa"/>
            <w:tcBorders>
              <w:top w:val="single" w:sz="6" w:space="0" w:color="000000"/>
              <w:left w:val="single" w:sz="6" w:space="0" w:color="000000"/>
              <w:bottom w:val="single" w:sz="6" w:space="0" w:color="000000"/>
              <w:right w:val="single" w:sz="6" w:space="0" w:color="000000"/>
            </w:tcBorders>
          </w:tcPr>
          <w:p w14:paraId="38EE98CF" w14:textId="26CA47C8" w:rsidR="00D83842" w:rsidRDefault="00000000" w:rsidP="00BA5F13">
            <w:pPr>
              <w:tabs>
                <w:tab w:val="right" w:pos="1080"/>
              </w:tabs>
              <w:spacing w:after="0" w:line="259" w:lineRule="auto"/>
              <w:ind w:left="0" w:right="0" w:firstLine="0"/>
              <w:jc w:val="left"/>
            </w:pPr>
            <w:r w:rsidRPr="00BA5F13">
              <w:rPr>
                <w:b/>
              </w:rPr>
              <w:t xml:space="preserve">13.9 </w:t>
            </w:r>
          </w:p>
        </w:tc>
      </w:tr>
    </w:tbl>
    <w:p w14:paraId="3C3028A1" w14:textId="4D6FD97E" w:rsidR="00D83842" w:rsidRDefault="00D83842" w:rsidP="00BA5F13">
      <w:pPr>
        <w:spacing w:after="213" w:line="259" w:lineRule="auto"/>
        <w:ind w:left="698" w:right="0" w:firstLine="0"/>
        <w:jc w:val="left"/>
      </w:pPr>
    </w:p>
    <w:p w14:paraId="1E936FAC" w14:textId="77777777" w:rsidR="00D83842" w:rsidRDefault="00000000" w:rsidP="00BA5F13">
      <w:pPr>
        <w:spacing w:after="7"/>
        <w:ind w:left="-142" w:right="105" w:firstLine="0"/>
      </w:pPr>
      <w:r>
        <w:t xml:space="preserve">Full details of the 10-year capital programme and its associated funding are included in the Capital Strategy. In addition, given the above funding proposals </w:t>
      </w:r>
    </w:p>
    <w:p w14:paraId="192FE264" w14:textId="77777777" w:rsidR="00D83842" w:rsidRDefault="00000000" w:rsidP="00BA5F13">
      <w:pPr>
        <w:spacing w:after="11"/>
        <w:ind w:left="-142" w:right="305" w:firstLine="0"/>
      </w:pPr>
      <w:r>
        <w:t xml:space="preserve">includes borrowing, the impact of this is discussed in more detail within the </w:t>
      </w:r>
    </w:p>
    <w:p w14:paraId="5D0CE60D" w14:textId="57EE8B00" w:rsidR="00D83842" w:rsidRDefault="00000000" w:rsidP="00BA5F13">
      <w:pPr>
        <w:tabs>
          <w:tab w:val="center" w:pos="2335"/>
          <w:tab w:val="center" w:pos="6968"/>
        </w:tabs>
        <w:ind w:left="-142" w:right="0" w:firstLine="0"/>
        <w:jc w:val="left"/>
      </w:pPr>
      <w:r>
        <w:t xml:space="preserve">Treasury Management Strategy. </w:t>
      </w:r>
      <w:r>
        <w:tab/>
        <w:t xml:space="preserve"> </w:t>
      </w:r>
    </w:p>
    <w:p w14:paraId="7F4C98C6" w14:textId="77777777" w:rsidR="002D54A3" w:rsidRDefault="002D54A3" w:rsidP="002D54A3">
      <w:pPr>
        <w:spacing w:after="0" w:line="259" w:lineRule="auto"/>
        <w:ind w:left="0" w:right="0" w:firstLine="0"/>
        <w:jc w:val="left"/>
        <w:rPr>
          <w:b/>
          <w:sz w:val="29"/>
        </w:rPr>
      </w:pPr>
    </w:p>
    <w:p w14:paraId="52400665" w14:textId="65CCDD24" w:rsidR="00D83842" w:rsidRDefault="00000000" w:rsidP="002D54A3">
      <w:pPr>
        <w:spacing w:after="0" w:line="259" w:lineRule="auto"/>
        <w:ind w:left="0" w:right="0" w:firstLine="0"/>
        <w:jc w:val="left"/>
      </w:pPr>
      <w:r>
        <w:rPr>
          <w:b/>
          <w:sz w:val="29"/>
        </w:rPr>
        <w:t xml:space="preserve">Analysis of Budget by Service Area </w:t>
      </w:r>
    </w:p>
    <w:tbl>
      <w:tblPr>
        <w:tblStyle w:val="TableGrid"/>
        <w:tblW w:w="9132" w:type="dxa"/>
        <w:tblInd w:w="-113" w:type="dxa"/>
        <w:tblCellMar>
          <w:top w:w="0" w:type="dxa"/>
          <w:left w:w="113" w:type="dxa"/>
          <w:bottom w:w="0" w:type="dxa"/>
          <w:right w:w="31" w:type="dxa"/>
        </w:tblCellMar>
        <w:tblLook w:val="04A0" w:firstRow="1" w:lastRow="0" w:firstColumn="1" w:lastColumn="0" w:noHBand="0" w:noVBand="1"/>
      </w:tblPr>
      <w:tblGrid>
        <w:gridCol w:w="3636"/>
        <w:gridCol w:w="1096"/>
        <w:gridCol w:w="1096"/>
        <w:gridCol w:w="1111"/>
        <w:gridCol w:w="1097"/>
        <w:gridCol w:w="1096"/>
      </w:tblGrid>
      <w:tr w:rsidR="00D83842" w14:paraId="69E1BB93" w14:textId="77777777" w:rsidTr="00110406">
        <w:trPr>
          <w:trHeight w:val="916"/>
          <w:tblHeader/>
        </w:trPr>
        <w:tc>
          <w:tcPr>
            <w:tcW w:w="3635" w:type="dxa"/>
            <w:tcBorders>
              <w:top w:val="single" w:sz="6" w:space="0" w:color="000000"/>
              <w:left w:val="single" w:sz="6" w:space="0" w:color="000000"/>
              <w:bottom w:val="single" w:sz="6" w:space="0" w:color="000000"/>
              <w:right w:val="single" w:sz="6" w:space="0" w:color="000000"/>
            </w:tcBorders>
            <w:vAlign w:val="center"/>
          </w:tcPr>
          <w:p w14:paraId="7D423910" w14:textId="6BE125E3" w:rsidR="00D83842" w:rsidRDefault="00000000">
            <w:pPr>
              <w:spacing w:after="0" w:line="259" w:lineRule="auto"/>
              <w:ind w:left="1" w:right="0" w:firstLine="0"/>
              <w:jc w:val="left"/>
            </w:pPr>
            <w:r>
              <w:t xml:space="preserve"> </w:t>
            </w:r>
            <w:r w:rsidR="00110406">
              <w:t>Department</w:t>
            </w:r>
          </w:p>
        </w:tc>
        <w:tc>
          <w:tcPr>
            <w:tcW w:w="1096" w:type="dxa"/>
            <w:tcBorders>
              <w:top w:val="single" w:sz="6" w:space="0" w:color="000000"/>
              <w:left w:val="single" w:sz="6" w:space="0" w:color="000000"/>
              <w:bottom w:val="single" w:sz="6" w:space="0" w:color="000000"/>
              <w:right w:val="single" w:sz="6" w:space="0" w:color="000000"/>
            </w:tcBorders>
            <w:vAlign w:val="center"/>
          </w:tcPr>
          <w:p w14:paraId="70941BFC" w14:textId="77777777" w:rsidR="00D83842" w:rsidRDefault="00000000">
            <w:pPr>
              <w:spacing w:after="93" w:line="259" w:lineRule="auto"/>
              <w:ind w:left="0" w:right="0" w:firstLine="0"/>
            </w:pPr>
            <w:r>
              <w:rPr>
                <w:b/>
              </w:rPr>
              <w:t xml:space="preserve">2024/25 </w:t>
            </w:r>
          </w:p>
          <w:p w14:paraId="7D029871" w14:textId="77777777" w:rsidR="00D83842" w:rsidRDefault="00000000">
            <w:pPr>
              <w:spacing w:after="0" w:line="259" w:lineRule="auto"/>
              <w:ind w:left="0" w:right="63" w:firstLine="0"/>
              <w:jc w:val="center"/>
            </w:pPr>
            <w:r>
              <w:rPr>
                <w:b/>
              </w:rPr>
              <w:t>£m</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679F17AA" w14:textId="77777777" w:rsidR="00D83842" w:rsidRDefault="00000000">
            <w:pPr>
              <w:spacing w:after="93" w:line="259" w:lineRule="auto"/>
              <w:ind w:left="0" w:right="0" w:firstLine="0"/>
            </w:pPr>
            <w:r>
              <w:rPr>
                <w:b/>
              </w:rPr>
              <w:t xml:space="preserve">2025/26 </w:t>
            </w:r>
          </w:p>
          <w:p w14:paraId="5D5BD542" w14:textId="77777777" w:rsidR="00D83842" w:rsidRDefault="00000000">
            <w:pPr>
              <w:spacing w:after="0" w:line="259" w:lineRule="auto"/>
              <w:ind w:left="0" w:right="64" w:firstLine="0"/>
              <w:jc w:val="center"/>
            </w:pPr>
            <w:r>
              <w:rPr>
                <w:b/>
              </w:rPr>
              <w:t>£m</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27113286" w14:textId="77777777" w:rsidR="00D83842" w:rsidRDefault="00000000">
            <w:pPr>
              <w:spacing w:after="93" w:line="259" w:lineRule="auto"/>
              <w:ind w:left="15" w:right="0" w:firstLine="0"/>
              <w:jc w:val="left"/>
            </w:pPr>
            <w:r>
              <w:rPr>
                <w:b/>
              </w:rPr>
              <w:t xml:space="preserve">2026/27 </w:t>
            </w:r>
          </w:p>
          <w:p w14:paraId="59CC0795" w14:textId="77777777" w:rsidR="00D83842" w:rsidRDefault="00000000">
            <w:pPr>
              <w:spacing w:after="0" w:line="259" w:lineRule="auto"/>
              <w:ind w:left="0" w:right="48" w:firstLine="0"/>
              <w:jc w:val="center"/>
            </w:pPr>
            <w:r>
              <w:rPr>
                <w:b/>
              </w:rPr>
              <w:t>£m</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034BD538" w14:textId="77777777" w:rsidR="00D83842" w:rsidRDefault="00000000">
            <w:pPr>
              <w:spacing w:after="93" w:line="259" w:lineRule="auto"/>
              <w:ind w:left="0" w:right="0" w:firstLine="0"/>
            </w:pPr>
            <w:r>
              <w:rPr>
                <w:b/>
              </w:rPr>
              <w:t xml:space="preserve">2027/28 </w:t>
            </w:r>
          </w:p>
          <w:p w14:paraId="0F3F8303" w14:textId="77777777" w:rsidR="00D83842" w:rsidRDefault="00000000">
            <w:pPr>
              <w:spacing w:after="0" w:line="259" w:lineRule="auto"/>
              <w:ind w:left="0" w:right="64" w:firstLine="0"/>
              <w:jc w:val="center"/>
            </w:pPr>
            <w:r>
              <w:rPr>
                <w:b/>
              </w:rPr>
              <w:t>£m</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1291D061" w14:textId="77777777" w:rsidR="00D83842" w:rsidRDefault="00000000">
            <w:pPr>
              <w:spacing w:after="93" w:line="259" w:lineRule="auto"/>
              <w:ind w:left="0" w:right="0" w:firstLine="0"/>
            </w:pPr>
            <w:r>
              <w:rPr>
                <w:b/>
              </w:rPr>
              <w:t xml:space="preserve">2028/29 </w:t>
            </w:r>
          </w:p>
          <w:p w14:paraId="7EF3CBE3" w14:textId="77777777" w:rsidR="00D83842" w:rsidRDefault="00000000">
            <w:pPr>
              <w:spacing w:after="0" w:line="259" w:lineRule="auto"/>
              <w:ind w:left="0" w:right="63" w:firstLine="0"/>
              <w:jc w:val="center"/>
            </w:pPr>
            <w:r>
              <w:rPr>
                <w:b/>
              </w:rPr>
              <w:t>£m</w:t>
            </w:r>
            <w:r>
              <w:t xml:space="preserve"> </w:t>
            </w:r>
          </w:p>
        </w:tc>
      </w:tr>
      <w:tr w:rsidR="00D83842" w14:paraId="411B1C18" w14:textId="77777777">
        <w:trPr>
          <w:trHeight w:val="480"/>
        </w:trPr>
        <w:tc>
          <w:tcPr>
            <w:tcW w:w="3635" w:type="dxa"/>
            <w:tcBorders>
              <w:top w:val="single" w:sz="6" w:space="0" w:color="000000"/>
              <w:left w:val="single" w:sz="6" w:space="0" w:color="000000"/>
              <w:bottom w:val="single" w:sz="6" w:space="0" w:color="000000"/>
              <w:right w:val="single" w:sz="6" w:space="0" w:color="000000"/>
            </w:tcBorders>
            <w:vAlign w:val="center"/>
          </w:tcPr>
          <w:p w14:paraId="13E5D6D7" w14:textId="77777777" w:rsidR="00D83842" w:rsidRDefault="00000000">
            <w:pPr>
              <w:spacing w:after="0" w:line="259" w:lineRule="auto"/>
              <w:ind w:left="1" w:right="0" w:firstLine="0"/>
              <w:jc w:val="left"/>
            </w:pPr>
            <w:r>
              <w:rPr>
                <w:sz w:val="20"/>
              </w:rPr>
              <w:t>Service Delivery</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736FA0D0" w14:textId="77777777" w:rsidR="00D83842" w:rsidRDefault="00000000">
            <w:pPr>
              <w:spacing w:after="0" w:line="259" w:lineRule="auto"/>
              <w:ind w:left="0" w:right="64" w:firstLine="0"/>
              <w:jc w:val="right"/>
            </w:pPr>
            <w:r>
              <w:rPr>
                <w:sz w:val="20"/>
              </w:rPr>
              <w:t>40.74</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1C7939EF" w14:textId="77777777" w:rsidR="00D83842" w:rsidRDefault="00000000">
            <w:pPr>
              <w:spacing w:after="0" w:line="259" w:lineRule="auto"/>
              <w:ind w:left="0" w:right="64" w:firstLine="0"/>
              <w:jc w:val="right"/>
            </w:pPr>
            <w:r>
              <w:rPr>
                <w:sz w:val="20"/>
              </w:rPr>
              <w:t>41.28</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71B04EBA" w14:textId="77777777" w:rsidR="00D83842" w:rsidRDefault="00000000">
            <w:pPr>
              <w:spacing w:after="0" w:line="259" w:lineRule="auto"/>
              <w:ind w:left="0" w:right="64" w:firstLine="0"/>
              <w:jc w:val="right"/>
            </w:pPr>
            <w:r>
              <w:rPr>
                <w:sz w:val="20"/>
              </w:rPr>
              <w:t>42.41</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13C92BA9" w14:textId="77777777" w:rsidR="00D83842" w:rsidRDefault="00000000">
            <w:pPr>
              <w:spacing w:after="0" w:line="259" w:lineRule="auto"/>
              <w:ind w:left="0" w:right="65" w:firstLine="0"/>
              <w:jc w:val="right"/>
            </w:pPr>
            <w:r>
              <w:rPr>
                <w:sz w:val="20"/>
              </w:rPr>
              <w:t>43.33</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279CB010" w14:textId="77777777" w:rsidR="00D83842" w:rsidRDefault="00000000">
            <w:pPr>
              <w:spacing w:after="0" w:line="259" w:lineRule="auto"/>
              <w:ind w:left="0" w:right="64" w:firstLine="0"/>
              <w:jc w:val="right"/>
            </w:pPr>
            <w:r>
              <w:rPr>
                <w:sz w:val="20"/>
              </w:rPr>
              <w:t>44.02</w:t>
            </w:r>
            <w:r>
              <w:t xml:space="preserve"> </w:t>
            </w:r>
          </w:p>
        </w:tc>
      </w:tr>
      <w:tr w:rsidR="00D83842" w14:paraId="2064522D" w14:textId="77777777">
        <w:trPr>
          <w:trHeight w:val="481"/>
        </w:trPr>
        <w:tc>
          <w:tcPr>
            <w:tcW w:w="3635" w:type="dxa"/>
            <w:tcBorders>
              <w:top w:val="single" w:sz="6" w:space="0" w:color="000000"/>
              <w:left w:val="single" w:sz="6" w:space="0" w:color="000000"/>
              <w:bottom w:val="single" w:sz="6" w:space="0" w:color="000000"/>
              <w:right w:val="single" w:sz="6" w:space="0" w:color="000000"/>
            </w:tcBorders>
            <w:vAlign w:val="center"/>
          </w:tcPr>
          <w:p w14:paraId="4811AD18" w14:textId="77777777" w:rsidR="00D83842" w:rsidRDefault="00000000">
            <w:pPr>
              <w:spacing w:after="0" w:line="259" w:lineRule="auto"/>
              <w:ind w:left="1" w:right="0" w:firstLine="0"/>
              <w:jc w:val="left"/>
            </w:pPr>
            <w:r>
              <w:rPr>
                <w:sz w:val="20"/>
              </w:rPr>
              <w:t>Prevention &amp; Protection</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692A4C88" w14:textId="77777777" w:rsidR="00D83842" w:rsidRDefault="00000000">
            <w:pPr>
              <w:spacing w:after="0" w:line="259" w:lineRule="auto"/>
              <w:ind w:left="0" w:right="64" w:firstLine="0"/>
              <w:jc w:val="right"/>
            </w:pPr>
            <w:r>
              <w:rPr>
                <w:sz w:val="20"/>
              </w:rPr>
              <w:t>3.39</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16C6DCF1" w14:textId="77777777" w:rsidR="00D83842" w:rsidRDefault="00000000">
            <w:pPr>
              <w:spacing w:after="0" w:line="259" w:lineRule="auto"/>
              <w:ind w:left="0" w:right="64" w:firstLine="0"/>
              <w:jc w:val="right"/>
            </w:pPr>
            <w:r>
              <w:rPr>
                <w:sz w:val="20"/>
              </w:rPr>
              <w:t>3.47</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6616D3BA" w14:textId="77777777" w:rsidR="00D83842" w:rsidRDefault="00000000">
            <w:pPr>
              <w:spacing w:after="0" w:line="259" w:lineRule="auto"/>
              <w:ind w:left="0" w:right="64" w:firstLine="0"/>
              <w:jc w:val="right"/>
            </w:pPr>
            <w:r>
              <w:rPr>
                <w:sz w:val="20"/>
              </w:rPr>
              <w:t>3.54</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14C58008" w14:textId="77777777" w:rsidR="00D83842" w:rsidRDefault="00000000">
            <w:pPr>
              <w:spacing w:after="0" w:line="259" w:lineRule="auto"/>
              <w:ind w:left="0" w:right="64" w:firstLine="0"/>
              <w:jc w:val="right"/>
            </w:pPr>
            <w:r>
              <w:rPr>
                <w:sz w:val="20"/>
              </w:rPr>
              <w:t>3.62</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77CD773D" w14:textId="77777777" w:rsidR="00D83842" w:rsidRDefault="00000000">
            <w:pPr>
              <w:spacing w:after="0" w:line="259" w:lineRule="auto"/>
              <w:ind w:left="0" w:right="64" w:firstLine="0"/>
              <w:jc w:val="right"/>
            </w:pPr>
            <w:r>
              <w:rPr>
                <w:sz w:val="20"/>
              </w:rPr>
              <w:t>3.70</w:t>
            </w:r>
            <w:r>
              <w:t xml:space="preserve"> </w:t>
            </w:r>
          </w:p>
        </w:tc>
      </w:tr>
      <w:tr w:rsidR="00D83842" w14:paraId="72DA0904" w14:textId="77777777">
        <w:trPr>
          <w:trHeight w:val="480"/>
        </w:trPr>
        <w:tc>
          <w:tcPr>
            <w:tcW w:w="3635" w:type="dxa"/>
            <w:tcBorders>
              <w:top w:val="single" w:sz="6" w:space="0" w:color="000000"/>
              <w:left w:val="single" w:sz="6" w:space="0" w:color="000000"/>
              <w:bottom w:val="single" w:sz="6" w:space="0" w:color="000000"/>
              <w:right w:val="single" w:sz="6" w:space="0" w:color="000000"/>
            </w:tcBorders>
            <w:vAlign w:val="center"/>
          </w:tcPr>
          <w:p w14:paraId="43B15B4B" w14:textId="77777777" w:rsidR="00D83842" w:rsidRDefault="00000000">
            <w:pPr>
              <w:spacing w:after="0" w:line="259" w:lineRule="auto"/>
              <w:ind w:left="1" w:right="0" w:firstLine="0"/>
              <w:jc w:val="left"/>
            </w:pPr>
            <w:r>
              <w:rPr>
                <w:sz w:val="20"/>
              </w:rPr>
              <w:lastRenderedPageBreak/>
              <w:t>Centralised Administration</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06082903" w14:textId="77777777" w:rsidR="00D83842" w:rsidRDefault="00000000">
            <w:pPr>
              <w:spacing w:after="0" w:line="259" w:lineRule="auto"/>
              <w:ind w:left="0" w:right="64" w:firstLine="0"/>
              <w:jc w:val="right"/>
            </w:pPr>
            <w:r>
              <w:rPr>
                <w:sz w:val="20"/>
              </w:rPr>
              <w:t>0.92</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021A06A0" w14:textId="77777777" w:rsidR="00D83842" w:rsidRDefault="00000000">
            <w:pPr>
              <w:spacing w:after="0" w:line="259" w:lineRule="auto"/>
              <w:ind w:left="0" w:right="64" w:firstLine="0"/>
              <w:jc w:val="right"/>
            </w:pPr>
            <w:r>
              <w:rPr>
                <w:sz w:val="20"/>
              </w:rPr>
              <w:t>0.94</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3B7CD3E2" w14:textId="77777777" w:rsidR="00D83842" w:rsidRDefault="00000000">
            <w:pPr>
              <w:spacing w:after="0" w:line="259" w:lineRule="auto"/>
              <w:ind w:left="0" w:right="64" w:firstLine="0"/>
              <w:jc w:val="right"/>
            </w:pPr>
            <w:r>
              <w:rPr>
                <w:sz w:val="20"/>
              </w:rPr>
              <w:t>0.96</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3ED961F1" w14:textId="77777777" w:rsidR="00D83842" w:rsidRDefault="00000000">
            <w:pPr>
              <w:spacing w:after="0" w:line="259" w:lineRule="auto"/>
              <w:ind w:left="0" w:right="64" w:firstLine="0"/>
              <w:jc w:val="right"/>
            </w:pPr>
            <w:r>
              <w:rPr>
                <w:sz w:val="20"/>
              </w:rPr>
              <w:t>0.98</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348F270E" w14:textId="77777777" w:rsidR="00D83842" w:rsidRDefault="00000000">
            <w:pPr>
              <w:spacing w:after="0" w:line="259" w:lineRule="auto"/>
              <w:ind w:left="0" w:right="64" w:firstLine="0"/>
              <w:jc w:val="right"/>
            </w:pPr>
            <w:r>
              <w:rPr>
                <w:sz w:val="20"/>
              </w:rPr>
              <w:t>1.00</w:t>
            </w:r>
            <w:r>
              <w:t xml:space="preserve"> </w:t>
            </w:r>
          </w:p>
        </w:tc>
      </w:tr>
      <w:tr w:rsidR="00D83842" w14:paraId="7AE19248" w14:textId="77777777">
        <w:trPr>
          <w:trHeight w:val="480"/>
        </w:trPr>
        <w:tc>
          <w:tcPr>
            <w:tcW w:w="3635" w:type="dxa"/>
            <w:tcBorders>
              <w:top w:val="single" w:sz="6" w:space="0" w:color="000000"/>
              <w:left w:val="single" w:sz="6" w:space="0" w:color="000000"/>
              <w:bottom w:val="single" w:sz="6" w:space="0" w:color="000000"/>
              <w:right w:val="single" w:sz="6" w:space="0" w:color="000000"/>
            </w:tcBorders>
            <w:vAlign w:val="center"/>
          </w:tcPr>
          <w:p w14:paraId="3198E2DA" w14:textId="77777777" w:rsidR="00D83842" w:rsidRDefault="00000000">
            <w:pPr>
              <w:spacing w:after="0" w:line="259" w:lineRule="auto"/>
              <w:ind w:left="1" w:right="0" w:firstLine="0"/>
              <w:jc w:val="left"/>
            </w:pPr>
            <w:r>
              <w:rPr>
                <w:sz w:val="20"/>
              </w:rPr>
              <w:t>Control</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51439D89" w14:textId="77777777" w:rsidR="00D83842" w:rsidRDefault="00000000">
            <w:pPr>
              <w:spacing w:after="0" w:line="259" w:lineRule="auto"/>
              <w:ind w:left="0" w:right="64" w:firstLine="0"/>
              <w:jc w:val="right"/>
            </w:pPr>
            <w:r>
              <w:rPr>
                <w:sz w:val="20"/>
              </w:rPr>
              <w:t>2.07</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29FF7088" w14:textId="77777777" w:rsidR="00D83842" w:rsidRDefault="00000000">
            <w:pPr>
              <w:spacing w:after="0" w:line="259" w:lineRule="auto"/>
              <w:ind w:left="0" w:right="64" w:firstLine="0"/>
              <w:jc w:val="right"/>
            </w:pPr>
            <w:r>
              <w:rPr>
                <w:sz w:val="20"/>
              </w:rPr>
              <w:t>2.11</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478CCA20" w14:textId="77777777" w:rsidR="00D83842" w:rsidRDefault="00000000">
            <w:pPr>
              <w:spacing w:after="0" w:line="259" w:lineRule="auto"/>
              <w:ind w:left="0" w:right="64" w:firstLine="0"/>
              <w:jc w:val="right"/>
            </w:pPr>
            <w:r>
              <w:rPr>
                <w:sz w:val="20"/>
              </w:rPr>
              <w:t>2.21</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7F331AB8" w14:textId="77777777" w:rsidR="00D83842" w:rsidRDefault="00000000">
            <w:pPr>
              <w:spacing w:after="0" w:line="259" w:lineRule="auto"/>
              <w:ind w:left="0" w:right="64" w:firstLine="0"/>
              <w:jc w:val="right"/>
            </w:pPr>
            <w:r>
              <w:rPr>
                <w:sz w:val="20"/>
              </w:rPr>
              <w:t>2.25</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6694F0AA" w14:textId="77777777" w:rsidR="00D83842" w:rsidRDefault="00000000">
            <w:pPr>
              <w:spacing w:after="0" w:line="259" w:lineRule="auto"/>
              <w:ind w:left="0" w:right="64" w:firstLine="0"/>
              <w:jc w:val="right"/>
            </w:pPr>
            <w:r>
              <w:rPr>
                <w:sz w:val="20"/>
              </w:rPr>
              <w:t>2.30</w:t>
            </w:r>
            <w:r>
              <w:t xml:space="preserve"> </w:t>
            </w:r>
          </w:p>
        </w:tc>
      </w:tr>
      <w:tr w:rsidR="00D83842" w14:paraId="5C591AC5" w14:textId="77777777">
        <w:trPr>
          <w:trHeight w:val="481"/>
        </w:trPr>
        <w:tc>
          <w:tcPr>
            <w:tcW w:w="3635" w:type="dxa"/>
            <w:tcBorders>
              <w:top w:val="single" w:sz="6" w:space="0" w:color="000000"/>
              <w:left w:val="single" w:sz="6" w:space="0" w:color="000000"/>
              <w:bottom w:val="single" w:sz="6" w:space="0" w:color="000000"/>
              <w:right w:val="single" w:sz="6" w:space="0" w:color="000000"/>
            </w:tcBorders>
            <w:vAlign w:val="center"/>
          </w:tcPr>
          <w:p w14:paraId="3AB5BCE8" w14:textId="77777777" w:rsidR="00D83842" w:rsidRDefault="00000000">
            <w:pPr>
              <w:spacing w:after="0" w:line="259" w:lineRule="auto"/>
              <w:ind w:left="1" w:right="0" w:firstLine="0"/>
              <w:jc w:val="left"/>
            </w:pPr>
            <w:r>
              <w:rPr>
                <w:sz w:val="20"/>
              </w:rPr>
              <w:t>Corp Comms</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691CE7B8" w14:textId="77777777" w:rsidR="00D83842" w:rsidRDefault="00000000">
            <w:pPr>
              <w:spacing w:after="0" w:line="259" w:lineRule="auto"/>
              <w:ind w:left="0" w:right="64" w:firstLine="0"/>
              <w:jc w:val="right"/>
            </w:pPr>
            <w:r>
              <w:rPr>
                <w:sz w:val="20"/>
              </w:rPr>
              <w:t>0.39</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14F27D13" w14:textId="77777777" w:rsidR="00D83842" w:rsidRDefault="00000000">
            <w:pPr>
              <w:spacing w:after="0" w:line="259" w:lineRule="auto"/>
              <w:ind w:left="0" w:right="64" w:firstLine="0"/>
              <w:jc w:val="right"/>
            </w:pPr>
            <w:r>
              <w:rPr>
                <w:sz w:val="20"/>
              </w:rPr>
              <w:t>0.40</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35B505B7" w14:textId="77777777" w:rsidR="00D83842" w:rsidRDefault="00000000">
            <w:pPr>
              <w:spacing w:after="0" w:line="259" w:lineRule="auto"/>
              <w:ind w:left="0" w:right="64" w:firstLine="0"/>
              <w:jc w:val="right"/>
            </w:pPr>
            <w:r>
              <w:rPr>
                <w:sz w:val="20"/>
              </w:rPr>
              <w:t>0.41</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7CA8FFB7" w14:textId="77777777" w:rsidR="00D83842" w:rsidRDefault="00000000">
            <w:pPr>
              <w:spacing w:after="0" w:line="259" w:lineRule="auto"/>
              <w:ind w:left="0" w:right="64" w:firstLine="0"/>
              <w:jc w:val="right"/>
            </w:pPr>
            <w:r>
              <w:rPr>
                <w:sz w:val="20"/>
              </w:rPr>
              <w:t>0.42</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7A66FF32" w14:textId="77777777" w:rsidR="00D83842" w:rsidRDefault="00000000">
            <w:pPr>
              <w:spacing w:after="0" w:line="259" w:lineRule="auto"/>
              <w:ind w:left="0" w:right="64" w:firstLine="0"/>
              <w:jc w:val="right"/>
            </w:pPr>
            <w:r>
              <w:rPr>
                <w:sz w:val="20"/>
              </w:rPr>
              <w:t>0.43</w:t>
            </w:r>
            <w:r>
              <w:t xml:space="preserve"> </w:t>
            </w:r>
          </w:p>
        </w:tc>
      </w:tr>
      <w:tr w:rsidR="00D83842" w14:paraId="4ACFF522" w14:textId="77777777">
        <w:trPr>
          <w:trHeight w:val="481"/>
        </w:trPr>
        <w:tc>
          <w:tcPr>
            <w:tcW w:w="3635" w:type="dxa"/>
            <w:tcBorders>
              <w:top w:val="single" w:sz="6" w:space="0" w:color="000000"/>
              <w:left w:val="single" w:sz="6" w:space="0" w:color="000000"/>
              <w:bottom w:val="single" w:sz="6" w:space="0" w:color="000000"/>
              <w:right w:val="single" w:sz="6" w:space="0" w:color="000000"/>
            </w:tcBorders>
            <w:vAlign w:val="center"/>
          </w:tcPr>
          <w:p w14:paraId="6164F046" w14:textId="77777777" w:rsidR="00D83842" w:rsidRDefault="00000000">
            <w:pPr>
              <w:spacing w:after="0" w:line="259" w:lineRule="auto"/>
              <w:ind w:left="1" w:right="0" w:firstLine="0"/>
              <w:jc w:val="left"/>
            </w:pPr>
            <w:r>
              <w:rPr>
                <w:sz w:val="20"/>
              </w:rPr>
              <w:t>Digital Transformation</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78629F2B" w14:textId="77777777" w:rsidR="00D83842" w:rsidRDefault="00000000">
            <w:pPr>
              <w:spacing w:after="0" w:line="259" w:lineRule="auto"/>
              <w:ind w:left="0" w:right="64" w:firstLine="0"/>
              <w:jc w:val="right"/>
            </w:pPr>
            <w:r>
              <w:rPr>
                <w:sz w:val="20"/>
              </w:rPr>
              <w:t>0.80</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7A812A7B" w14:textId="77777777" w:rsidR="00D83842" w:rsidRDefault="00000000">
            <w:pPr>
              <w:spacing w:after="0" w:line="259" w:lineRule="auto"/>
              <w:ind w:left="0" w:right="64" w:firstLine="0"/>
              <w:jc w:val="right"/>
            </w:pPr>
            <w:r>
              <w:rPr>
                <w:sz w:val="20"/>
              </w:rPr>
              <w:t>0.81</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4847A63F" w14:textId="77777777" w:rsidR="00D83842" w:rsidRDefault="00000000">
            <w:pPr>
              <w:spacing w:after="0" w:line="259" w:lineRule="auto"/>
              <w:ind w:left="0" w:right="64" w:firstLine="0"/>
              <w:jc w:val="right"/>
            </w:pPr>
            <w:r>
              <w:rPr>
                <w:sz w:val="20"/>
              </w:rPr>
              <w:t>0.75</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7FC19893" w14:textId="77777777" w:rsidR="00D83842" w:rsidRDefault="00000000">
            <w:pPr>
              <w:spacing w:after="0" w:line="259" w:lineRule="auto"/>
              <w:ind w:left="0" w:right="64" w:firstLine="0"/>
              <w:jc w:val="right"/>
            </w:pPr>
            <w:r>
              <w:rPr>
                <w:sz w:val="20"/>
              </w:rPr>
              <w:t>0.76</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41072980" w14:textId="77777777" w:rsidR="00D83842" w:rsidRDefault="00000000">
            <w:pPr>
              <w:spacing w:after="0" w:line="259" w:lineRule="auto"/>
              <w:ind w:left="0" w:right="64" w:firstLine="0"/>
              <w:jc w:val="right"/>
            </w:pPr>
            <w:r>
              <w:rPr>
                <w:sz w:val="20"/>
              </w:rPr>
              <w:t>0.78</w:t>
            </w:r>
            <w:r>
              <w:t xml:space="preserve"> </w:t>
            </w:r>
          </w:p>
        </w:tc>
      </w:tr>
      <w:tr w:rsidR="00D83842" w14:paraId="401ABE8C" w14:textId="77777777">
        <w:trPr>
          <w:trHeight w:val="480"/>
        </w:trPr>
        <w:tc>
          <w:tcPr>
            <w:tcW w:w="3635" w:type="dxa"/>
            <w:tcBorders>
              <w:top w:val="single" w:sz="6" w:space="0" w:color="000000"/>
              <w:left w:val="single" w:sz="6" w:space="0" w:color="000000"/>
              <w:bottom w:val="single" w:sz="6" w:space="0" w:color="000000"/>
              <w:right w:val="single" w:sz="6" w:space="0" w:color="000000"/>
            </w:tcBorders>
            <w:vAlign w:val="center"/>
          </w:tcPr>
          <w:p w14:paraId="26FBE6D4" w14:textId="77777777" w:rsidR="00D83842" w:rsidRDefault="00000000">
            <w:pPr>
              <w:spacing w:after="0" w:line="259" w:lineRule="auto"/>
              <w:ind w:left="1" w:right="0" w:firstLine="0"/>
              <w:jc w:val="left"/>
            </w:pPr>
            <w:r>
              <w:rPr>
                <w:sz w:val="20"/>
              </w:rPr>
              <w:t>Exec Board</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28D325D0" w14:textId="77777777" w:rsidR="00D83842" w:rsidRDefault="00000000">
            <w:pPr>
              <w:spacing w:after="0" w:line="259" w:lineRule="auto"/>
              <w:ind w:left="0" w:right="64" w:firstLine="0"/>
              <w:jc w:val="right"/>
            </w:pPr>
            <w:r>
              <w:rPr>
                <w:sz w:val="20"/>
              </w:rPr>
              <w:t>1.13</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475E6B63" w14:textId="77777777" w:rsidR="00D83842" w:rsidRDefault="00000000">
            <w:pPr>
              <w:spacing w:after="0" w:line="259" w:lineRule="auto"/>
              <w:ind w:left="0" w:right="64" w:firstLine="0"/>
              <w:jc w:val="right"/>
            </w:pPr>
            <w:r>
              <w:rPr>
                <w:sz w:val="20"/>
              </w:rPr>
              <w:t>1.16</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0C4A921B" w14:textId="77777777" w:rsidR="00D83842" w:rsidRDefault="00000000">
            <w:pPr>
              <w:spacing w:after="0" w:line="259" w:lineRule="auto"/>
              <w:ind w:left="0" w:right="64" w:firstLine="0"/>
              <w:jc w:val="right"/>
            </w:pPr>
            <w:r>
              <w:rPr>
                <w:sz w:val="20"/>
              </w:rPr>
              <w:t>1.18</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23D3C0D2" w14:textId="77777777" w:rsidR="00D83842" w:rsidRDefault="00000000">
            <w:pPr>
              <w:spacing w:after="0" w:line="259" w:lineRule="auto"/>
              <w:ind w:left="0" w:right="64" w:firstLine="0"/>
              <w:jc w:val="right"/>
            </w:pPr>
            <w:r>
              <w:rPr>
                <w:sz w:val="20"/>
              </w:rPr>
              <w:t>1.21</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0D98F5CF" w14:textId="77777777" w:rsidR="00D83842" w:rsidRDefault="00000000">
            <w:pPr>
              <w:spacing w:after="0" w:line="259" w:lineRule="auto"/>
              <w:ind w:left="0" w:right="64" w:firstLine="0"/>
              <w:jc w:val="right"/>
            </w:pPr>
            <w:r>
              <w:rPr>
                <w:sz w:val="20"/>
              </w:rPr>
              <w:t>1.23</w:t>
            </w:r>
            <w:r>
              <w:t xml:space="preserve"> </w:t>
            </w:r>
          </w:p>
        </w:tc>
      </w:tr>
      <w:tr w:rsidR="00D83842" w14:paraId="75E8B399" w14:textId="77777777">
        <w:trPr>
          <w:trHeight w:val="481"/>
        </w:trPr>
        <w:tc>
          <w:tcPr>
            <w:tcW w:w="3635" w:type="dxa"/>
            <w:tcBorders>
              <w:top w:val="single" w:sz="6" w:space="0" w:color="000000"/>
              <w:left w:val="single" w:sz="6" w:space="0" w:color="000000"/>
              <w:bottom w:val="single" w:sz="6" w:space="0" w:color="000000"/>
              <w:right w:val="single" w:sz="6" w:space="0" w:color="000000"/>
            </w:tcBorders>
            <w:vAlign w:val="center"/>
          </w:tcPr>
          <w:p w14:paraId="5D0CCB1D" w14:textId="77777777" w:rsidR="00D83842" w:rsidRDefault="00000000">
            <w:pPr>
              <w:spacing w:after="0" w:line="259" w:lineRule="auto"/>
              <w:ind w:left="1" w:right="0" w:firstLine="0"/>
              <w:jc w:val="left"/>
            </w:pPr>
            <w:r>
              <w:rPr>
                <w:sz w:val="20"/>
              </w:rPr>
              <w:t>Finance</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4ED8F199" w14:textId="77777777" w:rsidR="00D83842" w:rsidRDefault="00000000">
            <w:pPr>
              <w:spacing w:after="0" w:line="259" w:lineRule="auto"/>
              <w:ind w:left="0" w:right="64" w:firstLine="0"/>
              <w:jc w:val="right"/>
            </w:pPr>
            <w:r>
              <w:rPr>
                <w:sz w:val="20"/>
              </w:rPr>
              <w:t>0.21</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73B96128" w14:textId="77777777" w:rsidR="00D83842" w:rsidRDefault="00000000">
            <w:pPr>
              <w:spacing w:after="0" w:line="259" w:lineRule="auto"/>
              <w:ind w:left="0" w:right="64" w:firstLine="0"/>
              <w:jc w:val="right"/>
            </w:pPr>
            <w:r>
              <w:rPr>
                <w:sz w:val="20"/>
              </w:rPr>
              <w:t>0.22</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29D12EEC" w14:textId="77777777" w:rsidR="00D83842" w:rsidRDefault="00000000">
            <w:pPr>
              <w:spacing w:after="0" w:line="259" w:lineRule="auto"/>
              <w:ind w:left="0" w:right="64" w:firstLine="0"/>
              <w:jc w:val="right"/>
            </w:pPr>
            <w:r>
              <w:rPr>
                <w:sz w:val="20"/>
              </w:rPr>
              <w:t>0.22</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5901E315" w14:textId="77777777" w:rsidR="00D83842" w:rsidRDefault="00000000">
            <w:pPr>
              <w:spacing w:after="0" w:line="259" w:lineRule="auto"/>
              <w:ind w:left="0" w:right="64" w:firstLine="0"/>
              <w:jc w:val="right"/>
            </w:pPr>
            <w:r>
              <w:rPr>
                <w:sz w:val="20"/>
              </w:rPr>
              <w:t>0.23</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3871842E" w14:textId="77777777" w:rsidR="00D83842" w:rsidRDefault="00000000">
            <w:pPr>
              <w:spacing w:after="0" w:line="259" w:lineRule="auto"/>
              <w:ind w:left="0" w:right="64" w:firstLine="0"/>
              <w:jc w:val="right"/>
            </w:pPr>
            <w:r>
              <w:rPr>
                <w:sz w:val="20"/>
              </w:rPr>
              <w:t>0.23</w:t>
            </w:r>
            <w:r>
              <w:t xml:space="preserve"> </w:t>
            </w:r>
          </w:p>
        </w:tc>
      </w:tr>
      <w:tr w:rsidR="00D83842" w14:paraId="521CA244" w14:textId="77777777">
        <w:trPr>
          <w:trHeight w:val="480"/>
        </w:trPr>
        <w:tc>
          <w:tcPr>
            <w:tcW w:w="3635" w:type="dxa"/>
            <w:tcBorders>
              <w:top w:val="single" w:sz="6" w:space="0" w:color="000000"/>
              <w:left w:val="single" w:sz="6" w:space="0" w:color="000000"/>
              <w:bottom w:val="single" w:sz="6" w:space="0" w:color="000000"/>
              <w:right w:val="single" w:sz="6" w:space="0" w:color="000000"/>
            </w:tcBorders>
            <w:vAlign w:val="center"/>
          </w:tcPr>
          <w:p w14:paraId="7B3EDB15" w14:textId="77777777" w:rsidR="00D83842" w:rsidRDefault="00000000">
            <w:pPr>
              <w:spacing w:after="0" w:line="259" w:lineRule="auto"/>
              <w:ind w:left="1" w:right="0" w:firstLine="0"/>
              <w:jc w:val="left"/>
            </w:pPr>
            <w:r>
              <w:rPr>
                <w:sz w:val="20"/>
              </w:rPr>
              <w:t>Fleet Services</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3567A10D" w14:textId="77777777" w:rsidR="00D83842" w:rsidRDefault="00000000">
            <w:pPr>
              <w:spacing w:after="0" w:line="259" w:lineRule="auto"/>
              <w:ind w:left="0" w:right="64" w:firstLine="0"/>
              <w:jc w:val="right"/>
            </w:pPr>
            <w:r>
              <w:rPr>
                <w:sz w:val="20"/>
              </w:rPr>
              <w:t>3.61</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639A4344" w14:textId="77777777" w:rsidR="00D83842" w:rsidRDefault="00000000">
            <w:pPr>
              <w:spacing w:after="0" w:line="259" w:lineRule="auto"/>
              <w:ind w:left="0" w:right="64" w:firstLine="0"/>
              <w:jc w:val="right"/>
            </w:pPr>
            <w:r>
              <w:rPr>
                <w:sz w:val="20"/>
              </w:rPr>
              <w:t>3.49</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301375D9" w14:textId="77777777" w:rsidR="00D83842" w:rsidRDefault="00000000">
            <w:pPr>
              <w:spacing w:after="0" w:line="259" w:lineRule="auto"/>
              <w:ind w:left="0" w:right="64" w:firstLine="0"/>
              <w:jc w:val="right"/>
            </w:pPr>
            <w:r>
              <w:rPr>
                <w:sz w:val="20"/>
              </w:rPr>
              <w:t>3.56</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759CE01E" w14:textId="77777777" w:rsidR="00D83842" w:rsidRDefault="00000000">
            <w:pPr>
              <w:spacing w:after="0" w:line="259" w:lineRule="auto"/>
              <w:ind w:left="0" w:right="64" w:firstLine="0"/>
              <w:jc w:val="right"/>
            </w:pPr>
            <w:r>
              <w:rPr>
                <w:sz w:val="20"/>
              </w:rPr>
              <w:t>3.64</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1E4EDA62" w14:textId="77777777" w:rsidR="00D83842" w:rsidRDefault="00000000">
            <w:pPr>
              <w:spacing w:after="0" w:line="259" w:lineRule="auto"/>
              <w:ind w:left="0" w:right="64" w:firstLine="0"/>
              <w:jc w:val="right"/>
            </w:pPr>
            <w:r>
              <w:rPr>
                <w:sz w:val="20"/>
              </w:rPr>
              <w:t>3.71</w:t>
            </w:r>
            <w:r>
              <w:t xml:space="preserve"> </w:t>
            </w:r>
          </w:p>
        </w:tc>
      </w:tr>
      <w:tr w:rsidR="00D83842" w14:paraId="41107683" w14:textId="77777777">
        <w:trPr>
          <w:trHeight w:val="480"/>
        </w:trPr>
        <w:tc>
          <w:tcPr>
            <w:tcW w:w="3635" w:type="dxa"/>
            <w:tcBorders>
              <w:top w:val="single" w:sz="6" w:space="0" w:color="000000"/>
              <w:left w:val="single" w:sz="6" w:space="0" w:color="000000"/>
              <w:bottom w:val="single" w:sz="6" w:space="0" w:color="000000"/>
              <w:right w:val="single" w:sz="6" w:space="0" w:color="000000"/>
            </w:tcBorders>
            <w:vAlign w:val="center"/>
          </w:tcPr>
          <w:p w14:paraId="2F89DB2D" w14:textId="77777777" w:rsidR="00D83842" w:rsidRDefault="00000000">
            <w:pPr>
              <w:spacing w:after="0" w:line="259" w:lineRule="auto"/>
              <w:ind w:left="1" w:right="0" w:firstLine="0"/>
              <w:jc w:val="left"/>
            </w:pPr>
            <w:r>
              <w:rPr>
                <w:sz w:val="20"/>
              </w:rPr>
              <w:t>Health &amp; Safety</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56AA2A55" w14:textId="77777777" w:rsidR="00D83842" w:rsidRDefault="00000000">
            <w:pPr>
              <w:spacing w:after="0" w:line="259" w:lineRule="auto"/>
              <w:ind w:left="0" w:right="64" w:firstLine="0"/>
              <w:jc w:val="right"/>
            </w:pPr>
            <w:r>
              <w:rPr>
                <w:sz w:val="20"/>
              </w:rPr>
              <w:t>0.28</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5926E8AD" w14:textId="77777777" w:rsidR="00D83842" w:rsidRDefault="00000000">
            <w:pPr>
              <w:spacing w:after="0" w:line="259" w:lineRule="auto"/>
              <w:ind w:left="0" w:right="64" w:firstLine="0"/>
              <w:jc w:val="right"/>
            </w:pPr>
            <w:r>
              <w:rPr>
                <w:sz w:val="20"/>
              </w:rPr>
              <w:t>0.29</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44B920F8" w14:textId="77777777" w:rsidR="00D83842" w:rsidRDefault="00000000">
            <w:pPr>
              <w:spacing w:after="0" w:line="259" w:lineRule="auto"/>
              <w:ind w:left="0" w:right="64" w:firstLine="0"/>
              <w:jc w:val="right"/>
            </w:pPr>
            <w:r>
              <w:rPr>
                <w:sz w:val="20"/>
              </w:rPr>
              <w:t>0.29</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0D32A80F" w14:textId="77777777" w:rsidR="00D83842" w:rsidRDefault="00000000">
            <w:pPr>
              <w:spacing w:after="0" w:line="259" w:lineRule="auto"/>
              <w:ind w:left="0" w:right="64" w:firstLine="0"/>
              <w:jc w:val="right"/>
            </w:pPr>
            <w:r>
              <w:rPr>
                <w:sz w:val="20"/>
              </w:rPr>
              <w:t>0.30</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6B65F261" w14:textId="77777777" w:rsidR="00D83842" w:rsidRDefault="00000000">
            <w:pPr>
              <w:spacing w:after="0" w:line="259" w:lineRule="auto"/>
              <w:ind w:left="0" w:right="64" w:firstLine="0"/>
              <w:jc w:val="right"/>
            </w:pPr>
            <w:r>
              <w:rPr>
                <w:sz w:val="20"/>
              </w:rPr>
              <w:t>0.31</w:t>
            </w:r>
            <w:r>
              <w:t xml:space="preserve"> </w:t>
            </w:r>
          </w:p>
        </w:tc>
      </w:tr>
      <w:tr w:rsidR="00D83842" w14:paraId="1AEC36AD" w14:textId="77777777">
        <w:trPr>
          <w:trHeight w:val="480"/>
        </w:trPr>
        <w:tc>
          <w:tcPr>
            <w:tcW w:w="3635" w:type="dxa"/>
            <w:tcBorders>
              <w:top w:val="single" w:sz="6" w:space="0" w:color="000000"/>
              <w:left w:val="single" w:sz="6" w:space="0" w:color="000000"/>
              <w:bottom w:val="single" w:sz="6" w:space="0" w:color="000000"/>
              <w:right w:val="single" w:sz="6" w:space="0" w:color="000000"/>
            </w:tcBorders>
            <w:vAlign w:val="center"/>
          </w:tcPr>
          <w:p w14:paraId="2F9F626C" w14:textId="77777777" w:rsidR="00D83842" w:rsidRDefault="00000000">
            <w:pPr>
              <w:spacing w:after="0" w:line="259" w:lineRule="auto"/>
              <w:ind w:left="1" w:right="0" w:firstLine="0"/>
              <w:jc w:val="left"/>
            </w:pPr>
            <w:r>
              <w:rPr>
                <w:sz w:val="20"/>
              </w:rPr>
              <w:t>Human Resources</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108F931E" w14:textId="77777777" w:rsidR="00D83842" w:rsidRDefault="00000000">
            <w:pPr>
              <w:spacing w:after="0" w:line="259" w:lineRule="auto"/>
              <w:ind w:left="0" w:right="64" w:firstLine="0"/>
              <w:jc w:val="right"/>
            </w:pPr>
            <w:r>
              <w:rPr>
                <w:sz w:val="20"/>
              </w:rPr>
              <w:t>1.04</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6F0B9D1E" w14:textId="77777777" w:rsidR="00D83842" w:rsidRDefault="00000000">
            <w:pPr>
              <w:spacing w:after="0" w:line="259" w:lineRule="auto"/>
              <w:ind w:left="0" w:right="64" w:firstLine="0"/>
              <w:jc w:val="right"/>
            </w:pPr>
            <w:r>
              <w:rPr>
                <w:sz w:val="20"/>
              </w:rPr>
              <w:t>0.99</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2B978315" w14:textId="77777777" w:rsidR="00D83842" w:rsidRDefault="00000000">
            <w:pPr>
              <w:spacing w:after="0" w:line="259" w:lineRule="auto"/>
              <w:ind w:left="0" w:right="64" w:firstLine="0"/>
              <w:jc w:val="right"/>
            </w:pPr>
            <w:r>
              <w:rPr>
                <w:sz w:val="20"/>
              </w:rPr>
              <w:t>1.01</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6E8C87C8" w14:textId="77777777" w:rsidR="00D83842" w:rsidRDefault="00000000">
            <w:pPr>
              <w:spacing w:after="0" w:line="259" w:lineRule="auto"/>
              <w:ind w:left="0" w:right="64" w:firstLine="0"/>
              <w:jc w:val="right"/>
            </w:pPr>
            <w:r>
              <w:rPr>
                <w:sz w:val="20"/>
              </w:rPr>
              <w:t>1.03</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2041E49E" w14:textId="77777777" w:rsidR="00D83842" w:rsidRDefault="00000000">
            <w:pPr>
              <w:spacing w:after="0" w:line="259" w:lineRule="auto"/>
              <w:ind w:left="0" w:right="64" w:firstLine="0"/>
              <w:jc w:val="right"/>
            </w:pPr>
            <w:r>
              <w:rPr>
                <w:sz w:val="20"/>
              </w:rPr>
              <w:t>1.05</w:t>
            </w:r>
            <w:r>
              <w:t xml:space="preserve"> </w:t>
            </w:r>
          </w:p>
        </w:tc>
      </w:tr>
      <w:tr w:rsidR="00D83842" w14:paraId="53BAB14E" w14:textId="77777777">
        <w:trPr>
          <w:trHeight w:val="481"/>
        </w:trPr>
        <w:tc>
          <w:tcPr>
            <w:tcW w:w="3635" w:type="dxa"/>
            <w:tcBorders>
              <w:top w:val="single" w:sz="6" w:space="0" w:color="000000"/>
              <w:left w:val="single" w:sz="6" w:space="0" w:color="000000"/>
              <w:bottom w:val="single" w:sz="6" w:space="0" w:color="000000"/>
              <w:right w:val="single" w:sz="6" w:space="0" w:color="000000"/>
            </w:tcBorders>
            <w:vAlign w:val="center"/>
          </w:tcPr>
          <w:p w14:paraId="72FA43F1" w14:textId="77777777" w:rsidR="00D83842" w:rsidRDefault="00000000">
            <w:pPr>
              <w:spacing w:after="0" w:line="259" w:lineRule="auto"/>
              <w:ind w:left="1" w:right="0" w:firstLine="0"/>
              <w:jc w:val="left"/>
            </w:pPr>
            <w:r>
              <w:rPr>
                <w:sz w:val="20"/>
              </w:rPr>
              <w:t>IT</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060D5E21" w14:textId="77777777" w:rsidR="00D83842" w:rsidRDefault="00000000">
            <w:pPr>
              <w:spacing w:after="0" w:line="259" w:lineRule="auto"/>
              <w:ind w:left="0" w:right="64" w:firstLine="0"/>
              <w:jc w:val="right"/>
            </w:pPr>
            <w:r>
              <w:rPr>
                <w:sz w:val="20"/>
              </w:rPr>
              <w:t>3.41</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49E0C8EB" w14:textId="77777777" w:rsidR="00D83842" w:rsidRDefault="00000000">
            <w:pPr>
              <w:spacing w:after="0" w:line="259" w:lineRule="auto"/>
              <w:ind w:left="0" w:right="64" w:firstLine="0"/>
              <w:jc w:val="right"/>
            </w:pPr>
            <w:r>
              <w:rPr>
                <w:sz w:val="20"/>
              </w:rPr>
              <w:t>3.48</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4F88AA4C" w14:textId="77777777" w:rsidR="00D83842" w:rsidRDefault="00000000">
            <w:pPr>
              <w:spacing w:after="0" w:line="259" w:lineRule="auto"/>
              <w:ind w:left="0" w:right="64" w:firstLine="0"/>
              <w:jc w:val="right"/>
            </w:pPr>
            <w:r>
              <w:rPr>
                <w:sz w:val="20"/>
              </w:rPr>
              <w:t>3.52</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48FA1806" w14:textId="77777777" w:rsidR="00D83842" w:rsidRDefault="00000000">
            <w:pPr>
              <w:spacing w:after="0" w:line="259" w:lineRule="auto"/>
              <w:ind w:left="0" w:right="64" w:firstLine="0"/>
              <w:jc w:val="right"/>
            </w:pPr>
            <w:r>
              <w:rPr>
                <w:sz w:val="20"/>
              </w:rPr>
              <w:t>3.60</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3D788608" w14:textId="77777777" w:rsidR="00D83842" w:rsidRDefault="00000000">
            <w:pPr>
              <w:spacing w:after="0" w:line="259" w:lineRule="auto"/>
              <w:ind w:left="0" w:right="64" w:firstLine="0"/>
              <w:jc w:val="right"/>
            </w:pPr>
            <w:r>
              <w:rPr>
                <w:sz w:val="20"/>
              </w:rPr>
              <w:t>3.67</w:t>
            </w:r>
            <w:r>
              <w:t xml:space="preserve"> </w:t>
            </w:r>
          </w:p>
        </w:tc>
      </w:tr>
      <w:tr w:rsidR="00D83842" w14:paraId="5CAB53C3" w14:textId="77777777">
        <w:trPr>
          <w:trHeight w:val="481"/>
        </w:trPr>
        <w:tc>
          <w:tcPr>
            <w:tcW w:w="3635" w:type="dxa"/>
            <w:tcBorders>
              <w:top w:val="single" w:sz="6" w:space="0" w:color="000000"/>
              <w:left w:val="single" w:sz="6" w:space="0" w:color="000000"/>
              <w:bottom w:val="single" w:sz="6" w:space="0" w:color="000000"/>
              <w:right w:val="single" w:sz="6" w:space="0" w:color="000000"/>
            </w:tcBorders>
            <w:vAlign w:val="center"/>
          </w:tcPr>
          <w:p w14:paraId="3C30D35B" w14:textId="77777777" w:rsidR="00D83842" w:rsidRDefault="00000000">
            <w:pPr>
              <w:spacing w:after="0" w:line="259" w:lineRule="auto"/>
              <w:ind w:left="1" w:right="0" w:firstLine="0"/>
              <w:jc w:val="left"/>
            </w:pPr>
            <w:r>
              <w:rPr>
                <w:sz w:val="20"/>
              </w:rPr>
              <w:t>OCC Health</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3829119E" w14:textId="77777777" w:rsidR="00D83842" w:rsidRDefault="00000000">
            <w:pPr>
              <w:spacing w:after="0" w:line="259" w:lineRule="auto"/>
              <w:ind w:left="0" w:right="64" w:firstLine="0"/>
              <w:jc w:val="right"/>
            </w:pPr>
            <w:r>
              <w:rPr>
                <w:sz w:val="20"/>
              </w:rPr>
              <w:t>0.31</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1A959FC9" w14:textId="77777777" w:rsidR="00D83842" w:rsidRDefault="00000000">
            <w:pPr>
              <w:spacing w:after="0" w:line="259" w:lineRule="auto"/>
              <w:ind w:left="0" w:right="64" w:firstLine="0"/>
              <w:jc w:val="right"/>
            </w:pPr>
            <w:r>
              <w:rPr>
                <w:sz w:val="20"/>
              </w:rPr>
              <w:t>0.32</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791F9D23" w14:textId="77777777" w:rsidR="00D83842" w:rsidRDefault="00000000">
            <w:pPr>
              <w:spacing w:after="0" w:line="259" w:lineRule="auto"/>
              <w:ind w:left="0" w:right="64" w:firstLine="0"/>
              <w:jc w:val="right"/>
            </w:pPr>
            <w:r>
              <w:rPr>
                <w:sz w:val="20"/>
              </w:rPr>
              <w:t>0.33</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4CDC2D9E" w14:textId="77777777" w:rsidR="00D83842" w:rsidRDefault="00000000">
            <w:pPr>
              <w:spacing w:after="0" w:line="259" w:lineRule="auto"/>
              <w:ind w:left="0" w:right="64" w:firstLine="0"/>
              <w:jc w:val="right"/>
            </w:pPr>
            <w:r>
              <w:rPr>
                <w:sz w:val="20"/>
              </w:rPr>
              <w:t>0.33</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35CEE170" w14:textId="77777777" w:rsidR="00D83842" w:rsidRDefault="00000000">
            <w:pPr>
              <w:spacing w:after="0" w:line="259" w:lineRule="auto"/>
              <w:ind w:left="0" w:right="64" w:firstLine="0"/>
              <w:jc w:val="right"/>
            </w:pPr>
            <w:r>
              <w:rPr>
                <w:sz w:val="20"/>
              </w:rPr>
              <w:t>0.34</w:t>
            </w:r>
            <w:r>
              <w:t xml:space="preserve"> </w:t>
            </w:r>
          </w:p>
        </w:tc>
      </w:tr>
      <w:tr w:rsidR="00D83842" w14:paraId="305C9F8E" w14:textId="77777777">
        <w:trPr>
          <w:trHeight w:val="480"/>
        </w:trPr>
        <w:tc>
          <w:tcPr>
            <w:tcW w:w="3635" w:type="dxa"/>
            <w:tcBorders>
              <w:top w:val="single" w:sz="6" w:space="0" w:color="000000"/>
              <w:left w:val="single" w:sz="6" w:space="0" w:color="000000"/>
              <w:bottom w:val="single" w:sz="6" w:space="0" w:color="000000"/>
              <w:right w:val="single" w:sz="6" w:space="0" w:color="000000"/>
            </w:tcBorders>
            <w:vAlign w:val="center"/>
          </w:tcPr>
          <w:p w14:paraId="33B94405" w14:textId="77777777" w:rsidR="00D83842" w:rsidRDefault="00000000">
            <w:pPr>
              <w:spacing w:after="0" w:line="259" w:lineRule="auto"/>
              <w:ind w:left="1" w:right="0" w:firstLine="0"/>
              <w:jc w:val="left"/>
            </w:pPr>
            <w:r>
              <w:rPr>
                <w:sz w:val="20"/>
              </w:rPr>
              <w:t>Pensions</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65734809" w14:textId="77777777" w:rsidR="00D83842" w:rsidRDefault="00000000">
            <w:pPr>
              <w:spacing w:after="0" w:line="259" w:lineRule="auto"/>
              <w:ind w:left="0" w:right="64" w:firstLine="0"/>
              <w:jc w:val="right"/>
            </w:pPr>
            <w:r>
              <w:rPr>
                <w:sz w:val="20"/>
              </w:rPr>
              <w:t>1.43</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129F6168" w14:textId="77777777" w:rsidR="00D83842" w:rsidRDefault="00000000">
            <w:pPr>
              <w:spacing w:after="0" w:line="259" w:lineRule="auto"/>
              <w:ind w:left="0" w:right="64" w:firstLine="0"/>
              <w:jc w:val="right"/>
            </w:pPr>
            <w:r>
              <w:rPr>
                <w:sz w:val="20"/>
              </w:rPr>
              <w:t>1.45</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076887FC" w14:textId="77777777" w:rsidR="00D83842" w:rsidRDefault="00000000">
            <w:pPr>
              <w:spacing w:after="0" w:line="259" w:lineRule="auto"/>
              <w:ind w:left="0" w:right="64" w:firstLine="0"/>
              <w:jc w:val="right"/>
            </w:pPr>
            <w:r>
              <w:rPr>
                <w:sz w:val="20"/>
              </w:rPr>
              <w:t>1.48</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503580AC" w14:textId="77777777" w:rsidR="00D83842" w:rsidRDefault="00000000">
            <w:pPr>
              <w:spacing w:after="0" w:line="259" w:lineRule="auto"/>
              <w:ind w:left="0" w:right="64" w:firstLine="0"/>
              <w:jc w:val="right"/>
            </w:pPr>
            <w:r>
              <w:rPr>
                <w:sz w:val="20"/>
              </w:rPr>
              <w:t>1.50</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2F96342E" w14:textId="77777777" w:rsidR="00D83842" w:rsidRDefault="00000000">
            <w:pPr>
              <w:spacing w:after="0" w:line="259" w:lineRule="auto"/>
              <w:ind w:left="0" w:right="64" w:firstLine="0"/>
              <w:jc w:val="right"/>
            </w:pPr>
            <w:r>
              <w:rPr>
                <w:sz w:val="20"/>
              </w:rPr>
              <w:t>1.53</w:t>
            </w:r>
            <w:r>
              <w:t xml:space="preserve"> </w:t>
            </w:r>
          </w:p>
        </w:tc>
      </w:tr>
      <w:tr w:rsidR="00D83842" w14:paraId="12AD289F" w14:textId="77777777">
        <w:trPr>
          <w:trHeight w:val="481"/>
        </w:trPr>
        <w:tc>
          <w:tcPr>
            <w:tcW w:w="3635" w:type="dxa"/>
            <w:tcBorders>
              <w:top w:val="single" w:sz="6" w:space="0" w:color="000000"/>
              <w:left w:val="single" w:sz="6" w:space="0" w:color="000000"/>
              <w:bottom w:val="single" w:sz="6" w:space="0" w:color="000000"/>
              <w:right w:val="single" w:sz="6" w:space="0" w:color="000000"/>
            </w:tcBorders>
            <w:vAlign w:val="center"/>
          </w:tcPr>
          <w:p w14:paraId="6C61D211" w14:textId="77777777" w:rsidR="00D83842" w:rsidRDefault="00000000">
            <w:pPr>
              <w:spacing w:after="0" w:line="259" w:lineRule="auto"/>
              <w:ind w:left="1" w:right="0" w:firstLine="0"/>
              <w:jc w:val="left"/>
            </w:pPr>
            <w:r>
              <w:rPr>
                <w:sz w:val="20"/>
              </w:rPr>
              <w:t>Procurement</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7FC4BAF3" w14:textId="77777777" w:rsidR="00D83842" w:rsidRDefault="00000000">
            <w:pPr>
              <w:spacing w:after="0" w:line="259" w:lineRule="auto"/>
              <w:ind w:left="0" w:right="64" w:firstLine="0"/>
              <w:jc w:val="right"/>
            </w:pPr>
            <w:r>
              <w:rPr>
                <w:sz w:val="20"/>
              </w:rPr>
              <w:t>0.79</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39450852" w14:textId="77777777" w:rsidR="00D83842" w:rsidRDefault="00000000">
            <w:pPr>
              <w:spacing w:after="0" w:line="259" w:lineRule="auto"/>
              <w:ind w:left="0" w:right="64" w:firstLine="0"/>
              <w:jc w:val="right"/>
            </w:pPr>
            <w:r>
              <w:rPr>
                <w:sz w:val="20"/>
              </w:rPr>
              <w:t>0.91</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285CF800" w14:textId="77777777" w:rsidR="00D83842" w:rsidRDefault="00000000">
            <w:pPr>
              <w:spacing w:after="0" w:line="259" w:lineRule="auto"/>
              <w:ind w:left="0" w:right="64" w:firstLine="0"/>
              <w:jc w:val="right"/>
            </w:pPr>
            <w:r>
              <w:rPr>
                <w:sz w:val="20"/>
              </w:rPr>
              <w:t>0.90</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11A2D30C" w14:textId="77777777" w:rsidR="00D83842" w:rsidRDefault="00000000">
            <w:pPr>
              <w:spacing w:after="0" w:line="259" w:lineRule="auto"/>
              <w:ind w:left="0" w:right="64" w:firstLine="0"/>
              <w:jc w:val="right"/>
            </w:pPr>
            <w:r>
              <w:rPr>
                <w:sz w:val="20"/>
              </w:rPr>
              <w:t>0.91</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2E872BEE" w14:textId="77777777" w:rsidR="00D83842" w:rsidRDefault="00000000">
            <w:pPr>
              <w:spacing w:after="0" w:line="259" w:lineRule="auto"/>
              <w:ind w:left="0" w:right="64" w:firstLine="0"/>
              <w:jc w:val="right"/>
            </w:pPr>
            <w:r>
              <w:rPr>
                <w:sz w:val="20"/>
              </w:rPr>
              <w:t>0.93</w:t>
            </w:r>
            <w:r>
              <w:t xml:space="preserve"> </w:t>
            </w:r>
          </w:p>
        </w:tc>
      </w:tr>
      <w:tr w:rsidR="00D83842" w14:paraId="1CE1CB44" w14:textId="77777777">
        <w:trPr>
          <w:trHeight w:val="480"/>
        </w:trPr>
        <w:tc>
          <w:tcPr>
            <w:tcW w:w="3635" w:type="dxa"/>
            <w:tcBorders>
              <w:top w:val="single" w:sz="6" w:space="0" w:color="000000"/>
              <w:left w:val="single" w:sz="6" w:space="0" w:color="000000"/>
              <w:bottom w:val="single" w:sz="6" w:space="0" w:color="000000"/>
              <w:right w:val="single" w:sz="6" w:space="0" w:color="000000"/>
            </w:tcBorders>
            <w:vAlign w:val="center"/>
          </w:tcPr>
          <w:p w14:paraId="17FC2977" w14:textId="77777777" w:rsidR="00D83842" w:rsidRDefault="00000000">
            <w:pPr>
              <w:spacing w:after="0" w:line="259" w:lineRule="auto"/>
              <w:ind w:left="1" w:right="0" w:firstLine="0"/>
              <w:jc w:val="left"/>
            </w:pPr>
            <w:r>
              <w:rPr>
                <w:sz w:val="20"/>
              </w:rPr>
              <w:t>Service Development</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3FCF7B91" w14:textId="77777777" w:rsidR="00D83842" w:rsidRDefault="00000000">
            <w:pPr>
              <w:spacing w:after="0" w:line="259" w:lineRule="auto"/>
              <w:ind w:left="0" w:right="64" w:firstLine="0"/>
              <w:jc w:val="right"/>
            </w:pPr>
            <w:r>
              <w:rPr>
                <w:sz w:val="20"/>
              </w:rPr>
              <w:t>1.98</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15C45281" w14:textId="77777777" w:rsidR="00D83842" w:rsidRDefault="00000000">
            <w:pPr>
              <w:spacing w:after="0" w:line="259" w:lineRule="auto"/>
              <w:ind w:left="0" w:right="64" w:firstLine="0"/>
              <w:jc w:val="right"/>
            </w:pPr>
            <w:r>
              <w:rPr>
                <w:sz w:val="20"/>
              </w:rPr>
              <w:t>2.02</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279DD6C3" w14:textId="77777777" w:rsidR="00D83842" w:rsidRDefault="00000000">
            <w:pPr>
              <w:spacing w:after="0" w:line="259" w:lineRule="auto"/>
              <w:ind w:left="0" w:right="64" w:firstLine="0"/>
              <w:jc w:val="right"/>
            </w:pPr>
            <w:r>
              <w:rPr>
                <w:sz w:val="20"/>
              </w:rPr>
              <w:t>2.06</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6D44BDA5" w14:textId="77777777" w:rsidR="00D83842" w:rsidRDefault="00000000">
            <w:pPr>
              <w:spacing w:after="0" w:line="259" w:lineRule="auto"/>
              <w:ind w:left="0" w:right="64" w:firstLine="0"/>
              <w:jc w:val="right"/>
            </w:pPr>
            <w:r>
              <w:rPr>
                <w:sz w:val="20"/>
              </w:rPr>
              <w:t>2.10</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012C55BC" w14:textId="77777777" w:rsidR="00D83842" w:rsidRDefault="00000000">
            <w:pPr>
              <w:spacing w:after="0" w:line="259" w:lineRule="auto"/>
              <w:ind w:left="0" w:right="64" w:firstLine="0"/>
              <w:jc w:val="right"/>
            </w:pPr>
            <w:r>
              <w:rPr>
                <w:sz w:val="20"/>
              </w:rPr>
              <w:t>2.14</w:t>
            </w:r>
            <w:r>
              <w:t xml:space="preserve"> </w:t>
            </w:r>
          </w:p>
        </w:tc>
      </w:tr>
      <w:tr w:rsidR="00D83842" w14:paraId="28F8FBF8" w14:textId="77777777">
        <w:trPr>
          <w:trHeight w:val="480"/>
        </w:trPr>
        <w:tc>
          <w:tcPr>
            <w:tcW w:w="3635" w:type="dxa"/>
            <w:tcBorders>
              <w:top w:val="single" w:sz="6" w:space="0" w:color="000000"/>
              <w:left w:val="single" w:sz="6" w:space="0" w:color="000000"/>
              <w:bottom w:val="single" w:sz="6" w:space="0" w:color="000000"/>
              <w:right w:val="single" w:sz="6" w:space="0" w:color="000000"/>
            </w:tcBorders>
            <w:vAlign w:val="center"/>
          </w:tcPr>
          <w:p w14:paraId="1D3FAB80" w14:textId="77777777" w:rsidR="00D83842" w:rsidRDefault="00000000">
            <w:pPr>
              <w:spacing w:after="0" w:line="259" w:lineRule="auto"/>
              <w:ind w:left="1" w:right="0" w:firstLine="0"/>
              <w:jc w:val="left"/>
            </w:pPr>
            <w:r>
              <w:rPr>
                <w:sz w:val="20"/>
              </w:rPr>
              <w:t>Special Projects</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2EA30A88" w14:textId="77777777" w:rsidR="00D83842" w:rsidRDefault="00000000">
            <w:pPr>
              <w:spacing w:after="0" w:line="259" w:lineRule="auto"/>
              <w:ind w:left="0" w:right="64" w:firstLine="0"/>
              <w:jc w:val="right"/>
            </w:pPr>
            <w:r>
              <w:rPr>
                <w:sz w:val="20"/>
              </w:rPr>
              <w:t>0.04</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3FD7C801" w14:textId="77777777" w:rsidR="00D83842" w:rsidRDefault="00000000">
            <w:pPr>
              <w:spacing w:after="0" w:line="259" w:lineRule="auto"/>
              <w:ind w:left="0" w:right="64" w:firstLine="0"/>
              <w:jc w:val="right"/>
            </w:pPr>
            <w:r>
              <w:rPr>
                <w:sz w:val="20"/>
              </w:rPr>
              <w:t>0.04</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5420A039" w14:textId="77777777" w:rsidR="00D83842" w:rsidRDefault="00000000">
            <w:pPr>
              <w:spacing w:after="0" w:line="259" w:lineRule="auto"/>
              <w:ind w:left="0" w:right="64" w:firstLine="0"/>
              <w:jc w:val="right"/>
            </w:pPr>
            <w:r>
              <w:rPr>
                <w:sz w:val="20"/>
              </w:rPr>
              <w:t>0.04</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02AF8261" w14:textId="77777777" w:rsidR="00D83842" w:rsidRDefault="00000000">
            <w:pPr>
              <w:spacing w:after="0" w:line="259" w:lineRule="auto"/>
              <w:ind w:left="0" w:right="64" w:firstLine="0"/>
              <w:jc w:val="right"/>
            </w:pPr>
            <w:r>
              <w:rPr>
                <w:sz w:val="20"/>
              </w:rPr>
              <w:t>0.04</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22296449" w14:textId="77777777" w:rsidR="00D83842" w:rsidRDefault="00000000">
            <w:pPr>
              <w:spacing w:after="0" w:line="259" w:lineRule="auto"/>
              <w:ind w:left="0" w:right="64" w:firstLine="0"/>
              <w:jc w:val="right"/>
            </w:pPr>
            <w:r>
              <w:rPr>
                <w:sz w:val="20"/>
              </w:rPr>
              <w:t>0.04</w:t>
            </w:r>
            <w:r>
              <w:t xml:space="preserve"> </w:t>
            </w:r>
          </w:p>
        </w:tc>
      </w:tr>
      <w:tr w:rsidR="00D83842" w14:paraId="0C2929E9" w14:textId="77777777">
        <w:trPr>
          <w:trHeight w:val="481"/>
        </w:trPr>
        <w:tc>
          <w:tcPr>
            <w:tcW w:w="3635" w:type="dxa"/>
            <w:tcBorders>
              <w:top w:val="single" w:sz="6" w:space="0" w:color="000000"/>
              <w:left w:val="single" w:sz="6" w:space="0" w:color="000000"/>
              <w:bottom w:val="single" w:sz="6" w:space="0" w:color="000000"/>
              <w:right w:val="single" w:sz="6" w:space="0" w:color="000000"/>
            </w:tcBorders>
            <w:vAlign w:val="center"/>
          </w:tcPr>
          <w:p w14:paraId="72E73374" w14:textId="77777777" w:rsidR="00D83842" w:rsidRDefault="00000000">
            <w:pPr>
              <w:spacing w:after="0" w:line="259" w:lineRule="auto"/>
              <w:ind w:left="1" w:right="0" w:firstLine="0"/>
              <w:jc w:val="left"/>
            </w:pPr>
            <w:r>
              <w:rPr>
                <w:sz w:val="20"/>
              </w:rPr>
              <w:t>TOR</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2AADEB98" w14:textId="77777777" w:rsidR="00D83842" w:rsidRDefault="00000000">
            <w:pPr>
              <w:spacing w:after="0" w:line="259" w:lineRule="auto"/>
              <w:ind w:left="0" w:right="64" w:firstLine="0"/>
              <w:jc w:val="right"/>
            </w:pPr>
            <w:r>
              <w:rPr>
                <w:sz w:val="20"/>
              </w:rPr>
              <w:t>4.47</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6D33E2D5" w14:textId="77777777" w:rsidR="00D83842" w:rsidRDefault="00000000">
            <w:pPr>
              <w:spacing w:after="0" w:line="259" w:lineRule="auto"/>
              <w:ind w:left="0" w:right="64" w:firstLine="0"/>
              <w:jc w:val="right"/>
            </w:pPr>
            <w:r>
              <w:rPr>
                <w:sz w:val="20"/>
              </w:rPr>
              <w:t>4.55</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7A92038E" w14:textId="77777777" w:rsidR="00D83842" w:rsidRDefault="00000000">
            <w:pPr>
              <w:spacing w:after="0" w:line="259" w:lineRule="auto"/>
              <w:ind w:left="0" w:right="64" w:firstLine="0"/>
              <w:jc w:val="right"/>
            </w:pPr>
            <w:r>
              <w:rPr>
                <w:sz w:val="20"/>
              </w:rPr>
              <w:t>4.82</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4E9F5A4B" w14:textId="77777777" w:rsidR="00D83842" w:rsidRDefault="00000000">
            <w:pPr>
              <w:spacing w:after="0" w:line="259" w:lineRule="auto"/>
              <w:ind w:left="0" w:right="64" w:firstLine="0"/>
              <w:jc w:val="right"/>
            </w:pPr>
            <w:r>
              <w:rPr>
                <w:sz w:val="20"/>
              </w:rPr>
              <w:t>4.96</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5257C4E3" w14:textId="77777777" w:rsidR="00D83842" w:rsidRDefault="00000000">
            <w:pPr>
              <w:spacing w:after="0" w:line="259" w:lineRule="auto"/>
              <w:ind w:left="0" w:right="64" w:firstLine="0"/>
              <w:jc w:val="right"/>
            </w:pPr>
            <w:r>
              <w:rPr>
                <w:sz w:val="20"/>
              </w:rPr>
              <w:t>4.89</w:t>
            </w:r>
            <w:r>
              <w:t xml:space="preserve"> </w:t>
            </w:r>
          </w:p>
        </w:tc>
      </w:tr>
      <w:tr w:rsidR="00D83842" w14:paraId="63CE3A3B" w14:textId="77777777">
        <w:trPr>
          <w:trHeight w:val="480"/>
        </w:trPr>
        <w:tc>
          <w:tcPr>
            <w:tcW w:w="3635" w:type="dxa"/>
            <w:tcBorders>
              <w:top w:val="single" w:sz="6" w:space="0" w:color="000000"/>
              <w:left w:val="single" w:sz="6" w:space="0" w:color="000000"/>
              <w:bottom w:val="single" w:sz="6" w:space="0" w:color="000000"/>
              <w:right w:val="single" w:sz="6" w:space="0" w:color="000000"/>
            </w:tcBorders>
            <w:vAlign w:val="center"/>
          </w:tcPr>
          <w:p w14:paraId="22398346" w14:textId="77777777" w:rsidR="00D83842" w:rsidRDefault="00000000">
            <w:pPr>
              <w:spacing w:after="0" w:line="259" w:lineRule="auto"/>
              <w:ind w:left="1" w:right="0" w:firstLine="0"/>
              <w:jc w:val="left"/>
            </w:pPr>
            <w:r>
              <w:rPr>
                <w:sz w:val="20"/>
              </w:rPr>
              <w:lastRenderedPageBreak/>
              <w:t>Property</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136DCDAE" w14:textId="77777777" w:rsidR="00D83842" w:rsidRDefault="00000000">
            <w:pPr>
              <w:spacing w:after="0" w:line="259" w:lineRule="auto"/>
              <w:ind w:left="0" w:right="64" w:firstLine="0"/>
              <w:jc w:val="right"/>
            </w:pPr>
            <w:r>
              <w:rPr>
                <w:sz w:val="20"/>
              </w:rPr>
              <w:t>4.12</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767836FE" w14:textId="77777777" w:rsidR="00D83842" w:rsidRDefault="00000000">
            <w:pPr>
              <w:spacing w:after="0" w:line="259" w:lineRule="auto"/>
              <w:ind w:left="0" w:right="64" w:firstLine="0"/>
              <w:jc w:val="right"/>
            </w:pPr>
            <w:r>
              <w:rPr>
                <w:sz w:val="20"/>
              </w:rPr>
              <w:t>4.35</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7CE2A39C" w14:textId="77777777" w:rsidR="00D83842" w:rsidRDefault="00000000">
            <w:pPr>
              <w:spacing w:after="0" w:line="259" w:lineRule="auto"/>
              <w:ind w:left="0" w:right="64" w:firstLine="0"/>
              <w:jc w:val="right"/>
            </w:pPr>
            <w:r>
              <w:rPr>
                <w:sz w:val="20"/>
              </w:rPr>
              <w:t>4.45</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1DAB82E6" w14:textId="77777777" w:rsidR="00D83842" w:rsidRDefault="00000000">
            <w:pPr>
              <w:spacing w:after="0" w:line="259" w:lineRule="auto"/>
              <w:ind w:left="0" w:right="64" w:firstLine="0"/>
              <w:jc w:val="right"/>
            </w:pPr>
            <w:r>
              <w:rPr>
                <w:sz w:val="20"/>
              </w:rPr>
              <w:t>4.54</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57C96255" w14:textId="77777777" w:rsidR="00D83842" w:rsidRDefault="00000000">
            <w:pPr>
              <w:spacing w:after="0" w:line="259" w:lineRule="auto"/>
              <w:ind w:left="0" w:right="64" w:firstLine="0"/>
              <w:jc w:val="right"/>
            </w:pPr>
            <w:r>
              <w:rPr>
                <w:sz w:val="20"/>
              </w:rPr>
              <w:t>4.64</w:t>
            </w:r>
            <w:r>
              <w:t xml:space="preserve"> </w:t>
            </w:r>
          </w:p>
        </w:tc>
      </w:tr>
      <w:tr w:rsidR="00D83842" w14:paraId="3BA9BDBC" w14:textId="77777777">
        <w:trPr>
          <w:trHeight w:val="481"/>
        </w:trPr>
        <w:tc>
          <w:tcPr>
            <w:tcW w:w="3635" w:type="dxa"/>
            <w:tcBorders>
              <w:top w:val="single" w:sz="6" w:space="0" w:color="000000"/>
              <w:left w:val="single" w:sz="6" w:space="0" w:color="000000"/>
              <w:bottom w:val="single" w:sz="6" w:space="0" w:color="000000"/>
              <w:right w:val="single" w:sz="6" w:space="0" w:color="000000"/>
            </w:tcBorders>
            <w:vAlign w:val="center"/>
          </w:tcPr>
          <w:p w14:paraId="799CE417" w14:textId="77777777" w:rsidR="00D83842" w:rsidRDefault="00000000">
            <w:pPr>
              <w:spacing w:after="0" w:line="259" w:lineRule="auto"/>
              <w:ind w:left="1" w:right="0" w:firstLine="0"/>
              <w:jc w:val="left"/>
            </w:pPr>
            <w:r>
              <w:rPr>
                <w:sz w:val="20"/>
              </w:rPr>
              <w:t>Overheads</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12E72D76" w14:textId="77777777" w:rsidR="00D83842" w:rsidRDefault="00000000">
            <w:pPr>
              <w:spacing w:after="0" w:line="259" w:lineRule="auto"/>
              <w:ind w:left="0" w:right="64" w:firstLine="0"/>
              <w:jc w:val="right"/>
            </w:pPr>
            <w:r>
              <w:rPr>
                <w:sz w:val="20"/>
              </w:rPr>
              <w:t>4.03</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49C7B8F2" w14:textId="77777777" w:rsidR="00D83842" w:rsidRDefault="00000000">
            <w:pPr>
              <w:spacing w:after="0" w:line="259" w:lineRule="auto"/>
              <w:ind w:left="0" w:right="64" w:firstLine="0"/>
              <w:jc w:val="right"/>
            </w:pPr>
            <w:r>
              <w:rPr>
                <w:sz w:val="20"/>
              </w:rPr>
              <w:t>4.23</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0E0EF4C8" w14:textId="77777777" w:rsidR="00D83842" w:rsidRDefault="00000000">
            <w:pPr>
              <w:spacing w:after="0" w:line="259" w:lineRule="auto"/>
              <w:ind w:left="0" w:right="64" w:firstLine="0"/>
              <w:jc w:val="right"/>
            </w:pPr>
            <w:r>
              <w:rPr>
                <w:sz w:val="20"/>
              </w:rPr>
              <w:t>4.57</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6ED16077" w14:textId="77777777" w:rsidR="00D83842" w:rsidRDefault="00000000">
            <w:pPr>
              <w:spacing w:after="0" w:line="259" w:lineRule="auto"/>
              <w:ind w:left="0" w:right="64" w:firstLine="0"/>
              <w:jc w:val="right"/>
            </w:pPr>
            <w:r>
              <w:rPr>
                <w:sz w:val="20"/>
              </w:rPr>
              <w:t>5.30</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716E9DD4" w14:textId="77777777" w:rsidR="00D83842" w:rsidRDefault="00000000">
            <w:pPr>
              <w:spacing w:after="0" w:line="259" w:lineRule="auto"/>
              <w:ind w:left="0" w:right="64" w:firstLine="0"/>
              <w:jc w:val="right"/>
            </w:pPr>
            <w:r>
              <w:rPr>
                <w:sz w:val="20"/>
              </w:rPr>
              <w:t>6.54</w:t>
            </w:r>
            <w:r>
              <w:t xml:space="preserve"> </w:t>
            </w:r>
          </w:p>
        </w:tc>
      </w:tr>
      <w:tr w:rsidR="00D83842" w14:paraId="405F33CF" w14:textId="77777777">
        <w:trPr>
          <w:trHeight w:val="480"/>
        </w:trPr>
        <w:tc>
          <w:tcPr>
            <w:tcW w:w="3635" w:type="dxa"/>
            <w:tcBorders>
              <w:top w:val="single" w:sz="6" w:space="0" w:color="000000"/>
              <w:left w:val="single" w:sz="6" w:space="0" w:color="000000"/>
              <w:bottom w:val="single" w:sz="6" w:space="0" w:color="000000"/>
              <w:right w:val="single" w:sz="6" w:space="0" w:color="000000"/>
            </w:tcBorders>
            <w:vAlign w:val="center"/>
          </w:tcPr>
          <w:p w14:paraId="79E0A88A" w14:textId="77777777" w:rsidR="00D83842" w:rsidRDefault="00000000">
            <w:pPr>
              <w:spacing w:after="0" w:line="259" w:lineRule="auto"/>
              <w:ind w:left="1" w:right="0" w:firstLine="0"/>
              <w:jc w:val="left"/>
            </w:pPr>
            <w:r>
              <w:rPr>
                <w:b/>
                <w:sz w:val="20"/>
              </w:rPr>
              <w:t>Grand Total</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3AAEAEC5" w14:textId="77777777" w:rsidR="00D83842" w:rsidRDefault="00000000">
            <w:pPr>
              <w:spacing w:after="0" w:line="259" w:lineRule="auto"/>
              <w:ind w:left="0" w:right="64" w:firstLine="0"/>
              <w:jc w:val="right"/>
            </w:pPr>
            <w:r>
              <w:rPr>
                <w:b/>
                <w:sz w:val="20"/>
              </w:rPr>
              <w:t>75.16</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5A738020" w14:textId="77777777" w:rsidR="00D83842" w:rsidRDefault="00000000">
            <w:pPr>
              <w:spacing w:after="0" w:line="259" w:lineRule="auto"/>
              <w:ind w:left="0" w:right="64" w:firstLine="0"/>
              <w:jc w:val="right"/>
            </w:pPr>
            <w:r>
              <w:rPr>
                <w:b/>
                <w:sz w:val="20"/>
              </w:rPr>
              <w:t>76.50</w:t>
            </w:r>
            <w:r>
              <w:t xml:space="preserve"> </w:t>
            </w:r>
          </w:p>
        </w:tc>
        <w:tc>
          <w:tcPr>
            <w:tcW w:w="1111" w:type="dxa"/>
            <w:tcBorders>
              <w:top w:val="single" w:sz="6" w:space="0" w:color="000000"/>
              <w:left w:val="single" w:sz="6" w:space="0" w:color="000000"/>
              <w:bottom w:val="single" w:sz="6" w:space="0" w:color="000000"/>
              <w:right w:val="single" w:sz="6" w:space="0" w:color="000000"/>
            </w:tcBorders>
            <w:vAlign w:val="center"/>
          </w:tcPr>
          <w:p w14:paraId="1C072D2F" w14:textId="77777777" w:rsidR="00D83842" w:rsidRDefault="00000000">
            <w:pPr>
              <w:spacing w:after="0" w:line="259" w:lineRule="auto"/>
              <w:ind w:left="0" w:right="64" w:firstLine="0"/>
              <w:jc w:val="right"/>
            </w:pPr>
            <w:r>
              <w:rPr>
                <w:b/>
                <w:sz w:val="20"/>
              </w:rPr>
              <w:t>78.71</w:t>
            </w:r>
            <w:r>
              <w:t xml:space="preserve"> </w:t>
            </w:r>
          </w:p>
        </w:tc>
        <w:tc>
          <w:tcPr>
            <w:tcW w:w="1097" w:type="dxa"/>
            <w:tcBorders>
              <w:top w:val="single" w:sz="6" w:space="0" w:color="000000"/>
              <w:left w:val="single" w:sz="6" w:space="0" w:color="000000"/>
              <w:bottom w:val="single" w:sz="6" w:space="0" w:color="000000"/>
              <w:right w:val="single" w:sz="6" w:space="0" w:color="000000"/>
            </w:tcBorders>
            <w:vAlign w:val="center"/>
          </w:tcPr>
          <w:p w14:paraId="5A5D2A95" w14:textId="77777777" w:rsidR="00D83842" w:rsidRDefault="00000000">
            <w:pPr>
              <w:spacing w:after="0" w:line="259" w:lineRule="auto"/>
              <w:ind w:left="0" w:right="65" w:firstLine="0"/>
              <w:jc w:val="right"/>
            </w:pPr>
            <w:r>
              <w:rPr>
                <w:b/>
                <w:sz w:val="20"/>
              </w:rPr>
              <w:t>81.04</w:t>
            </w:r>
            <w:r>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43376D0C" w14:textId="77777777" w:rsidR="00D83842" w:rsidRDefault="00000000">
            <w:pPr>
              <w:spacing w:after="0" w:line="259" w:lineRule="auto"/>
              <w:ind w:left="0" w:right="64" w:firstLine="0"/>
              <w:jc w:val="right"/>
            </w:pPr>
            <w:r>
              <w:rPr>
                <w:b/>
                <w:sz w:val="20"/>
              </w:rPr>
              <w:t>83.45</w:t>
            </w:r>
            <w:r>
              <w:t xml:space="preserve"> </w:t>
            </w:r>
          </w:p>
        </w:tc>
      </w:tr>
    </w:tbl>
    <w:p w14:paraId="1F536CDC" w14:textId="3C7A544D" w:rsidR="00BA5F13" w:rsidRDefault="00000000">
      <w:pPr>
        <w:spacing w:after="0" w:line="259" w:lineRule="auto"/>
        <w:ind w:left="0" w:right="0" w:firstLine="0"/>
        <w:jc w:val="left"/>
        <w:rPr>
          <w:i/>
          <w:sz w:val="29"/>
        </w:rPr>
      </w:pPr>
      <w:r>
        <w:rPr>
          <w:i/>
          <w:sz w:val="29"/>
        </w:rPr>
        <w:t xml:space="preserve"> </w:t>
      </w:r>
    </w:p>
    <w:p w14:paraId="3C00EB55" w14:textId="77777777" w:rsidR="00BA5F13" w:rsidRDefault="00BA5F13">
      <w:pPr>
        <w:spacing w:after="160" w:line="278" w:lineRule="auto"/>
        <w:ind w:left="0" w:right="0" w:firstLine="0"/>
        <w:jc w:val="left"/>
        <w:rPr>
          <w:i/>
          <w:sz w:val="29"/>
        </w:rPr>
      </w:pPr>
      <w:r>
        <w:rPr>
          <w:i/>
          <w:sz w:val="29"/>
        </w:rPr>
        <w:br w:type="page"/>
      </w:r>
    </w:p>
    <w:p w14:paraId="00B436C0" w14:textId="77777777" w:rsidR="00BA5F13" w:rsidRPr="00BA5F13" w:rsidRDefault="00BA5F13" w:rsidP="00BA5F13">
      <w:pPr>
        <w:spacing w:after="161" w:line="259" w:lineRule="auto"/>
        <w:ind w:left="0" w:right="0" w:firstLine="0"/>
        <w:jc w:val="left"/>
      </w:pPr>
      <w:r w:rsidRPr="00BA5F13">
        <w:rPr>
          <w:b/>
          <w:sz w:val="29"/>
        </w:rPr>
        <w:lastRenderedPageBreak/>
        <w:t xml:space="preserve">Capital Strategy </w:t>
      </w:r>
    </w:p>
    <w:p w14:paraId="1CA51A9A" w14:textId="77777777" w:rsidR="00BA5F13" w:rsidRPr="00BA5F13" w:rsidRDefault="00BA5F13" w:rsidP="00BA5F13">
      <w:pPr>
        <w:keepNext/>
        <w:keepLines/>
        <w:spacing w:after="107" w:line="259" w:lineRule="auto"/>
        <w:ind w:left="0" w:right="0" w:firstLine="0"/>
        <w:jc w:val="left"/>
        <w:outlineLvl w:val="0"/>
        <w:rPr>
          <w:b/>
        </w:rPr>
      </w:pPr>
      <w:r w:rsidRPr="00BA5F13">
        <w:rPr>
          <w:b/>
        </w:rPr>
        <w:t xml:space="preserve">Introduction </w:t>
      </w:r>
    </w:p>
    <w:p w14:paraId="04FA37ED" w14:textId="77777777" w:rsidR="00BA5F13" w:rsidRPr="00BA5F13" w:rsidRDefault="00BA5F13" w:rsidP="00BA5F13">
      <w:pPr>
        <w:spacing w:after="242"/>
        <w:ind w:left="0" w:right="535" w:firstLine="0"/>
      </w:pPr>
      <w:r w:rsidRPr="00BA5F13">
        <w:t xml:space="preserve">The Chartered Institute of Public Finance and Accountancy (CIPFA) Prudential Code for Capital Finance in Local Authorities establishes a framework that supports local strategic planning, asset management and appropriate options appraisal. </w:t>
      </w:r>
    </w:p>
    <w:p w14:paraId="0E4043FF" w14:textId="77777777" w:rsidR="00BA5F13" w:rsidRPr="00BA5F13" w:rsidRDefault="00BA5F13" w:rsidP="00BA5F13">
      <w:pPr>
        <w:spacing w:after="211"/>
        <w:ind w:left="0" w:right="535" w:firstLine="0"/>
      </w:pPr>
      <w:r w:rsidRPr="00BA5F13">
        <w:t xml:space="preserve">The objectives of the Code are to ensure that the capital plans of an organisation are affordable, prudent, and sustainable and the treasury management decisions are taken in accordance with good professional practice and in full understanding of the risks involved. </w:t>
      </w:r>
    </w:p>
    <w:p w14:paraId="527D5501" w14:textId="77777777" w:rsidR="00BA5F13" w:rsidRPr="00BA5F13" w:rsidRDefault="00BA5F13" w:rsidP="00BA5F13">
      <w:pPr>
        <w:keepNext/>
        <w:keepLines/>
        <w:spacing w:after="107" w:line="259" w:lineRule="auto"/>
        <w:ind w:left="0" w:right="0" w:firstLine="0"/>
        <w:jc w:val="left"/>
        <w:outlineLvl w:val="0"/>
        <w:rPr>
          <w:b/>
        </w:rPr>
      </w:pPr>
      <w:r w:rsidRPr="00BA5F13">
        <w:rPr>
          <w:b/>
        </w:rPr>
        <w:t xml:space="preserve">Definition </w:t>
      </w:r>
    </w:p>
    <w:p w14:paraId="2D32F4DF" w14:textId="77777777" w:rsidR="00BA5F13" w:rsidRPr="00BA5F13" w:rsidRDefault="00BA5F13" w:rsidP="00BA5F13">
      <w:pPr>
        <w:spacing w:after="247" w:line="242" w:lineRule="auto"/>
        <w:ind w:left="0" w:right="95" w:firstLine="0"/>
        <w:jc w:val="left"/>
      </w:pPr>
      <w:r w:rsidRPr="00BA5F13">
        <w:t xml:space="preserve">To utilise the full extent of the Code and its framework, it is essential that there is a clear understanding of what capital expenditure is. Unless expenditure qualifies as capital it will normally fall outside the scope of the Code and its framework and be charged to revenue in the period in which the goods or services were received. If expenditure does qualify as capital, there are opportunities to finance such spend from any capital receipts held or to spread the cost over future years in line with the life of the asset(s) purchased/created. </w:t>
      </w:r>
    </w:p>
    <w:p w14:paraId="16E8E794" w14:textId="77777777" w:rsidR="00BA5F13" w:rsidRPr="00BA5F13" w:rsidRDefault="00BA5F13" w:rsidP="00BA5F13">
      <w:pPr>
        <w:spacing w:after="243"/>
        <w:ind w:left="0" w:right="95" w:firstLine="0"/>
        <w:jc w:val="left"/>
      </w:pPr>
      <w:r w:rsidRPr="00BA5F13">
        <w:t xml:space="preserve">In the main, expenditure must meet one or more of the following conditions for it to be classified as capital: </w:t>
      </w:r>
    </w:p>
    <w:p w14:paraId="0008E712" w14:textId="77777777" w:rsidR="00BA5F13" w:rsidRPr="00BA5F13" w:rsidRDefault="00BA5F13" w:rsidP="002D54A3">
      <w:pPr>
        <w:pStyle w:val="ListParagraph"/>
        <w:numPr>
          <w:ilvl w:val="0"/>
          <w:numId w:val="25"/>
        </w:numPr>
        <w:ind w:right="110"/>
      </w:pPr>
      <w:r w:rsidRPr="00BA5F13">
        <w:t xml:space="preserve">Spend results in the acquisition, construction, or enhancement of an asset (tangible or intangible) in accordance with ‘proper </w:t>
      </w:r>
      <w:proofErr w:type="gramStart"/>
      <w:r w:rsidRPr="00BA5F13">
        <w:t>practices’</w:t>
      </w:r>
      <w:proofErr w:type="gramEnd"/>
      <w:r w:rsidRPr="00BA5F13">
        <w:t xml:space="preserve">. </w:t>
      </w:r>
    </w:p>
    <w:p w14:paraId="709549E5" w14:textId="77777777" w:rsidR="00BA5F13" w:rsidRPr="00BA5F13" w:rsidRDefault="00BA5F13" w:rsidP="002D54A3">
      <w:pPr>
        <w:pStyle w:val="ListParagraph"/>
        <w:numPr>
          <w:ilvl w:val="0"/>
          <w:numId w:val="25"/>
        </w:numPr>
        <w:ind w:right="110"/>
      </w:pPr>
      <w:r w:rsidRPr="00BA5F13">
        <w:t xml:space="preserve">Spend meets one of the definitions specified in regulations made under the 2003 Local Government Act. </w:t>
      </w:r>
    </w:p>
    <w:p w14:paraId="2A40C46A" w14:textId="77777777" w:rsidR="00BA5F13" w:rsidRPr="00BA5F13" w:rsidRDefault="00BA5F13" w:rsidP="002D54A3">
      <w:pPr>
        <w:pStyle w:val="ListParagraph"/>
        <w:numPr>
          <w:ilvl w:val="0"/>
          <w:numId w:val="25"/>
        </w:numPr>
        <w:spacing w:after="210"/>
        <w:ind w:right="110"/>
      </w:pPr>
      <w:r w:rsidRPr="00BA5F13">
        <w:t xml:space="preserve">The Secretary of State makes a direction that the expenditure can be treated as capital. </w:t>
      </w:r>
    </w:p>
    <w:p w14:paraId="11BBDF1E" w14:textId="77777777" w:rsidR="00BA5F13" w:rsidRPr="00BA5F13" w:rsidRDefault="00BA5F13" w:rsidP="00BA5F13">
      <w:pPr>
        <w:keepNext/>
        <w:keepLines/>
        <w:spacing w:after="107" w:line="259" w:lineRule="auto"/>
        <w:ind w:left="0" w:right="0" w:firstLine="0"/>
        <w:jc w:val="left"/>
        <w:outlineLvl w:val="0"/>
        <w:rPr>
          <w:b/>
        </w:rPr>
      </w:pPr>
      <w:r w:rsidRPr="00BA5F13">
        <w:rPr>
          <w:b/>
        </w:rPr>
        <w:t xml:space="preserve">Context </w:t>
      </w:r>
    </w:p>
    <w:p w14:paraId="6F6B35BF" w14:textId="77777777" w:rsidR="00BA5F13" w:rsidRPr="00BA5F13" w:rsidRDefault="00BA5F13" w:rsidP="00BA5F13">
      <w:pPr>
        <w:spacing w:after="241"/>
        <w:ind w:left="0" w:right="110" w:firstLine="0"/>
      </w:pPr>
      <w:r w:rsidRPr="00BA5F13">
        <w:t xml:space="preserve">The capital expenditure plans are largely limited to replacing and upgrading essential operational assets (e.g. Estate Facilities, Vehicles, Equipment, Communications Infrastructure).  </w:t>
      </w:r>
    </w:p>
    <w:p w14:paraId="7EF9D4E6" w14:textId="77777777" w:rsidR="00BA5F13" w:rsidRPr="00BA5F13" w:rsidRDefault="00BA5F13" w:rsidP="00BA5F13">
      <w:pPr>
        <w:spacing w:after="247" w:line="242" w:lineRule="auto"/>
        <w:ind w:left="0" w:right="110" w:firstLine="0"/>
      </w:pPr>
      <w:r w:rsidRPr="00BA5F13">
        <w:t xml:space="preserve">This Capital Strategy forms part of our financial strategies, these are one of six core strategies that set out how we will provide services in line with the following priorities in our five-year Community Risk Management Plan (CRMP): </w:t>
      </w:r>
    </w:p>
    <w:p w14:paraId="516966C7" w14:textId="77777777" w:rsidR="00BA5F13" w:rsidRPr="00BA5F13" w:rsidRDefault="00BA5F13" w:rsidP="002D54A3">
      <w:pPr>
        <w:pStyle w:val="ListParagraph"/>
        <w:numPr>
          <w:ilvl w:val="0"/>
          <w:numId w:val="26"/>
        </w:numPr>
        <w:spacing w:after="77"/>
        <w:ind w:right="110"/>
      </w:pPr>
      <w:r w:rsidRPr="00BA5F13">
        <w:t xml:space="preserve">Valuing our people. </w:t>
      </w:r>
    </w:p>
    <w:p w14:paraId="5398B76F" w14:textId="77777777" w:rsidR="00BA5F13" w:rsidRPr="00BA5F13" w:rsidRDefault="00BA5F13" w:rsidP="002D54A3">
      <w:pPr>
        <w:pStyle w:val="ListParagraph"/>
        <w:numPr>
          <w:ilvl w:val="0"/>
          <w:numId w:val="26"/>
        </w:numPr>
        <w:spacing w:after="90"/>
        <w:ind w:right="110"/>
      </w:pPr>
      <w:r w:rsidRPr="00BA5F13">
        <w:lastRenderedPageBreak/>
        <w:t xml:space="preserve">Preventing fires. </w:t>
      </w:r>
    </w:p>
    <w:p w14:paraId="24C200AE" w14:textId="77777777" w:rsidR="00BA5F13" w:rsidRPr="00BA5F13" w:rsidRDefault="00BA5F13" w:rsidP="002D54A3">
      <w:pPr>
        <w:pStyle w:val="ListParagraph"/>
        <w:numPr>
          <w:ilvl w:val="0"/>
          <w:numId w:val="26"/>
        </w:numPr>
        <w:ind w:right="110"/>
      </w:pPr>
      <w:r w:rsidRPr="00BA5F13">
        <w:t xml:space="preserve">Protecting people and property. </w:t>
      </w:r>
    </w:p>
    <w:p w14:paraId="41A0E781" w14:textId="77777777" w:rsidR="00BA5F13" w:rsidRPr="00BA5F13" w:rsidRDefault="00BA5F13" w:rsidP="002D54A3">
      <w:pPr>
        <w:pStyle w:val="ListParagraph"/>
        <w:numPr>
          <w:ilvl w:val="0"/>
          <w:numId w:val="26"/>
        </w:numPr>
        <w:ind w:right="110"/>
      </w:pPr>
      <w:r w:rsidRPr="00BA5F13">
        <w:t xml:space="preserve">Responding to fires and other emergencies. </w:t>
      </w:r>
    </w:p>
    <w:p w14:paraId="54DE26F7" w14:textId="77777777" w:rsidR="00BA5F13" w:rsidRPr="00BA5F13" w:rsidRDefault="00BA5F13" w:rsidP="002D54A3">
      <w:pPr>
        <w:pStyle w:val="ListParagraph"/>
        <w:numPr>
          <w:ilvl w:val="0"/>
          <w:numId w:val="26"/>
        </w:numPr>
        <w:spacing w:after="59"/>
        <w:ind w:right="110"/>
      </w:pPr>
      <w:r w:rsidRPr="00BA5F13">
        <w:t xml:space="preserve">Delivering value for money. </w:t>
      </w:r>
    </w:p>
    <w:p w14:paraId="6989A92B" w14:textId="77777777" w:rsidR="00BA5F13" w:rsidRPr="00BA5F13" w:rsidRDefault="00BA5F13" w:rsidP="00BA5F13">
      <w:pPr>
        <w:spacing w:after="107" w:line="259" w:lineRule="auto"/>
        <w:ind w:left="0" w:right="0" w:firstLine="0"/>
        <w:jc w:val="left"/>
      </w:pPr>
    </w:p>
    <w:p w14:paraId="612BD5D9" w14:textId="77777777" w:rsidR="00BA5F13" w:rsidRPr="00BA5F13" w:rsidRDefault="00BA5F13" w:rsidP="00BA5F13">
      <w:pPr>
        <w:spacing w:after="241"/>
        <w:ind w:left="0" w:right="110" w:firstLine="0"/>
      </w:pPr>
      <w:r w:rsidRPr="00BA5F13">
        <w:t xml:space="preserve">The Authority is committed to having rolling medium term revenue and capital plans (summarised in a </w:t>
      </w:r>
      <w:proofErr w:type="gramStart"/>
      <w:r w:rsidRPr="00BA5F13">
        <w:t>Medium Term</w:t>
      </w:r>
      <w:proofErr w:type="gramEnd"/>
      <w:r w:rsidRPr="00BA5F13">
        <w:t xml:space="preserve"> Financial Strategy – MTFS) that extends for up to five years. The plans are drawn up, reassessed, and extended annually and if required re-prioritised to enable the Authority to achieve its aims and objectives established in the CRMP.  </w:t>
      </w:r>
    </w:p>
    <w:p w14:paraId="69B7D001" w14:textId="77777777" w:rsidR="00BA5F13" w:rsidRPr="00BA5F13" w:rsidRDefault="00BA5F13" w:rsidP="00BA5F13">
      <w:pPr>
        <w:spacing w:after="226"/>
        <w:ind w:left="0" w:right="110" w:firstLine="0"/>
      </w:pPr>
      <w:r w:rsidRPr="00BA5F13">
        <w:t xml:space="preserve">In the past, general capital grant funding was received each year from the Government, which helped to fund replacement of vehicles, IT, operational equipment, and capital maintenance of buildings. This general capital grant funding ended in 2014/15. As a result, all capital investment since then has been funded from the Authority’s own resources unless specific funding was available. No further government capital grant funding is anticipated going forward. The level of reserves currently held will not be sufficient to fund the proposed capital works over the medium term and borrowing will therefore be required going forward to meet the capital programme. Borrowing incurs ongoing costs of interest payments and the funding that is set aside to repay the loan in due course.  </w:t>
      </w:r>
    </w:p>
    <w:p w14:paraId="4BB39EF6" w14:textId="77777777" w:rsidR="00BA5F13" w:rsidRPr="00BA5F13" w:rsidRDefault="00BA5F13" w:rsidP="00BA5F13">
      <w:pPr>
        <w:spacing w:after="241"/>
        <w:ind w:left="0" w:right="110" w:firstLine="0"/>
      </w:pPr>
      <w:r w:rsidRPr="00BA5F13">
        <w:t xml:space="preserve">The Authority has not utilised borrowing to fund its capital programme and thus has one of the lowest levels of borrowing of all fire services in the country. However, the necessary investment in the estate cannot be delivered without borrowing.  </w:t>
      </w:r>
    </w:p>
    <w:p w14:paraId="44E63316" w14:textId="77777777" w:rsidR="00BA5F13" w:rsidRPr="00BA5F13" w:rsidRDefault="00BA5F13" w:rsidP="00BA5F13">
      <w:pPr>
        <w:spacing w:after="253"/>
        <w:ind w:left="0" w:right="110" w:firstLine="0"/>
      </w:pPr>
      <w:r w:rsidRPr="00BA5F13">
        <w:t xml:space="preserve">Key focuses of the Capital Programme plans, all aligned to achieving the Authority’s priorities are: </w:t>
      </w:r>
    </w:p>
    <w:p w14:paraId="4E42A629" w14:textId="77777777" w:rsidR="00BA5F13" w:rsidRPr="00BA5F13" w:rsidRDefault="00BA5F13" w:rsidP="002D54A3">
      <w:pPr>
        <w:pStyle w:val="ListParagraph"/>
        <w:numPr>
          <w:ilvl w:val="0"/>
          <w:numId w:val="27"/>
        </w:numPr>
        <w:spacing w:after="127" w:line="242" w:lineRule="auto"/>
        <w:ind w:right="110"/>
      </w:pPr>
      <w:r w:rsidRPr="00BA5F13">
        <w:t xml:space="preserve">To ensure the property estate remains fit for purpose, identifying opportunities to streamline assets and develop the estate infrastructure, maintaining core sites and improving core training facilities.  </w:t>
      </w:r>
    </w:p>
    <w:p w14:paraId="6DED648F" w14:textId="77777777" w:rsidR="00BA5F13" w:rsidRPr="00BA5F13" w:rsidRDefault="00BA5F13" w:rsidP="002D54A3">
      <w:pPr>
        <w:pStyle w:val="ListParagraph"/>
        <w:numPr>
          <w:ilvl w:val="0"/>
          <w:numId w:val="27"/>
        </w:numPr>
        <w:ind w:right="110"/>
      </w:pPr>
      <w:r w:rsidRPr="00BA5F13">
        <w:t xml:space="preserve">The replacement of other core assets where necessary, e.g., vehicles, operational equipment, and communication infrastructure. </w:t>
      </w:r>
    </w:p>
    <w:p w14:paraId="4737B0D8" w14:textId="77777777" w:rsidR="00BA5F13" w:rsidRPr="00BA5F13" w:rsidRDefault="00BA5F13" w:rsidP="002D54A3">
      <w:pPr>
        <w:pStyle w:val="ListParagraph"/>
        <w:numPr>
          <w:ilvl w:val="0"/>
          <w:numId w:val="27"/>
        </w:numPr>
        <w:spacing w:after="74"/>
        <w:ind w:right="110"/>
      </w:pPr>
      <w:r w:rsidRPr="00BA5F13">
        <w:t xml:space="preserve">Development of improved capability. </w:t>
      </w:r>
    </w:p>
    <w:p w14:paraId="3E8821B7" w14:textId="77777777" w:rsidR="00BA5F13" w:rsidRPr="00BA5F13" w:rsidRDefault="00BA5F13" w:rsidP="002D54A3">
      <w:pPr>
        <w:pStyle w:val="ListParagraph"/>
        <w:numPr>
          <w:ilvl w:val="0"/>
          <w:numId w:val="27"/>
        </w:numPr>
        <w:spacing w:after="144" w:line="242" w:lineRule="auto"/>
        <w:ind w:right="110"/>
      </w:pPr>
      <w:r w:rsidRPr="00BA5F13">
        <w:t xml:space="preserve">To ensure provision is made for ICT to maintain and develop the existing infrastructure and invest in the core technologies required to provide innovative and efficient digital services.  </w:t>
      </w:r>
    </w:p>
    <w:p w14:paraId="07823BC1" w14:textId="77777777" w:rsidR="00BA5F13" w:rsidRPr="00BA5F13" w:rsidRDefault="00BA5F13" w:rsidP="002D54A3">
      <w:pPr>
        <w:pStyle w:val="ListParagraph"/>
        <w:numPr>
          <w:ilvl w:val="0"/>
          <w:numId w:val="27"/>
        </w:numPr>
        <w:spacing w:after="59"/>
        <w:ind w:right="110"/>
      </w:pPr>
      <w:r w:rsidRPr="00BA5F13">
        <w:t xml:space="preserve">Invest to Save Schemes. </w:t>
      </w:r>
    </w:p>
    <w:p w14:paraId="2A3B1F86" w14:textId="77777777" w:rsidR="00BA5F13" w:rsidRPr="00BA5F13" w:rsidRDefault="00BA5F13" w:rsidP="00BA5F13">
      <w:pPr>
        <w:spacing w:after="211"/>
        <w:ind w:left="0" w:right="110" w:firstLine="0"/>
      </w:pPr>
      <w:r w:rsidRPr="00BA5F13">
        <w:t xml:space="preserve">The plans must consider the constrained financial position of the Authority and the need to maximise both the available financial resources and the capacity that the Service </w:t>
      </w:r>
      <w:proofErr w:type="gramStart"/>
      <w:r w:rsidRPr="00BA5F13">
        <w:t>has to</w:t>
      </w:r>
      <w:proofErr w:type="gramEnd"/>
      <w:r w:rsidRPr="00BA5F13">
        <w:t xml:space="preserve"> manage change projects. </w:t>
      </w:r>
    </w:p>
    <w:p w14:paraId="39352B4D" w14:textId="77777777" w:rsidR="00BA5F13" w:rsidRPr="00BA5F13" w:rsidRDefault="00BA5F13" w:rsidP="00BA5F13">
      <w:pPr>
        <w:keepNext/>
        <w:keepLines/>
        <w:spacing w:after="107" w:line="259" w:lineRule="auto"/>
        <w:ind w:left="0" w:right="0" w:firstLine="0"/>
        <w:jc w:val="left"/>
        <w:outlineLvl w:val="0"/>
        <w:rPr>
          <w:b/>
        </w:rPr>
      </w:pPr>
      <w:r w:rsidRPr="00BA5F13">
        <w:rPr>
          <w:b/>
        </w:rPr>
        <w:lastRenderedPageBreak/>
        <w:t xml:space="preserve">Governance </w:t>
      </w:r>
    </w:p>
    <w:p w14:paraId="508E4A60" w14:textId="77693D23" w:rsidR="00BA5F13" w:rsidRPr="00BA5F13" w:rsidRDefault="00BA5F13" w:rsidP="002D54A3">
      <w:pPr>
        <w:spacing w:after="119"/>
        <w:ind w:left="0" w:right="313" w:firstLine="0"/>
      </w:pPr>
      <w:r w:rsidRPr="00BA5F13">
        <w:t xml:space="preserve">The annual budget setting process is an ongoing process managed by the Authority’s Executive Board. Capital projects are considered by the Executive Board, they include a business case that identifies the organisational requirement, rationale, deliverables, benefits, links to the Authority’s priorities and costs in terms of both capital investment and ongoing revenue consequences. </w:t>
      </w:r>
    </w:p>
    <w:p w14:paraId="7DC81A5D" w14:textId="77777777" w:rsidR="00BA5F13" w:rsidRPr="00BA5F13" w:rsidRDefault="00BA5F13" w:rsidP="00BA5F13">
      <w:pPr>
        <w:spacing w:after="226"/>
        <w:ind w:left="0" w:right="313" w:firstLine="0"/>
      </w:pPr>
      <w:r w:rsidRPr="00BA5F13">
        <w:t xml:space="preserve">The delivery of capital projects is over overseen by the Capital Projects Programme Board (CPPB) and reported to the Service Management Team – Corporate Programme Board (CPB). Capital budget monitoring reports are presented to the Resources Committee to monitor progress.  </w:t>
      </w:r>
    </w:p>
    <w:p w14:paraId="00A86BA8" w14:textId="77777777" w:rsidR="00BA5F13" w:rsidRPr="00BA5F13" w:rsidRDefault="00BA5F13" w:rsidP="00BA5F13">
      <w:pPr>
        <w:spacing w:after="247" w:line="242" w:lineRule="auto"/>
        <w:ind w:left="0" w:right="313" w:firstLine="0"/>
      </w:pPr>
      <w:r w:rsidRPr="00BA5F13">
        <w:t xml:space="preserve">A Member Capital Projects Working Group has also been established to oversee the development and delivery of our major capital projects and progress is also reported to the Resources Committee that considers any slippage, variances and accelerated spend.  </w:t>
      </w:r>
    </w:p>
    <w:p w14:paraId="5836C7E6" w14:textId="77777777" w:rsidR="00BA5F13" w:rsidRPr="00BA5F13" w:rsidRDefault="00BA5F13" w:rsidP="00BA5F13">
      <w:pPr>
        <w:spacing w:after="226"/>
        <w:ind w:left="0" w:right="313" w:firstLine="0"/>
      </w:pPr>
      <w:r w:rsidRPr="00BA5F13">
        <w:t xml:space="preserve">An updated MTFS and Capital Strategy, including a recommended Capital Programme for the next year, is then presented to the Authority, providing views on affordability, potential funding issues and options. </w:t>
      </w:r>
    </w:p>
    <w:p w14:paraId="2F00432A" w14:textId="1DD69DCD" w:rsidR="00BA5F13" w:rsidRPr="00BA5F13" w:rsidRDefault="00BA5F13" w:rsidP="002D54A3">
      <w:pPr>
        <w:spacing w:after="3" w:line="242" w:lineRule="auto"/>
        <w:ind w:left="0" w:right="313" w:firstLine="0"/>
      </w:pPr>
      <w:r w:rsidRPr="00BA5F13">
        <w:t xml:space="preserve">To evaluate the success and outcomes of capital projects, a post project review is carried out. The depth of this review is proportionate to the scale of the project and the benefits set out in the initial Project </w:t>
      </w:r>
      <w:proofErr w:type="gramStart"/>
      <w:r w:rsidRPr="00BA5F13">
        <w:t xml:space="preserve">Initiation </w:t>
      </w:r>
      <w:r w:rsidR="002D54A3">
        <w:t xml:space="preserve"> </w:t>
      </w:r>
      <w:r w:rsidRPr="00BA5F13">
        <w:t>Documentation</w:t>
      </w:r>
      <w:proofErr w:type="gramEnd"/>
      <w:r w:rsidRPr="00BA5F13">
        <w:t xml:space="preserve">. This review focuses on the outcomes achieved, the extent to which the benefits claimed are being realised, the actual costs, both revenue and capital, and the impact of other funding and partnership working. This information can then be used to learn lessons and make any improvements during subsequent projects. The post project report is reviewed by the CPPB and escalated to the CPB if required. </w:t>
      </w:r>
    </w:p>
    <w:p w14:paraId="73428665" w14:textId="77777777" w:rsidR="002D54A3" w:rsidRDefault="002D54A3" w:rsidP="00BA5F13">
      <w:pPr>
        <w:keepNext/>
        <w:keepLines/>
        <w:spacing w:after="107" w:line="259" w:lineRule="auto"/>
        <w:ind w:left="0" w:right="0" w:firstLine="0"/>
        <w:jc w:val="left"/>
        <w:outlineLvl w:val="0"/>
        <w:rPr>
          <w:b/>
        </w:rPr>
      </w:pPr>
    </w:p>
    <w:p w14:paraId="381D6C10" w14:textId="4D70964A" w:rsidR="00BA5F13" w:rsidRPr="00BA5F13" w:rsidRDefault="00BA5F13" w:rsidP="00BA5F13">
      <w:pPr>
        <w:keepNext/>
        <w:keepLines/>
        <w:spacing w:after="107" w:line="259" w:lineRule="auto"/>
        <w:ind w:left="0" w:right="0" w:firstLine="0"/>
        <w:jc w:val="left"/>
        <w:outlineLvl w:val="0"/>
        <w:rPr>
          <w:b/>
        </w:rPr>
      </w:pPr>
      <w:r w:rsidRPr="00BA5F13">
        <w:rPr>
          <w:b/>
        </w:rPr>
        <w:t xml:space="preserve">Funding Streams </w:t>
      </w:r>
    </w:p>
    <w:p w14:paraId="5BC7786E" w14:textId="77777777" w:rsidR="00BA5F13" w:rsidRPr="00BA5F13" w:rsidRDefault="00BA5F13" w:rsidP="00BA5F13">
      <w:pPr>
        <w:tabs>
          <w:tab w:val="right" w:pos="9123"/>
        </w:tabs>
        <w:spacing w:after="263"/>
        <w:ind w:left="0" w:right="0" w:firstLine="0"/>
        <w:jc w:val="left"/>
      </w:pPr>
      <w:r w:rsidRPr="00BA5F13">
        <w:t xml:space="preserve">Capital expenditure can be funded from </w:t>
      </w:r>
      <w:proofErr w:type="gramStart"/>
      <w:r w:rsidRPr="00BA5F13">
        <w:t>a number of</w:t>
      </w:r>
      <w:proofErr w:type="gramEnd"/>
      <w:r w:rsidRPr="00BA5F13">
        <w:t xml:space="preserve"> sources as set out below: </w:t>
      </w:r>
    </w:p>
    <w:p w14:paraId="0E63ECE7" w14:textId="77777777" w:rsidR="00BA5F13" w:rsidRPr="00BA5F13" w:rsidRDefault="00BA5F13" w:rsidP="00BA5F13">
      <w:pPr>
        <w:spacing w:after="144" w:line="242" w:lineRule="auto"/>
        <w:ind w:left="0" w:right="110" w:firstLine="0"/>
      </w:pPr>
      <w:r w:rsidRPr="00BA5F13">
        <w:t xml:space="preserve">Government Grants – these are either general grants which can be used to fund any capital spend approved by the Authority or specific grants which can only be used to fund specific projects in line with any conditions placed with the grant. The Authority has not received an annual government capital grant allocation since 2014/15. </w:t>
      </w:r>
    </w:p>
    <w:p w14:paraId="2A8424B3" w14:textId="77777777" w:rsidR="00BA5F13" w:rsidRPr="00BA5F13" w:rsidRDefault="00BA5F13" w:rsidP="00BA5F13">
      <w:pPr>
        <w:spacing w:after="129" w:line="242" w:lineRule="auto"/>
        <w:ind w:left="0" w:right="110" w:firstLine="0"/>
      </w:pPr>
      <w:r w:rsidRPr="00BA5F13">
        <w:t xml:space="preserve">Capital Receipts – when an asset held by the Authority is sold, the proceeds are held in reserve to be used either to fund future capital expenditure or to repay debt. They cannot be used to fund revenue expenditure. </w:t>
      </w:r>
    </w:p>
    <w:p w14:paraId="2A80A525" w14:textId="77777777" w:rsidR="00BA5F13" w:rsidRPr="00BA5F13" w:rsidRDefault="00BA5F13" w:rsidP="00BA5F13">
      <w:pPr>
        <w:spacing w:after="119"/>
        <w:ind w:left="0" w:right="110" w:firstLine="0"/>
      </w:pPr>
      <w:r w:rsidRPr="00BA5F13">
        <w:lastRenderedPageBreak/>
        <w:t xml:space="preserve">Reserves – funds can be set aside and held in earmarked reserves if known expenditure is to be incurred at a future date. These reserves can then be used to fund such expenditure be it capital or revenue. In terms of capital expenditure, it may be known that a specific asset may need replacing in 10 years and therefore funds are set-aside each year to build up the reserve to fund the replacement. Details of the reserves held are found within the Authority’s Reserves Strategy. </w:t>
      </w:r>
    </w:p>
    <w:p w14:paraId="244C462C" w14:textId="77777777" w:rsidR="00BA5F13" w:rsidRPr="00BA5F13" w:rsidRDefault="00BA5F13" w:rsidP="00BA5F13">
      <w:pPr>
        <w:spacing w:after="119"/>
        <w:ind w:left="0" w:right="110" w:firstLine="0"/>
      </w:pPr>
      <w:r w:rsidRPr="00BA5F13">
        <w:t xml:space="preserve">External Contributions – these are funds or grants provided by external organisations such as collaboration partners or local authorities for specifically agreed capital expenditure. </w:t>
      </w:r>
    </w:p>
    <w:p w14:paraId="1D2CD5A3" w14:textId="77777777" w:rsidR="00BA5F13" w:rsidRPr="00BA5F13" w:rsidRDefault="00BA5F13" w:rsidP="00BA5F13">
      <w:pPr>
        <w:spacing w:after="211"/>
        <w:ind w:left="0" w:right="110" w:firstLine="0"/>
      </w:pPr>
      <w:r w:rsidRPr="00BA5F13">
        <w:t xml:space="preserve">Borrowing – the Authority is permitted in law to take out loans or financing to fund capital expenditure. The Prudential Code sets out the requirements under which such borrowing must be undertaken including affordability, prudence, and cost effectiveness. Any borrowing will incur costs for interest payable and the need to set-aside sufficient funds to repay the loan. These costs impact on the revenue budget. </w:t>
      </w:r>
    </w:p>
    <w:p w14:paraId="5C0C84E9" w14:textId="77777777" w:rsidR="00BA5F13" w:rsidRPr="00BA5F13" w:rsidRDefault="00BA5F13" w:rsidP="00BA5F13">
      <w:pPr>
        <w:keepNext/>
        <w:keepLines/>
        <w:spacing w:after="107" w:line="259" w:lineRule="auto"/>
        <w:ind w:left="0" w:right="0" w:firstLine="0"/>
        <w:jc w:val="left"/>
        <w:outlineLvl w:val="0"/>
        <w:rPr>
          <w:b/>
        </w:rPr>
      </w:pPr>
      <w:r w:rsidRPr="00BA5F13">
        <w:rPr>
          <w:b/>
        </w:rPr>
        <w:t xml:space="preserve">Capital Programme </w:t>
      </w:r>
    </w:p>
    <w:p w14:paraId="6753CF69" w14:textId="77777777" w:rsidR="00BA5F13" w:rsidRPr="00BA5F13" w:rsidRDefault="00BA5F13" w:rsidP="00BA5F13">
      <w:pPr>
        <w:spacing w:after="24"/>
        <w:ind w:left="0" w:right="110" w:firstLine="0"/>
      </w:pPr>
      <w:r w:rsidRPr="00BA5F13">
        <w:t xml:space="preserve">The Authority has a ten-year capital programme, from 2024/25 to 2033/34. </w:t>
      </w:r>
    </w:p>
    <w:p w14:paraId="1548D726" w14:textId="77777777" w:rsidR="00BA5F13" w:rsidRPr="00BA5F13" w:rsidRDefault="00BA5F13" w:rsidP="00BA5F13">
      <w:pPr>
        <w:spacing w:after="253"/>
        <w:ind w:left="0" w:right="447" w:firstLine="0"/>
      </w:pPr>
      <w:r w:rsidRPr="00BA5F13">
        <w:t xml:space="preserve">This reflects the Authority’s capital aspirations in the Fleet, Estates, and ICT strategies. The first five years of the strategy are more detailed, but work is ongoing to develop a more detailed ten-year strategy, </w:t>
      </w:r>
      <w:proofErr w:type="gramStart"/>
      <w:r w:rsidRPr="00BA5F13">
        <w:t>in particular with</w:t>
      </w:r>
      <w:proofErr w:type="gramEnd"/>
      <w:r w:rsidRPr="00BA5F13">
        <w:t xml:space="preserve"> detailed condition surveys across our estate.  </w:t>
      </w:r>
    </w:p>
    <w:p w14:paraId="267284C7" w14:textId="77777777" w:rsidR="00BA5F13" w:rsidRPr="00BA5F13" w:rsidRDefault="00BA5F13" w:rsidP="00BA5F13">
      <w:pPr>
        <w:spacing w:after="11"/>
        <w:ind w:left="0" w:right="110" w:firstLine="0"/>
      </w:pPr>
      <w:r w:rsidRPr="00BA5F13">
        <w:t xml:space="preserve">The table below shows the Authority’s first five years of the Capital Programme and how it is anticipated that it will be funded. The detailed ten-year capital programme is set out in Appendix 1 of this paper.  </w:t>
      </w:r>
    </w:p>
    <w:tbl>
      <w:tblPr>
        <w:tblStyle w:val="TableGrid"/>
        <w:tblW w:w="8516" w:type="dxa"/>
        <w:tblInd w:w="-8" w:type="dxa"/>
        <w:tblCellMar>
          <w:top w:w="0" w:type="dxa"/>
          <w:left w:w="0" w:type="dxa"/>
          <w:bottom w:w="0" w:type="dxa"/>
          <w:right w:w="31" w:type="dxa"/>
        </w:tblCellMar>
        <w:tblLook w:val="04A0" w:firstRow="1" w:lastRow="0" w:firstColumn="1" w:lastColumn="0" w:noHBand="0" w:noVBand="1"/>
      </w:tblPr>
      <w:tblGrid>
        <w:gridCol w:w="3005"/>
        <w:gridCol w:w="1096"/>
        <w:gridCol w:w="1111"/>
        <w:gridCol w:w="1096"/>
        <w:gridCol w:w="1097"/>
        <w:gridCol w:w="1111"/>
      </w:tblGrid>
      <w:tr w:rsidR="00BA5F13" w:rsidRPr="00BA5F13" w14:paraId="08DDDCBE" w14:textId="77777777" w:rsidTr="001D69CB">
        <w:trPr>
          <w:trHeight w:val="736"/>
          <w:tblHeader/>
        </w:trPr>
        <w:tc>
          <w:tcPr>
            <w:tcW w:w="3005" w:type="dxa"/>
            <w:tcBorders>
              <w:top w:val="single" w:sz="6" w:space="0" w:color="000000"/>
              <w:left w:val="single" w:sz="6" w:space="0" w:color="000000"/>
              <w:bottom w:val="single" w:sz="6" w:space="0" w:color="000000"/>
              <w:right w:val="single" w:sz="6" w:space="0" w:color="000000"/>
            </w:tcBorders>
            <w:vAlign w:val="center"/>
          </w:tcPr>
          <w:p w14:paraId="125C9412" w14:textId="423C3281" w:rsidR="00BA5F13" w:rsidRPr="00BA5F13" w:rsidRDefault="001D69CB" w:rsidP="00BA5F13">
            <w:pPr>
              <w:spacing w:after="0" w:line="259" w:lineRule="auto"/>
              <w:ind w:left="0" w:right="0" w:firstLine="0"/>
              <w:jc w:val="left"/>
            </w:pPr>
            <w:r>
              <w:t>Area of spend</w:t>
            </w:r>
            <w:r w:rsidR="00BA5F13" w:rsidRPr="00BA5F13">
              <w:t xml:space="preserve"> </w:t>
            </w:r>
          </w:p>
        </w:tc>
        <w:tc>
          <w:tcPr>
            <w:tcW w:w="1096" w:type="dxa"/>
            <w:tcBorders>
              <w:top w:val="single" w:sz="6" w:space="0" w:color="000000"/>
              <w:left w:val="single" w:sz="6" w:space="0" w:color="000000"/>
              <w:bottom w:val="single" w:sz="6" w:space="0" w:color="000000"/>
              <w:right w:val="single" w:sz="6" w:space="0" w:color="000000"/>
            </w:tcBorders>
            <w:vAlign w:val="center"/>
          </w:tcPr>
          <w:p w14:paraId="04A93ED9" w14:textId="77777777" w:rsidR="00BA5F13" w:rsidRPr="00BA5F13" w:rsidRDefault="00BA5F13" w:rsidP="00BA5F13">
            <w:pPr>
              <w:spacing w:after="0" w:line="259" w:lineRule="auto"/>
              <w:ind w:left="0" w:right="189" w:firstLine="0"/>
              <w:jc w:val="right"/>
            </w:pPr>
            <w:r w:rsidRPr="00BA5F13">
              <w:rPr>
                <w:b/>
              </w:rPr>
              <w:t xml:space="preserve">24/25  </w:t>
            </w:r>
          </w:p>
        </w:tc>
        <w:tc>
          <w:tcPr>
            <w:tcW w:w="1111" w:type="dxa"/>
            <w:tcBorders>
              <w:top w:val="single" w:sz="6" w:space="0" w:color="000000"/>
              <w:left w:val="single" w:sz="6" w:space="0" w:color="000000"/>
              <w:bottom w:val="single" w:sz="6" w:space="0" w:color="000000"/>
              <w:right w:val="single" w:sz="6" w:space="0" w:color="000000"/>
            </w:tcBorders>
            <w:vAlign w:val="center"/>
          </w:tcPr>
          <w:p w14:paraId="6BDCC92C" w14:textId="77777777" w:rsidR="00BA5F13" w:rsidRPr="00BA5F13" w:rsidRDefault="00BA5F13" w:rsidP="00BA5F13">
            <w:pPr>
              <w:spacing w:after="0" w:line="259" w:lineRule="auto"/>
              <w:ind w:left="0" w:right="189" w:firstLine="0"/>
              <w:jc w:val="right"/>
            </w:pPr>
            <w:r w:rsidRPr="00BA5F13">
              <w:rPr>
                <w:b/>
              </w:rPr>
              <w:t xml:space="preserve">25/26  </w:t>
            </w:r>
          </w:p>
        </w:tc>
        <w:tc>
          <w:tcPr>
            <w:tcW w:w="1096" w:type="dxa"/>
            <w:tcBorders>
              <w:top w:val="single" w:sz="6" w:space="0" w:color="000000"/>
              <w:left w:val="single" w:sz="6" w:space="0" w:color="000000"/>
              <w:bottom w:val="single" w:sz="6" w:space="0" w:color="000000"/>
              <w:right w:val="single" w:sz="6" w:space="0" w:color="000000"/>
            </w:tcBorders>
            <w:vAlign w:val="center"/>
          </w:tcPr>
          <w:p w14:paraId="101E7B9F" w14:textId="77777777" w:rsidR="00BA5F13" w:rsidRPr="00BA5F13" w:rsidRDefault="00BA5F13" w:rsidP="00BA5F13">
            <w:pPr>
              <w:spacing w:after="0" w:line="259" w:lineRule="auto"/>
              <w:ind w:left="0" w:right="189" w:firstLine="0"/>
              <w:jc w:val="right"/>
            </w:pPr>
            <w:r w:rsidRPr="00BA5F13">
              <w:rPr>
                <w:b/>
              </w:rPr>
              <w:t xml:space="preserve">26/27  </w:t>
            </w:r>
          </w:p>
        </w:tc>
        <w:tc>
          <w:tcPr>
            <w:tcW w:w="1097" w:type="dxa"/>
            <w:tcBorders>
              <w:top w:val="single" w:sz="6" w:space="0" w:color="000000"/>
              <w:left w:val="single" w:sz="6" w:space="0" w:color="000000"/>
              <w:bottom w:val="single" w:sz="6" w:space="0" w:color="000000"/>
              <w:right w:val="single" w:sz="6" w:space="0" w:color="000000"/>
            </w:tcBorders>
            <w:vAlign w:val="center"/>
          </w:tcPr>
          <w:p w14:paraId="7C79461E" w14:textId="77777777" w:rsidR="00BA5F13" w:rsidRPr="00BA5F13" w:rsidRDefault="00BA5F13" w:rsidP="00BA5F13">
            <w:pPr>
              <w:spacing w:after="0" w:line="259" w:lineRule="auto"/>
              <w:ind w:left="0" w:right="189" w:firstLine="0"/>
              <w:jc w:val="right"/>
            </w:pPr>
            <w:r w:rsidRPr="00BA5F13">
              <w:rPr>
                <w:b/>
              </w:rPr>
              <w:t xml:space="preserve">27/28  </w:t>
            </w:r>
          </w:p>
        </w:tc>
        <w:tc>
          <w:tcPr>
            <w:tcW w:w="1111" w:type="dxa"/>
            <w:tcBorders>
              <w:top w:val="single" w:sz="6" w:space="0" w:color="000000"/>
              <w:left w:val="single" w:sz="6" w:space="0" w:color="000000"/>
              <w:bottom w:val="single" w:sz="6" w:space="0" w:color="000000"/>
              <w:right w:val="single" w:sz="6" w:space="0" w:color="000000"/>
            </w:tcBorders>
            <w:vAlign w:val="center"/>
          </w:tcPr>
          <w:p w14:paraId="5383F86A" w14:textId="77777777" w:rsidR="00BA5F13" w:rsidRPr="00BA5F13" w:rsidRDefault="00BA5F13" w:rsidP="00BA5F13">
            <w:pPr>
              <w:spacing w:after="0" w:line="259" w:lineRule="auto"/>
              <w:ind w:left="0" w:right="189" w:firstLine="0"/>
              <w:jc w:val="right"/>
            </w:pPr>
            <w:r w:rsidRPr="00BA5F13">
              <w:rPr>
                <w:b/>
              </w:rPr>
              <w:t xml:space="preserve">28/29  </w:t>
            </w:r>
          </w:p>
        </w:tc>
      </w:tr>
      <w:tr w:rsidR="00BA5F13" w:rsidRPr="00BA5F13" w14:paraId="3B4C20FC"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426A1D85" w14:textId="77777777" w:rsidR="00BA5F13" w:rsidRPr="00BA5F13" w:rsidRDefault="00BA5F13" w:rsidP="00BA5F13">
            <w:pPr>
              <w:spacing w:after="0" w:line="259" w:lineRule="auto"/>
              <w:ind w:left="0" w:right="0" w:firstLine="0"/>
              <w:jc w:val="left"/>
            </w:pPr>
            <w:r w:rsidRPr="00BA5F13">
              <w:t xml:space="preserve">Vehicles </w:t>
            </w:r>
          </w:p>
        </w:tc>
        <w:tc>
          <w:tcPr>
            <w:tcW w:w="1096" w:type="dxa"/>
            <w:tcBorders>
              <w:top w:val="single" w:sz="6" w:space="0" w:color="000000"/>
              <w:left w:val="single" w:sz="6" w:space="0" w:color="000000"/>
              <w:bottom w:val="single" w:sz="6" w:space="0" w:color="000000"/>
              <w:right w:val="single" w:sz="6" w:space="0" w:color="000000"/>
            </w:tcBorders>
          </w:tcPr>
          <w:p w14:paraId="7BFB4F81" w14:textId="77777777" w:rsidR="00BA5F13" w:rsidRPr="00BA5F13" w:rsidRDefault="00BA5F13" w:rsidP="00BA5F13">
            <w:pPr>
              <w:spacing w:after="0" w:line="259" w:lineRule="auto"/>
              <w:ind w:left="0" w:right="69" w:firstLine="0"/>
              <w:jc w:val="right"/>
            </w:pPr>
            <w:r w:rsidRPr="00BA5F13">
              <w:t xml:space="preserve">3.2 </w:t>
            </w:r>
          </w:p>
        </w:tc>
        <w:tc>
          <w:tcPr>
            <w:tcW w:w="1111" w:type="dxa"/>
            <w:tcBorders>
              <w:top w:val="single" w:sz="6" w:space="0" w:color="000000"/>
              <w:left w:val="single" w:sz="6" w:space="0" w:color="000000"/>
              <w:bottom w:val="single" w:sz="6" w:space="0" w:color="000000"/>
              <w:right w:val="single" w:sz="6" w:space="0" w:color="000000"/>
            </w:tcBorders>
          </w:tcPr>
          <w:p w14:paraId="7326000C" w14:textId="77777777" w:rsidR="00BA5F13" w:rsidRPr="00BA5F13" w:rsidRDefault="00BA5F13" w:rsidP="00BA5F13">
            <w:pPr>
              <w:tabs>
                <w:tab w:val="right" w:pos="1080"/>
              </w:tabs>
              <w:spacing w:after="0" w:line="259" w:lineRule="auto"/>
              <w:ind w:left="0" w:right="0" w:firstLine="0"/>
              <w:jc w:val="left"/>
            </w:pPr>
            <w:r w:rsidRPr="00BA5F13">
              <w:t xml:space="preserve">1.6 </w:t>
            </w:r>
          </w:p>
        </w:tc>
        <w:tc>
          <w:tcPr>
            <w:tcW w:w="1096" w:type="dxa"/>
            <w:tcBorders>
              <w:top w:val="single" w:sz="6" w:space="0" w:color="000000"/>
              <w:left w:val="single" w:sz="6" w:space="0" w:color="000000"/>
              <w:bottom w:val="single" w:sz="6" w:space="0" w:color="000000"/>
              <w:right w:val="single" w:sz="6" w:space="0" w:color="000000"/>
            </w:tcBorders>
          </w:tcPr>
          <w:p w14:paraId="13DCB3B0" w14:textId="77777777" w:rsidR="00BA5F13" w:rsidRPr="00BA5F13" w:rsidRDefault="00BA5F13" w:rsidP="00BA5F13">
            <w:pPr>
              <w:tabs>
                <w:tab w:val="right" w:pos="1065"/>
              </w:tabs>
              <w:spacing w:after="0" w:line="259" w:lineRule="auto"/>
              <w:ind w:left="0" w:right="0" w:firstLine="0"/>
              <w:jc w:val="left"/>
            </w:pPr>
            <w:r w:rsidRPr="00BA5F13">
              <w:t xml:space="preserve">1.6 </w:t>
            </w:r>
          </w:p>
        </w:tc>
        <w:tc>
          <w:tcPr>
            <w:tcW w:w="1097" w:type="dxa"/>
            <w:tcBorders>
              <w:top w:val="single" w:sz="6" w:space="0" w:color="000000"/>
              <w:left w:val="single" w:sz="6" w:space="0" w:color="000000"/>
              <w:bottom w:val="single" w:sz="6" w:space="0" w:color="000000"/>
              <w:right w:val="single" w:sz="6" w:space="0" w:color="000000"/>
            </w:tcBorders>
          </w:tcPr>
          <w:p w14:paraId="14E62D00" w14:textId="77777777" w:rsidR="00BA5F13" w:rsidRPr="00BA5F13" w:rsidRDefault="00BA5F13" w:rsidP="00BA5F13">
            <w:pPr>
              <w:tabs>
                <w:tab w:val="right" w:pos="1065"/>
              </w:tabs>
              <w:spacing w:after="0" w:line="259" w:lineRule="auto"/>
              <w:ind w:left="0" w:right="0" w:firstLine="0"/>
              <w:jc w:val="left"/>
            </w:pPr>
            <w:r w:rsidRPr="00BA5F13">
              <w:t xml:space="preserve">1.6 </w:t>
            </w:r>
          </w:p>
        </w:tc>
        <w:tc>
          <w:tcPr>
            <w:tcW w:w="1111" w:type="dxa"/>
            <w:tcBorders>
              <w:top w:val="single" w:sz="6" w:space="0" w:color="000000"/>
              <w:left w:val="single" w:sz="6" w:space="0" w:color="000000"/>
              <w:bottom w:val="single" w:sz="6" w:space="0" w:color="000000"/>
              <w:right w:val="single" w:sz="6" w:space="0" w:color="000000"/>
            </w:tcBorders>
          </w:tcPr>
          <w:p w14:paraId="5D59061B" w14:textId="77777777" w:rsidR="00BA5F13" w:rsidRPr="00BA5F13" w:rsidRDefault="00BA5F13" w:rsidP="00BA5F13">
            <w:pPr>
              <w:tabs>
                <w:tab w:val="right" w:pos="1080"/>
              </w:tabs>
              <w:spacing w:after="0" w:line="259" w:lineRule="auto"/>
              <w:ind w:left="0" w:right="0" w:firstLine="0"/>
              <w:jc w:val="left"/>
            </w:pPr>
            <w:r w:rsidRPr="00BA5F13">
              <w:t xml:space="preserve">2.1 </w:t>
            </w:r>
          </w:p>
        </w:tc>
      </w:tr>
      <w:tr w:rsidR="00BA5F13" w:rsidRPr="00BA5F13" w14:paraId="51C517B4"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729A41F4" w14:textId="77777777" w:rsidR="00BA5F13" w:rsidRPr="00BA5F13" w:rsidRDefault="00BA5F13" w:rsidP="00BA5F13">
            <w:pPr>
              <w:spacing w:after="0" w:line="259" w:lineRule="auto"/>
              <w:ind w:left="0" w:right="0" w:firstLine="0"/>
              <w:jc w:val="left"/>
            </w:pPr>
            <w:r w:rsidRPr="00BA5F13">
              <w:t xml:space="preserve">Operational Equipment </w:t>
            </w:r>
          </w:p>
        </w:tc>
        <w:tc>
          <w:tcPr>
            <w:tcW w:w="1096" w:type="dxa"/>
            <w:tcBorders>
              <w:top w:val="single" w:sz="6" w:space="0" w:color="000000"/>
              <w:left w:val="single" w:sz="6" w:space="0" w:color="000000"/>
              <w:bottom w:val="single" w:sz="6" w:space="0" w:color="000000"/>
              <w:right w:val="single" w:sz="6" w:space="0" w:color="000000"/>
            </w:tcBorders>
          </w:tcPr>
          <w:p w14:paraId="22E128C0" w14:textId="77777777" w:rsidR="00BA5F13" w:rsidRPr="00BA5F13" w:rsidRDefault="00BA5F13" w:rsidP="00BA5F13">
            <w:pPr>
              <w:spacing w:after="0" w:line="259" w:lineRule="auto"/>
              <w:ind w:left="0" w:right="69" w:firstLine="0"/>
              <w:jc w:val="right"/>
            </w:pPr>
            <w:r w:rsidRPr="00BA5F13">
              <w:t xml:space="preserve">1.3 </w:t>
            </w:r>
          </w:p>
        </w:tc>
        <w:tc>
          <w:tcPr>
            <w:tcW w:w="1111" w:type="dxa"/>
            <w:tcBorders>
              <w:top w:val="single" w:sz="6" w:space="0" w:color="000000"/>
              <w:left w:val="single" w:sz="6" w:space="0" w:color="000000"/>
              <w:bottom w:val="single" w:sz="6" w:space="0" w:color="000000"/>
              <w:right w:val="single" w:sz="6" w:space="0" w:color="000000"/>
            </w:tcBorders>
          </w:tcPr>
          <w:p w14:paraId="32E51203" w14:textId="77777777" w:rsidR="00BA5F13" w:rsidRPr="00BA5F13" w:rsidRDefault="00BA5F13" w:rsidP="00BA5F13">
            <w:pPr>
              <w:tabs>
                <w:tab w:val="right" w:pos="1080"/>
              </w:tabs>
              <w:spacing w:after="0" w:line="259" w:lineRule="auto"/>
              <w:ind w:left="0" w:right="0" w:firstLine="0"/>
              <w:jc w:val="left"/>
            </w:pPr>
            <w:r w:rsidRPr="00BA5F13">
              <w:t xml:space="preserve">1.0 </w:t>
            </w:r>
          </w:p>
        </w:tc>
        <w:tc>
          <w:tcPr>
            <w:tcW w:w="1096" w:type="dxa"/>
            <w:tcBorders>
              <w:top w:val="single" w:sz="6" w:space="0" w:color="000000"/>
              <w:left w:val="single" w:sz="6" w:space="0" w:color="000000"/>
              <w:bottom w:val="single" w:sz="6" w:space="0" w:color="000000"/>
              <w:right w:val="single" w:sz="6" w:space="0" w:color="000000"/>
            </w:tcBorders>
          </w:tcPr>
          <w:p w14:paraId="18F0C2C7" w14:textId="77777777" w:rsidR="00BA5F13" w:rsidRPr="00BA5F13" w:rsidRDefault="00BA5F13" w:rsidP="00BA5F13">
            <w:pPr>
              <w:tabs>
                <w:tab w:val="right" w:pos="1065"/>
              </w:tabs>
              <w:spacing w:after="0" w:line="259" w:lineRule="auto"/>
              <w:ind w:left="0" w:right="0" w:firstLine="0"/>
              <w:jc w:val="left"/>
            </w:pPr>
            <w:r w:rsidRPr="00BA5F13">
              <w:t xml:space="preserve">0.9 </w:t>
            </w:r>
          </w:p>
        </w:tc>
        <w:tc>
          <w:tcPr>
            <w:tcW w:w="1097" w:type="dxa"/>
            <w:tcBorders>
              <w:top w:val="single" w:sz="6" w:space="0" w:color="000000"/>
              <w:left w:val="single" w:sz="6" w:space="0" w:color="000000"/>
              <w:bottom w:val="single" w:sz="6" w:space="0" w:color="000000"/>
              <w:right w:val="single" w:sz="6" w:space="0" w:color="000000"/>
            </w:tcBorders>
          </w:tcPr>
          <w:p w14:paraId="676CFCEB" w14:textId="77777777" w:rsidR="00BA5F13" w:rsidRPr="00BA5F13" w:rsidRDefault="00BA5F13" w:rsidP="00BA5F13">
            <w:pPr>
              <w:tabs>
                <w:tab w:val="right" w:pos="1065"/>
              </w:tabs>
              <w:spacing w:after="0" w:line="259" w:lineRule="auto"/>
              <w:ind w:left="0" w:right="0" w:firstLine="0"/>
              <w:jc w:val="left"/>
            </w:pPr>
            <w:r w:rsidRPr="00BA5F13">
              <w:t xml:space="preserve">0.4 </w:t>
            </w:r>
          </w:p>
        </w:tc>
        <w:tc>
          <w:tcPr>
            <w:tcW w:w="1111" w:type="dxa"/>
            <w:tcBorders>
              <w:top w:val="single" w:sz="6" w:space="0" w:color="000000"/>
              <w:left w:val="single" w:sz="6" w:space="0" w:color="000000"/>
              <w:bottom w:val="single" w:sz="6" w:space="0" w:color="000000"/>
              <w:right w:val="single" w:sz="6" w:space="0" w:color="000000"/>
            </w:tcBorders>
          </w:tcPr>
          <w:p w14:paraId="5B2FBF27" w14:textId="77777777" w:rsidR="00BA5F13" w:rsidRPr="00BA5F13" w:rsidRDefault="00BA5F13" w:rsidP="00BA5F13">
            <w:pPr>
              <w:tabs>
                <w:tab w:val="right" w:pos="1080"/>
              </w:tabs>
              <w:spacing w:after="0" w:line="259" w:lineRule="auto"/>
              <w:ind w:left="0" w:right="0" w:firstLine="0"/>
              <w:jc w:val="left"/>
            </w:pPr>
            <w:r w:rsidRPr="00BA5F13">
              <w:t xml:space="preserve">0.6 </w:t>
            </w:r>
          </w:p>
        </w:tc>
      </w:tr>
      <w:tr w:rsidR="00BA5F13" w:rsidRPr="00BA5F13" w14:paraId="41D0958B"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112B3ABF" w14:textId="77777777" w:rsidR="00BA5F13" w:rsidRPr="00BA5F13" w:rsidRDefault="00BA5F13" w:rsidP="00BA5F13">
            <w:pPr>
              <w:spacing w:after="0" w:line="259" w:lineRule="auto"/>
              <w:ind w:left="0" w:right="0" w:firstLine="0"/>
              <w:jc w:val="left"/>
            </w:pPr>
            <w:r w:rsidRPr="00BA5F13">
              <w:t xml:space="preserve">Buildings </w:t>
            </w:r>
          </w:p>
        </w:tc>
        <w:tc>
          <w:tcPr>
            <w:tcW w:w="1096" w:type="dxa"/>
            <w:tcBorders>
              <w:top w:val="single" w:sz="6" w:space="0" w:color="000000"/>
              <w:left w:val="single" w:sz="6" w:space="0" w:color="000000"/>
              <w:bottom w:val="single" w:sz="6" w:space="0" w:color="000000"/>
              <w:right w:val="single" w:sz="6" w:space="0" w:color="000000"/>
            </w:tcBorders>
          </w:tcPr>
          <w:p w14:paraId="42796982" w14:textId="77777777" w:rsidR="00BA5F13" w:rsidRPr="00BA5F13" w:rsidRDefault="00BA5F13" w:rsidP="00BA5F13">
            <w:pPr>
              <w:spacing w:after="0" w:line="259" w:lineRule="auto"/>
              <w:ind w:left="0" w:right="69" w:firstLine="0"/>
              <w:jc w:val="right"/>
            </w:pPr>
            <w:r w:rsidRPr="00BA5F13">
              <w:t xml:space="preserve">3.5 </w:t>
            </w:r>
          </w:p>
        </w:tc>
        <w:tc>
          <w:tcPr>
            <w:tcW w:w="1111" w:type="dxa"/>
            <w:tcBorders>
              <w:top w:val="single" w:sz="6" w:space="0" w:color="000000"/>
              <w:left w:val="single" w:sz="6" w:space="0" w:color="000000"/>
              <w:bottom w:val="single" w:sz="6" w:space="0" w:color="000000"/>
              <w:right w:val="single" w:sz="6" w:space="0" w:color="000000"/>
            </w:tcBorders>
          </w:tcPr>
          <w:p w14:paraId="46D17BF0" w14:textId="77777777" w:rsidR="00BA5F13" w:rsidRPr="00BA5F13" w:rsidRDefault="00BA5F13" w:rsidP="00BA5F13">
            <w:pPr>
              <w:tabs>
                <w:tab w:val="right" w:pos="1080"/>
              </w:tabs>
              <w:spacing w:after="0" w:line="259" w:lineRule="auto"/>
              <w:ind w:left="0" w:right="0" w:firstLine="0"/>
              <w:jc w:val="left"/>
            </w:pPr>
            <w:r w:rsidRPr="00BA5F13">
              <w:t xml:space="preserve">15.4 </w:t>
            </w:r>
          </w:p>
        </w:tc>
        <w:tc>
          <w:tcPr>
            <w:tcW w:w="1096" w:type="dxa"/>
            <w:tcBorders>
              <w:top w:val="single" w:sz="6" w:space="0" w:color="000000"/>
              <w:left w:val="single" w:sz="6" w:space="0" w:color="000000"/>
              <w:bottom w:val="single" w:sz="6" w:space="0" w:color="000000"/>
              <w:right w:val="single" w:sz="6" w:space="0" w:color="000000"/>
            </w:tcBorders>
          </w:tcPr>
          <w:p w14:paraId="6D8C8C9D" w14:textId="77777777" w:rsidR="00BA5F13" w:rsidRPr="00BA5F13" w:rsidRDefault="00BA5F13" w:rsidP="00BA5F13">
            <w:pPr>
              <w:tabs>
                <w:tab w:val="right" w:pos="1065"/>
              </w:tabs>
              <w:spacing w:after="0" w:line="259" w:lineRule="auto"/>
              <w:ind w:left="0" w:right="0" w:firstLine="0"/>
              <w:jc w:val="left"/>
            </w:pPr>
            <w:r w:rsidRPr="00BA5F13">
              <w:t xml:space="preserve">15.4 </w:t>
            </w:r>
          </w:p>
        </w:tc>
        <w:tc>
          <w:tcPr>
            <w:tcW w:w="1097" w:type="dxa"/>
            <w:tcBorders>
              <w:top w:val="single" w:sz="6" w:space="0" w:color="000000"/>
              <w:left w:val="single" w:sz="6" w:space="0" w:color="000000"/>
              <w:bottom w:val="single" w:sz="6" w:space="0" w:color="000000"/>
              <w:right w:val="single" w:sz="6" w:space="0" w:color="000000"/>
            </w:tcBorders>
          </w:tcPr>
          <w:p w14:paraId="43FB487D" w14:textId="77777777" w:rsidR="00BA5F13" w:rsidRPr="00BA5F13" w:rsidRDefault="00BA5F13" w:rsidP="00BA5F13">
            <w:pPr>
              <w:tabs>
                <w:tab w:val="right" w:pos="1065"/>
              </w:tabs>
              <w:spacing w:after="0" w:line="259" w:lineRule="auto"/>
              <w:ind w:left="0" w:right="0" w:firstLine="0"/>
              <w:jc w:val="left"/>
            </w:pPr>
            <w:r w:rsidRPr="00BA5F13">
              <w:t xml:space="preserve">7.9 </w:t>
            </w:r>
          </w:p>
        </w:tc>
        <w:tc>
          <w:tcPr>
            <w:tcW w:w="1111" w:type="dxa"/>
            <w:tcBorders>
              <w:top w:val="single" w:sz="6" w:space="0" w:color="000000"/>
              <w:left w:val="single" w:sz="6" w:space="0" w:color="000000"/>
              <w:bottom w:val="single" w:sz="6" w:space="0" w:color="000000"/>
              <w:right w:val="single" w:sz="6" w:space="0" w:color="000000"/>
            </w:tcBorders>
          </w:tcPr>
          <w:p w14:paraId="1A18BB27" w14:textId="77777777" w:rsidR="00BA5F13" w:rsidRPr="00BA5F13" w:rsidRDefault="00BA5F13" w:rsidP="00BA5F13">
            <w:pPr>
              <w:tabs>
                <w:tab w:val="right" w:pos="1080"/>
              </w:tabs>
              <w:spacing w:after="0" w:line="259" w:lineRule="auto"/>
              <w:ind w:left="0" w:right="0" w:firstLine="0"/>
              <w:jc w:val="left"/>
            </w:pPr>
            <w:r w:rsidRPr="00BA5F13">
              <w:t xml:space="preserve">10.8 </w:t>
            </w:r>
          </w:p>
        </w:tc>
      </w:tr>
      <w:tr w:rsidR="00BA5F13" w:rsidRPr="00BA5F13" w14:paraId="74EB7B1D"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7A05CF2F" w14:textId="77777777" w:rsidR="00BA5F13" w:rsidRPr="00BA5F13" w:rsidRDefault="00BA5F13" w:rsidP="00BA5F13">
            <w:pPr>
              <w:spacing w:after="0" w:line="259" w:lineRule="auto"/>
              <w:ind w:left="0" w:right="0" w:firstLine="0"/>
              <w:jc w:val="left"/>
            </w:pPr>
            <w:r w:rsidRPr="00BA5F13">
              <w:t xml:space="preserve">ICT </w:t>
            </w:r>
          </w:p>
        </w:tc>
        <w:tc>
          <w:tcPr>
            <w:tcW w:w="1096" w:type="dxa"/>
            <w:tcBorders>
              <w:top w:val="single" w:sz="6" w:space="0" w:color="000000"/>
              <w:left w:val="single" w:sz="6" w:space="0" w:color="000000"/>
              <w:bottom w:val="single" w:sz="6" w:space="0" w:color="000000"/>
              <w:right w:val="single" w:sz="6" w:space="0" w:color="000000"/>
            </w:tcBorders>
          </w:tcPr>
          <w:p w14:paraId="4BEA282C" w14:textId="77777777" w:rsidR="00BA5F13" w:rsidRPr="00BA5F13" w:rsidRDefault="00BA5F13" w:rsidP="00BA5F13">
            <w:pPr>
              <w:spacing w:after="0" w:line="259" w:lineRule="auto"/>
              <w:ind w:left="0" w:right="69" w:firstLine="0"/>
              <w:jc w:val="right"/>
            </w:pPr>
            <w:r w:rsidRPr="00BA5F13">
              <w:t xml:space="preserve">2.2 </w:t>
            </w:r>
          </w:p>
        </w:tc>
        <w:tc>
          <w:tcPr>
            <w:tcW w:w="1111" w:type="dxa"/>
            <w:tcBorders>
              <w:top w:val="single" w:sz="6" w:space="0" w:color="000000"/>
              <w:left w:val="single" w:sz="6" w:space="0" w:color="000000"/>
              <w:bottom w:val="single" w:sz="6" w:space="0" w:color="000000"/>
              <w:right w:val="single" w:sz="6" w:space="0" w:color="000000"/>
            </w:tcBorders>
          </w:tcPr>
          <w:p w14:paraId="7114019D" w14:textId="77777777" w:rsidR="00BA5F13" w:rsidRPr="00BA5F13" w:rsidRDefault="00BA5F13" w:rsidP="00BA5F13">
            <w:pPr>
              <w:tabs>
                <w:tab w:val="right" w:pos="1080"/>
              </w:tabs>
              <w:spacing w:after="0" w:line="259" w:lineRule="auto"/>
              <w:ind w:left="0" w:right="0" w:firstLine="0"/>
              <w:jc w:val="left"/>
            </w:pPr>
            <w:r w:rsidRPr="00BA5F13">
              <w:t xml:space="preserve">2.3 </w:t>
            </w:r>
          </w:p>
        </w:tc>
        <w:tc>
          <w:tcPr>
            <w:tcW w:w="1096" w:type="dxa"/>
            <w:tcBorders>
              <w:top w:val="single" w:sz="6" w:space="0" w:color="000000"/>
              <w:left w:val="single" w:sz="6" w:space="0" w:color="000000"/>
              <w:bottom w:val="single" w:sz="6" w:space="0" w:color="000000"/>
              <w:right w:val="single" w:sz="6" w:space="0" w:color="000000"/>
            </w:tcBorders>
          </w:tcPr>
          <w:p w14:paraId="278ED7E0" w14:textId="77777777" w:rsidR="00BA5F13" w:rsidRPr="00BA5F13" w:rsidRDefault="00BA5F13" w:rsidP="00BA5F13">
            <w:pPr>
              <w:tabs>
                <w:tab w:val="right" w:pos="1065"/>
              </w:tabs>
              <w:spacing w:after="0" w:line="259" w:lineRule="auto"/>
              <w:ind w:left="0" w:right="0" w:firstLine="0"/>
              <w:jc w:val="left"/>
            </w:pPr>
            <w:r w:rsidRPr="00BA5F13">
              <w:t xml:space="preserve">0.6 </w:t>
            </w:r>
          </w:p>
        </w:tc>
        <w:tc>
          <w:tcPr>
            <w:tcW w:w="1097" w:type="dxa"/>
            <w:tcBorders>
              <w:top w:val="single" w:sz="6" w:space="0" w:color="000000"/>
              <w:left w:val="single" w:sz="6" w:space="0" w:color="000000"/>
              <w:bottom w:val="single" w:sz="6" w:space="0" w:color="000000"/>
              <w:right w:val="single" w:sz="6" w:space="0" w:color="000000"/>
            </w:tcBorders>
          </w:tcPr>
          <w:p w14:paraId="2DFC7F52" w14:textId="77777777" w:rsidR="00BA5F13" w:rsidRPr="00BA5F13" w:rsidRDefault="00BA5F13" w:rsidP="00BA5F13">
            <w:pPr>
              <w:tabs>
                <w:tab w:val="right" w:pos="1065"/>
              </w:tabs>
              <w:spacing w:after="0" w:line="259" w:lineRule="auto"/>
              <w:ind w:left="0" w:right="0" w:firstLine="0"/>
              <w:jc w:val="left"/>
            </w:pPr>
            <w:r w:rsidRPr="00BA5F13">
              <w:t xml:space="preserve">0.2 </w:t>
            </w:r>
          </w:p>
        </w:tc>
        <w:tc>
          <w:tcPr>
            <w:tcW w:w="1111" w:type="dxa"/>
            <w:tcBorders>
              <w:top w:val="single" w:sz="6" w:space="0" w:color="000000"/>
              <w:left w:val="single" w:sz="6" w:space="0" w:color="000000"/>
              <w:bottom w:val="single" w:sz="6" w:space="0" w:color="000000"/>
              <w:right w:val="single" w:sz="6" w:space="0" w:color="000000"/>
            </w:tcBorders>
          </w:tcPr>
          <w:p w14:paraId="4AAD498D" w14:textId="77777777" w:rsidR="00BA5F13" w:rsidRPr="00BA5F13" w:rsidRDefault="00BA5F13" w:rsidP="00BA5F13">
            <w:pPr>
              <w:tabs>
                <w:tab w:val="right" w:pos="1080"/>
              </w:tabs>
              <w:spacing w:after="0" w:line="259" w:lineRule="auto"/>
              <w:ind w:left="0" w:right="0" w:firstLine="0"/>
              <w:jc w:val="left"/>
            </w:pPr>
            <w:r w:rsidRPr="00BA5F13">
              <w:t xml:space="preserve">0.5 </w:t>
            </w:r>
          </w:p>
        </w:tc>
      </w:tr>
      <w:tr w:rsidR="00BA5F13" w:rsidRPr="00BA5F13" w14:paraId="6254AA46"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08DF0006" w14:textId="77777777" w:rsidR="00BA5F13" w:rsidRPr="00BA5F13" w:rsidRDefault="00BA5F13" w:rsidP="00BA5F13">
            <w:pPr>
              <w:spacing w:after="0" w:line="259" w:lineRule="auto"/>
              <w:ind w:left="0" w:right="0" w:firstLine="0"/>
              <w:jc w:val="right"/>
            </w:pPr>
          </w:p>
        </w:tc>
        <w:tc>
          <w:tcPr>
            <w:tcW w:w="1096" w:type="dxa"/>
            <w:tcBorders>
              <w:top w:val="single" w:sz="6" w:space="0" w:color="000000"/>
              <w:left w:val="single" w:sz="6" w:space="0" w:color="000000"/>
              <w:bottom w:val="single" w:sz="6" w:space="0" w:color="000000"/>
              <w:right w:val="single" w:sz="6" w:space="0" w:color="000000"/>
            </w:tcBorders>
          </w:tcPr>
          <w:p w14:paraId="6E109CA6" w14:textId="77777777" w:rsidR="00BA5F13" w:rsidRPr="00BA5F13" w:rsidRDefault="00BA5F13" w:rsidP="00BA5F13">
            <w:pPr>
              <w:spacing w:after="0" w:line="259" w:lineRule="auto"/>
              <w:ind w:left="0" w:right="69" w:firstLine="0"/>
              <w:jc w:val="right"/>
            </w:pPr>
            <w:r w:rsidRPr="00BA5F13">
              <w:rPr>
                <w:b/>
              </w:rPr>
              <w:t xml:space="preserve">10.2 </w:t>
            </w:r>
          </w:p>
        </w:tc>
        <w:tc>
          <w:tcPr>
            <w:tcW w:w="1111" w:type="dxa"/>
            <w:tcBorders>
              <w:top w:val="single" w:sz="6" w:space="0" w:color="000000"/>
              <w:left w:val="single" w:sz="6" w:space="0" w:color="000000"/>
              <w:bottom w:val="single" w:sz="6" w:space="0" w:color="000000"/>
              <w:right w:val="single" w:sz="6" w:space="0" w:color="000000"/>
            </w:tcBorders>
          </w:tcPr>
          <w:p w14:paraId="0E568E89" w14:textId="77777777" w:rsidR="00BA5F13" w:rsidRPr="00BA5F13" w:rsidRDefault="00BA5F13" w:rsidP="00BA5F13">
            <w:pPr>
              <w:tabs>
                <w:tab w:val="right" w:pos="1080"/>
              </w:tabs>
              <w:spacing w:after="0" w:line="259" w:lineRule="auto"/>
              <w:ind w:left="0" w:right="0" w:firstLine="0"/>
              <w:jc w:val="left"/>
            </w:pPr>
            <w:r w:rsidRPr="00BA5F13">
              <w:rPr>
                <w:b/>
              </w:rPr>
              <w:t xml:space="preserve">20.3 </w:t>
            </w:r>
          </w:p>
        </w:tc>
        <w:tc>
          <w:tcPr>
            <w:tcW w:w="1096" w:type="dxa"/>
            <w:tcBorders>
              <w:top w:val="single" w:sz="6" w:space="0" w:color="000000"/>
              <w:left w:val="single" w:sz="6" w:space="0" w:color="000000"/>
              <w:bottom w:val="single" w:sz="6" w:space="0" w:color="000000"/>
              <w:right w:val="single" w:sz="6" w:space="0" w:color="000000"/>
            </w:tcBorders>
          </w:tcPr>
          <w:p w14:paraId="29A6C58F" w14:textId="77777777" w:rsidR="00BA5F13" w:rsidRPr="00BA5F13" w:rsidRDefault="00BA5F13" w:rsidP="00BA5F13">
            <w:pPr>
              <w:tabs>
                <w:tab w:val="right" w:pos="1065"/>
              </w:tabs>
              <w:spacing w:after="0" w:line="259" w:lineRule="auto"/>
              <w:ind w:left="0" w:right="0" w:firstLine="0"/>
              <w:jc w:val="left"/>
            </w:pPr>
            <w:r w:rsidRPr="00BA5F13">
              <w:rPr>
                <w:b/>
              </w:rPr>
              <w:t xml:space="preserve">18.5 </w:t>
            </w:r>
          </w:p>
        </w:tc>
        <w:tc>
          <w:tcPr>
            <w:tcW w:w="1097" w:type="dxa"/>
            <w:tcBorders>
              <w:top w:val="single" w:sz="6" w:space="0" w:color="000000"/>
              <w:left w:val="single" w:sz="6" w:space="0" w:color="000000"/>
              <w:bottom w:val="single" w:sz="6" w:space="0" w:color="000000"/>
              <w:right w:val="single" w:sz="6" w:space="0" w:color="000000"/>
            </w:tcBorders>
          </w:tcPr>
          <w:p w14:paraId="7DF5C3BB" w14:textId="77777777" w:rsidR="00BA5F13" w:rsidRPr="00BA5F13" w:rsidRDefault="00BA5F13" w:rsidP="00BA5F13">
            <w:pPr>
              <w:tabs>
                <w:tab w:val="right" w:pos="1065"/>
              </w:tabs>
              <w:spacing w:after="0" w:line="259" w:lineRule="auto"/>
              <w:ind w:left="0" w:right="0" w:firstLine="0"/>
              <w:jc w:val="left"/>
            </w:pPr>
            <w:r w:rsidRPr="00BA5F13">
              <w:rPr>
                <w:b/>
              </w:rPr>
              <w:t xml:space="preserve">10.0 </w:t>
            </w:r>
          </w:p>
        </w:tc>
        <w:tc>
          <w:tcPr>
            <w:tcW w:w="1111" w:type="dxa"/>
            <w:tcBorders>
              <w:top w:val="single" w:sz="6" w:space="0" w:color="000000"/>
              <w:left w:val="single" w:sz="6" w:space="0" w:color="000000"/>
              <w:bottom w:val="single" w:sz="6" w:space="0" w:color="000000"/>
              <w:right w:val="single" w:sz="6" w:space="0" w:color="000000"/>
            </w:tcBorders>
          </w:tcPr>
          <w:p w14:paraId="5862D365" w14:textId="77777777" w:rsidR="00BA5F13" w:rsidRPr="00BA5F13" w:rsidRDefault="00BA5F13" w:rsidP="00BA5F13">
            <w:pPr>
              <w:tabs>
                <w:tab w:val="right" w:pos="1080"/>
              </w:tabs>
              <w:spacing w:after="0" w:line="259" w:lineRule="auto"/>
              <w:ind w:left="0" w:right="0" w:firstLine="0"/>
              <w:jc w:val="left"/>
            </w:pPr>
            <w:r w:rsidRPr="00BA5F13">
              <w:rPr>
                <w:b/>
              </w:rPr>
              <w:t xml:space="preserve">13.9 </w:t>
            </w:r>
          </w:p>
        </w:tc>
      </w:tr>
      <w:tr w:rsidR="00BA5F13" w:rsidRPr="00BA5F13" w14:paraId="7F73FB0B" w14:textId="77777777" w:rsidTr="002D54A3">
        <w:trPr>
          <w:trHeight w:val="286"/>
        </w:trPr>
        <w:tc>
          <w:tcPr>
            <w:tcW w:w="3005" w:type="dxa"/>
            <w:tcBorders>
              <w:top w:val="single" w:sz="6" w:space="0" w:color="000000"/>
              <w:left w:val="single" w:sz="6" w:space="0" w:color="000000"/>
              <w:bottom w:val="single" w:sz="6" w:space="0" w:color="000000"/>
              <w:right w:val="single" w:sz="6" w:space="0" w:color="000000"/>
            </w:tcBorders>
          </w:tcPr>
          <w:p w14:paraId="65151E70" w14:textId="77777777" w:rsidR="00BA5F13" w:rsidRPr="00BA5F13" w:rsidRDefault="00BA5F13" w:rsidP="00BA5F13">
            <w:pPr>
              <w:spacing w:after="0" w:line="259" w:lineRule="auto"/>
              <w:ind w:left="0" w:right="0" w:firstLine="0"/>
              <w:jc w:val="left"/>
            </w:pPr>
            <w:r w:rsidRPr="00BA5F13">
              <w:rPr>
                <w:b/>
              </w:rPr>
              <w:t xml:space="preserve">Funding </w:t>
            </w:r>
          </w:p>
        </w:tc>
        <w:tc>
          <w:tcPr>
            <w:tcW w:w="1096" w:type="dxa"/>
            <w:tcBorders>
              <w:top w:val="single" w:sz="6" w:space="0" w:color="000000"/>
              <w:left w:val="single" w:sz="6" w:space="0" w:color="000000"/>
              <w:bottom w:val="single" w:sz="6" w:space="0" w:color="000000"/>
              <w:right w:val="single" w:sz="6" w:space="0" w:color="000000"/>
            </w:tcBorders>
          </w:tcPr>
          <w:p w14:paraId="763D94D0" w14:textId="77777777" w:rsidR="00BA5F13" w:rsidRPr="00BA5F13" w:rsidRDefault="00BA5F13" w:rsidP="00BA5F13">
            <w:pPr>
              <w:spacing w:after="0" w:line="259" w:lineRule="auto"/>
              <w:ind w:left="0" w:right="0" w:firstLine="0"/>
              <w:jc w:val="left"/>
            </w:pPr>
          </w:p>
        </w:tc>
        <w:tc>
          <w:tcPr>
            <w:tcW w:w="1111" w:type="dxa"/>
            <w:tcBorders>
              <w:top w:val="single" w:sz="6" w:space="0" w:color="000000"/>
              <w:left w:val="single" w:sz="6" w:space="0" w:color="000000"/>
              <w:bottom w:val="single" w:sz="6" w:space="0" w:color="000000"/>
              <w:right w:val="single" w:sz="6" w:space="0" w:color="000000"/>
            </w:tcBorders>
          </w:tcPr>
          <w:p w14:paraId="3382DF82" w14:textId="77777777" w:rsidR="00BA5F13" w:rsidRPr="00BA5F13" w:rsidRDefault="00BA5F13" w:rsidP="00BA5F13">
            <w:pPr>
              <w:spacing w:after="0" w:line="259" w:lineRule="auto"/>
              <w:ind w:left="0" w:right="0" w:firstLine="0"/>
              <w:jc w:val="left"/>
            </w:pPr>
          </w:p>
        </w:tc>
        <w:tc>
          <w:tcPr>
            <w:tcW w:w="1096" w:type="dxa"/>
            <w:tcBorders>
              <w:top w:val="single" w:sz="6" w:space="0" w:color="000000"/>
              <w:left w:val="single" w:sz="6" w:space="0" w:color="000000"/>
              <w:bottom w:val="single" w:sz="6" w:space="0" w:color="000000"/>
              <w:right w:val="single" w:sz="6" w:space="0" w:color="000000"/>
            </w:tcBorders>
          </w:tcPr>
          <w:p w14:paraId="3EC54017" w14:textId="77777777" w:rsidR="00BA5F13" w:rsidRPr="00BA5F13" w:rsidRDefault="00BA5F13" w:rsidP="00BA5F13">
            <w:pPr>
              <w:spacing w:after="0" w:line="259" w:lineRule="auto"/>
              <w:ind w:left="0" w:right="0" w:firstLine="0"/>
              <w:jc w:val="left"/>
            </w:pPr>
          </w:p>
        </w:tc>
        <w:tc>
          <w:tcPr>
            <w:tcW w:w="1097" w:type="dxa"/>
            <w:tcBorders>
              <w:top w:val="single" w:sz="6" w:space="0" w:color="000000"/>
              <w:left w:val="single" w:sz="6" w:space="0" w:color="000000"/>
              <w:bottom w:val="single" w:sz="6" w:space="0" w:color="000000"/>
              <w:right w:val="single" w:sz="6" w:space="0" w:color="000000"/>
            </w:tcBorders>
          </w:tcPr>
          <w:p w14:paraId="30387F3C" w14:textId="77777777" w:rsidR="00BA5F13" w:rsidRPr="00BA5F13" w:rsidRDefault="00BA5F13" w:rsidP="00BA5F13">
            <w:pPr>
              <w:spacing w:after="0" w:line="259" w:lineRule="auto"/>
              <w:ind w:left="0" w:right="0" w:firstLine="0"/>
              <w:jc w:val="left"/>
            </w:pPr>
          </w:p>
        </w:tc>
        <w:tc>
          <w:tcPr>
            <w:tcW w:w="1111" w:type="dxa"/>
            <w:tcBorders>
              <w:top w:val="single" w:sz="6" w:space="0" w:color="000000"/>
              <w:left w:val="single" w:sz="6" w:space="0" w:color="000000"/>
              <w:bottom w:val="single" w:sz="6" w:space="0" w:color="000000"/>
              <w:right w:val="single" w:sz="6" w:space="0" w:color="000000"/>
            </w:tcBorders>
          </w:tcPr>
          <w:p w14:paraId="0275E237" w14:textId="77777777" w:rsidR="00BA5F13" w:rsidRPr="00BA5F13" w:rsidRDefault="00BA5F13" w:rsidP="00BA5F13">
            <w:pPr>
              <w:spacing w:after="0" w:line="259" w:lineRule="auto"/>
              <w:ind w:left="0" w:right="0" w:firstLine="0"/>
              <w:jc w:val="left"/>
            </w:pPr>
          </w:p>
        </w:tc>
      </w:tr>
      <w:tr w:rsidR="00BA5F13" w:rsidRPr="00BA5F13" w14:paraId="31B7871F"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1F72D581" w14:textId="77777777" w:rsidR="00BA5F13" w:rsidRPr="00BA5F13" w:rsidRDefault="00BA5F13" w:rsidP="00BA5F13">
            <w:pPr>
              <w:spacing w:after="0" w:line="259" w:lineRule="auto"/>
              <w:ind w:left="0" w:right="0" w:firstLine="0"/>
              <w:jc w:val="left"/>
            </w:pPr>
            <w:r w:rsidRPr="00BA5F13">
              <w:t xml:space="preserve">Revenue Contributions </w:t>
            </w:r>
          </w:p>
        </w:tc>
        <w:tc>
          <w:tcPr>
            <w:tcW w:w="1096" w:type="dxa"/>
            <w:tcBorders>
              <w:top w:val="single" w:sz="6" w:space="0" w:color="000000"/>
              <w:left w:val="single" w:sz="6" w:space="0" w:color="000000"/>
              <w:bottom w:val="single" w:sz="6" w:space="0" w:color="000000"/>
              <w:right w:val="single" w:sz="6" w:space="0" w:color="000000"/>
            </w:tcBorders>
          </w:tcPr>
          <w:p w14:paraId="13756DB0" w14:textId="77777777" w:rsidR="00BA5F13" w:rsidRPr="00BA5F13" w:rsidRDefault="00BA5F13" w:rsidP="00BA5F13">
            <w:pPr>
              <w:spacing w:after="0" w:line="259" w:lineRule="auto"/>
              <w:ind w:left="0" w:right="69" w:firstLine="0"/>
              <w:jc w:val="right"/>
            </w:pPr>
            <w:r w:rsidRPr="00BA5F13">
              <w:t xml:space="preserve">2.5 </w:t>
            </w:r>
          </w:p>
        </w:tc>
        <w:tc>
          <w:tcPr>
            <w:tcW w:w="1111" w:type="dxa"/>
            <w:tcBorders>
              <w:top w:val="single" w:sz="6" w:space="0" w:color="000000"/>
              <w:left w:val="single" w:sz="6" w:space="0" w:color="000000"/>
              <w:bottom w:val="single" w:sz="6" w:space="0" w:color="000000"/>
              <w:right w:val="single" w:sz="6" w:space="0" w:color="000000"/>
            </w:tcBorders>
          </w:tcPr>
          <w:p w14:paraId="1AFDB8C7" w14:textId="77777777" w:rsidR="00BA5F13" w:rsidRPr="00BA5F13" w:rsidRDefault="00BA5F13" w:rsidP="00BA5F13">
            <w:pPr>
              <w:tabs>
                <w:tab w:val="right" w:pos="1080"/>
              </w:tabs>
              <w:spacing w:after="0" w:line="259" w:lineRule="auto"/>
              <w:ind w:left="0" w:right="0" w:firstLine="0"/>
              <w:jc w:val="left"/>
            </w:pPr>
            <w:r w:rsidRPr="00BA5F13">
              <w:t xml:space="preserve">2.0 </w:t>
            </w:r>
          </w:p>
        </w:tc>
        <w:tc>
          <w:tcPr>
            <w:tcW w:w="1096" w:type="dxa"/>
            <w:tcBorders>
              <w:top w:val="single" w:sz="6" w:space="0" w:color="000000"/>
              <w:left w:val="single" w:sz="6" w:space="0" w:color="000000"/>
              <w:bottom w:val="single" w:sz="6" w:space="0" w:color="000000"/>
              <w:right w:val="single" w:sz="6" w:space="0" w:color="000000"/>
            </w:tcBorders>
          </w:tcPr>
          <w:p w14:paraId="12A67AD8" w14:textId="77777777" w:rsidR="00BA5F13" w:rsidRPr="00BA5F13" w:rsidRDefault="00BA5F13" w:rsidP="00BA5F13">
            <w:pPr>
              <w:tabs>
                <w:tab w:val="right" w:pos="1065"/>
              </w:tabs>
              <w:spacing w:after="0" w:line="259" w:lineRule="auto"/>
              <w:ind w:left="0" w:right="0" w:firstLine="0"/>
              <w:jc w:val="left"/>
            </w:pPr>
            <w:r w:rsidRPr="00BA5F13">
              <w:t xml:space="preserve">3.0 </w:t>
            </w:r>
          </w:p>
        </w:tc>
        <w:tc>
          <w:tcPr>
            <w:tcW w:w="1097" w:type="dxa"/>
            <w:tcBorders>
              <w:top w:val="single" w:sz="6" w:space="0" w:color="000000"/>
              <w:left w:val="single" w:sz="6" w:space="0" w:color="000000"/>
              <w:bottom w:val="single" w:sz="6" w:space="0" w:color="000000"/>
              <w:right w:val="single" w:sz="6" w:space="0" w:color="000000"/>
            </w:tcBorders>
          </w:tcPr>
          <w:p w14:paraId="17C36E10" w14:textId="77777777" w:rsidR="00BA5F13" w:rsidRPr="00BA5F13" w:rsidRDefault="00BA5F13" w:rsidP="00BA5F13">
            <w:pPr>
              <w:tabs>
                <w:tab w:val="right" w:pos="1065"/>
              </w:tabs>
              <w:spacing w:after="0" w:line="259" w:lineRule="auto"/>
              <w:ind w:left="0" w:right="0" w:firstLine="0"/>
              <w:jc w:val="left"/>
            </w:pPr>
            <w:r w:rsidRPr="00BA5F13">
              <w:t xml:space="preserve">3.5 </w:t>
            </w:r>
          </w:p>
        </w:tc>
        <w:tc>
          <w:tcPr>
            <w:tcW w:w="1111" w:type="dxa"/>
            <w:tcBorders>
              <w:top w:val="single" w:sz="6" w:space="0" w:color="000000"/>
              <w:left w:val="single" w:sz="6" w:space="0" w:color="000000"/>
              <w:bottom w:val="single" w:sz="6" w:space="0" w:color="000000"/>
              <w:right w:val="single" w:sz="6" w:space="0" w:color="000000"/>
            </w:tcBorders>
          </w:tcPr>
          <w:p w14:paraId="3F621B21" w14:textId="77777777" w:rsidR="00BA5F13" w:rsidRPr="00BA5F13" w:rsidRDefault="00BA5F13" w:rsidP="00BA5F13">
            <w:pPr>
              <w:tabs>
                <w:tab w:val="right" w:pos="1080"/>
              </w:tabs>
              <w:spacing w:after="0" w:line="259" w:lineRule="auto"/>
              <w:ind w:left="0" w:right="0" w:firstLine="0"/>
              <w:jc w:val="left"/>
            </w:pPr>
            <w:r w:rsidRPr="00BA5F13">
              <w:t xml:space="preserve">4.0 </w:t>
            </w:r>
          </w:p>
        </w:tc>
      </w:tr>
      <w:tr w:rsidR="00BA5F13" w:rsidRPr="00BA5F13" w14:paraId="57AF85E4" w14:textId="77777777" w:rsidTr="002D54A3">
        <w:trPr>
          <w:trHeight w:val="286"/>
        </w:trPr>
        <w:tc>
          <w:tcPr>
            <w:tcW w:w="3005" w:type="dxa"/>
            <w:tcBorders>
              <w:top w:val="single" w:sz="6" w:space="0" w:color="000000"/>
              <w:left w:val="single" w:sz="6" w:space="0" w:color="000000"/>
              <w:bottom w:val="single" w:sz="6" w:space="0" w:color="000000"/>
              <w:right w:val="single" w:sz="6" w:space="0" w:color="000000"/>
            </w:tcBorders>
          </w:tcPr>
          <w:p w14:paraId="68C78AB3" w14:textId="77777777" w:rsidR="00BA5F13" w:rsidRPr="00BA5F13" w:rsidRDefault="00BA5F13" w:rsidP="00BA5F13">
            <w:pPr>
              <w:spacing w:after="0" w:line="259" w:lineRule="auto"/>
              <w:ind w:left="0" w:right="0" w:firstLine="0"/>
              <w:jc w:val="left"/>
            </w:pPr>
            <w:r w:rsidRPr="00BA5F13">
              <w:t xml:space="preserve">Capital Reserve </w:t>
            </w:r>
          </w:p>
        </w:tc>
        <w:tc>
          <w:tcPr>
            <w:tcW w:w="1096" w:type="dxa"/>
            <w:tcBorders>
              <w:top w:val="single" w:sz="6" w:space="0" w:color="000000"/>
              <w:left w:val="single" w:sz="6" w:space="0" w:color="000000"/>
              <w:bottom w:val="single" w:sz="6" w:space="0" w:color="000000"/>
              <w:right w:val="single" w:sz="6" w:space="0" w:color="000000"/>
            </w:tcBorders>
          </w:tcPr>
          <w:p w14:paraId="4A20D815" w14:textId="77777777" w:rsidR="00BA5F13" w:rsidRPr="00BA5F13" w:rsidRDefault="00BA5F13" w:rsidP="00BA5F13">
            <w:pPr>
              <w:spacing w:after="0" w:line="259" w:lineRule="auto"/>
              <w:ind w:left="0" w:right="69" w:firstLine="0"/>
              <w:jc w:val="right"/>
            </w:pPr>
            <w:r w:rsidRPr="00BA5F13">
              <w:t xml:space="preserve">7.7 </w:t>
            </w:r>
          </w:p>
        </w:tc>
        <w:tc>
          <w:tcPr>
            <w:tcW w:w="1111" w:type="dxa"/>
            <w:tcBorders>
              <w:top w:val="single" w:sz="6" w:space="0" w:color="000000"/>
              <w:left w:val="single" w:sz="6" w:space="0" w:color="000000"/>
              <w:bottom w:val="single" w:sz="6" w:space="0" w:color="000000"/>
              <w:right w:val="single" w:sz="6" w:space="0" w:color="000000"/>
            </w:tcBorders>
          </w:tcPr>
          <w:p w14:paraId="690E7C69" w14:textId="77777777" w:rsidR="00BA5F13" w:rsidRPr="00BA5F13" w:rsidRDefault="00BA5F13" w:rsidP="00BA5F13">
            <w:pPr>
              <w:tabs>
                <w:tab w:val="right" w:pos="1080"/>
              </w:tabs>
              <w:spacing w:after="0" w:line="259" w:lineRule="auto"/>
              <w:ind w:left="0" w:right="0" w:firstLine="0"/>
              <w:jc w:val="left"/>
            </w:pPr>
            <w:r w:rsidRPr="00BA5F13">
              <w:t xml:space="preserve">11.1 </w:t>
            </w:r>
          </w:p>
        </w:tc>
        <w:tc>
          <w:tcPr>
            <w:tcW w:w="1096" w:type="dxa"/>
            <w:tcBorders>
              <w:top w:val="single" w:sz="6" w:space="0" w:color="000000"/>
              <w:left w:val="single" w:sz="6" w:space="0" w:color="000000"/>
              <w:bottom w:val="single" w:sz="6" w:space="0" w:color="000000"/>
              <w:right w:val="single" w:sz="6" w:space="0" w:color="000000"/>
            </w:tcBorders>
          </w:tcPr>
          <w:p w14:paraId="6BC7BFBA" w14:textId="77777777" w:rsidR="00BA5F13" w:rsidRPr="00BA5F13" w:rsidRDefault="00BA5F13" w:rsidP="00BA5F13">
            <w:pPr>
              <w:tabs>
                <w:tab w:val="right" w:pos="1065"/>
              </w:tabs>
              <w:spacing w:after="0" w:line="259" w:lineRule="auto"/>
              <w:ind w:left="0" w:right="0" w:firstLine="0"/>
              <w:jc w:val="left"/>
            </w:pPr>
            <w:r w:rsidRPr="00BA5F13">
              <w:t xml:space="preserve">0.0 </w:t>
            </w:r>
          </w:p>
        </w:tc>
        <w:tc>
          <w:tcPr>
            <w:tcW w:w="1097" w:type="dxa"/>
            <w:tcBorders>
              <w:top w:val="single" w:sz="6" w:space="0" w:color="000000"/>
              <w:left w:val="single" w:sz="6" w:space="0" w:color="000000"/>
              <w:bottom w:val="single" w:sz="6" w:space="0" w:color="000000"/>
              <w:right w:val="single" w:sz="6" w:space="0" w:color="000000"/>
            </w:tcBorders>
          </w:tcPr>
          <w:p w14:paraId="69133EE0" w14:textId="77777777" w:rsidR="00BA5F13" w:rsidRPr="00BA5F13" w:rsidRDefault="00BA5F13" w:rsidP="00BA5F13">
            <w:pPr>
              <w:tabs>
                <w:tab w:val="right" w:pos="1065"/>
              </w:tabs>
              <w:spacing w:after="0" w:line="259" w:lineRule="auto"/>
              <w:ind w:left="0" w:right="0" w:firstLine="0"/>
              <w:jc w:val="left"/>
            </w:pPr>
            <w:r w:rsidRPr="00BA5F13">
              <w:t xml:space="preserve">0.0 </w:t>
            </w:r>
          </w:p>
        </w:tc>
        <w:tc>
          <w:tcPr>
            <w:tcW w:w="1111" w:type="dxa"/>
            <w:tcBorders>
              <w:top w:val="single" w:sz="6" w:space="0" w:color="000000"/>
              <w:left w:val="single" w:sz="6" w:space="0" w:color="000000"/>
              <w:bottom w:val="single" w:sz="6" w:space="0" w:color="000000"/>
              <w:right w:val="single" w:sz="6" w:space="0" w:color="000000"/>
            </w:tcBorders>
          </w:tcPr>
          <w:p w14:paraId="225FFE67" w14:textId="77777777" w:rsidR="00BA5F13" w:rsidRPr="00BA5F13" w:rsidRDefault="00BA5F13" w:rsidP="00BA5F13">
            <w:pPr>
              <w:tabs>
                <w:tab w:val="right" w:pos="1080"/>
              </w:tabs>
              <w:spacing w:after="0" w:line="259" w:lineRule="auto"/>
              <w:ind w:left="0" w:right="0" w:firstLine="0"/>
              <w:jc w:val="left"/>
            </w:pPr>
            <w:r w:rsidRPr="00BA5F13">
              <w:t xml:space="preserve">0.0 </w:t>
            </w:r>
          </w:p>
        </w:tc>
      </w:tr>
      <w:tr w:rsidR="00BA5F13" w:rsidRPr="00BA5F13" w14:paraId="44E4DC6F"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03B058D1" w14:textId="77777777" w:rsidR="00BA5F13" w:rsidRPr="00BA5F13" w:rsidRDefault="00BA5F13" w:rsidP="00BA5F13">
            <w:pPr>
              <w:spacing w:after="0" w:line="259" w:lineRule="auto"/>
              <w:ind w:left="0" w:right="0" w:firstLine="0"/>
              <w:jc w:val="left"/>
            </w:pPr>
            <w:r w:rsidRPr="00BA5F13">
              <w:lastRenderedPageBreak/>
              <w:t xml:space="preserve">Capital Receipts </w:t>
            </w:r>
          </w:p>
        </w:tc>
        <w:tc>
          <w:tcPr>
            <w:tcW w:w="1096" w:type="dxa"/>
            <w:tcBorders>
              <w:top w:val="single" w:sz="6" w:space="0" w:color="000000"/>
              <w:left w:val="single" w:sz="6" w:space="0" w:color="000000"/>
              <w:bottom w:val="single" w:sz="6" w:space="0" w:color="000000"/>
              <w:right w:val="single" w:sz="6" w:space="0" w:color="000000"/>
            </w:tcBorders>
          </w:tcPr>
          <w:p w14:paraId="1F4C0D5D" w14:textId="77777777" w:rsidR="00BA5F13" w:rsidRPr="00BA5F13" w:rsidRDefault="00BA5F13" w:rsidP="00BA5F13">
            <w:pPr>
              <w:spacing w:after="0" w:line="259" w:lineRule="auto"/>
              <w:ind w:left="0" w:right="69" w:firstLine="0"/>
              <w:jc w:val="right"/>
            </w:pPr>
            <w:r w:rsidRPr="00BA5F13">
              <w:t xml:space="preserve">0.0 </w:t>
            </w:r>
          </w:p>
        </w:tc>
        <w:tc>
          <w:tcPr>
            <w:tcW w:w="1111" w:type="dxa"/>
            <w:tcBorders>
              <w:top w:val="single" w:sz="6" w:space="0" w:color="000000"/>
              <w:left w:val="single" w:sz="6" w:space="0" w:color="000000"/>
              <w:bottom w:val="single" w:sz="6" w:space="0" w:color="000000"/>
              <w:right w:val="single" w:sz="6" w:space="0" w:color="000000"/>
            </w:tcBorders>
          </w:tcPr>
          <w:p w14:paraId="43A96E8B" w14:textId="77777777" w:rsidR="00BA5F13" w:rsidRPr="00BA5F13" w:rsidRDefault="00BA5F13" w:rsidP="00BA5F13">
            <w:pPr>
              <w:tabs>
                <w:tab w:val="right" w:pos="1080"/>
              </w:tabs>
              <w:spacing w:after="0" w:line="259" w:lineRule="auto"/>
              <w:ind w:left="0" w:right="0" w:firstLine="0"/>
              <w:jc w:val="left"/>
            </w:pPr>
            <w:r w:rsidRPr="00BA5F13">
              <w:t xml:space="preserve">0.0 </w:t>
            </w:r>
          </w:p>
        </w:tc>
        <w:tc>
          <w:tcPr>
            <w:tcW w:w="1096" w:type="dxa"/>
            <w:tcBorders>
              <w:top w:val="single" w:sz="6" w:space="0" w:color="000000"/>
              <w:left w:val="single" w:sz="6" w:space="0" w:color="000000"/>
              <w:bottom w:val="single" w:sz="6" w:space="0" w:color="000000"/>
              <w:right w:val="single" w:sz="6" w:space="0" w:color="000000"/>
            </w:tcBorders>
          </w:tcPr>
          <w:p w14:paraId="5602A875" w14:textId="77777777" w:rsidR="00BA5F13" w:rsidRPr="00BA5F13" w:rsidRDefault="00BA5F13" w:rsidP="00BA5F13">
            <w:pPr>
              <w:tabs>
                <w:tab w:val="right" w:pos="1065"/>
              </w:tabs>
              <w:spacing w:after="0" w:line="259" w:lineRule="auto"/>
              <w:ind w:left="0" w:right="0" w:firstLine="0"/>
              <w:jc w:val="left"/>
            </w:pPr>
            <w:r w:rsidRPr="00BA5F13">
              <w:t xml:space="preserve">0.0 </w:t>
            </w:r>
          </w:p>
        </w:tc>
        <w:tc>
          <w:tcPr>
            <w:tcW w:w="1097" w:type="dxa"/>
            <w:tcBorders>
              <w:top w:val="single" w:sz="6" w:space="0" w:color="000000"/>
              <w:left w:val="single" w:sz="6" w:space="0" w:color="000000"/>
              <w:bottom w:val="single" w:sz="6" w:space="0" w:color="000000"/>
              <w:right w:val="single" w:sz="6" w:space="0" w:color="000000"/>
            </w:tcBorders>
          </w:tcPr>
          <w:p w14:paraId="3F0561CD" w14:textId="77777777" w:rsidR="00BA5F13" w:rsidRPr="00BA5F13" w:rsidRDefault="00BA5F13" w:rsidP="00BA5F13">
            <w:pPr>
              <w:tabs>
                <w:tab w:val="right" w:pos="1065"/>
              </w:tabs>
              <w:spacing w:after="0" w:line="259" w:lineRule="auto"/>
              <w:ind w:left="0" w:right="0" w:firstLine="0"/>
              <w:jc w:val="left"/>
            </w:pPr>
            <w:r w:rsidRPr="00BA5F13">
              <w:t xml:space="preserve">5.0 </w:t>
            </w:r>
          </w:p>
        </w:tc>
        <w:tc>
          <w:tcPr>
            <w:tcW w:w="1111" w:type="dxa"/>
            <w:tcBorders>
              <w:top w:val="single" w:sz="6" w:space="0" w:color="000000"/>
              <w:left w:val="single" w:sz="6" w:space="0" w:color="000000"/>
              <w:bottom w:val="single" w:sz="6" w:space="0" w:color="000000"/>
              <w:right w:val="single" w:sz="6" w:space="0" w:color="000000"/>
            </w:tcBorders>
          </w:tcPr>
          <w:p w14:paraId="4C85D262" w14:textId="77777777" w:rsidR="00BA5F13" w:rsidRPr="00BA5F13" w:rsidRDefault="00BA5F13" w:rsidP="00BA5F13">
            <w:pPr>
              <w:tabs>
                <w:tab w:val="right" w:pos="1080"/>
              </w:tabs>
              <w:spacing w:after="0" w:line="259" w:lineRule="auto"/>
              <w:ind w:left="0" w:right="0" w:firstLine="0"/>
              <w:jc w:val="left"/>
            </w:pPr>
            <w:r w:rsidRPr="00BA5F13">
              <w:t xml:space="preserve">0.0 </w:t>
            </w:r>
          </w:p>
        </w:tc>
      </w:tr>
      <w:tr w:rsidR="00BA5F13" w:rsidRPr="00BA5F13" w14:paraId="1ECE7373"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1AE95835" w14:textId="77777777" w:rsidR="00BA5F13" w:rsidRPr="00BA5F13" w:rsidRDefault="00BA5F13" w:rsidP="00BA5F13">
            <w:pPr>
              <w:spacing w:after="0" w:line="259" w:lineRule="auto"/>
              <w:ind w:left="0" w:right="0" w:firstLine="0"/>
              <w:jc w:val="left"/>
            </w:pPr>
            <w:r w:rsidRPr="00BA5F13">
              <w:t xml:space="preserve">Grants </w:t>
            </w:r>
          </w:p>
        </w:tc>
        <w:tc>
          <w:tcPr>
            <w:tcW w:w="1096" w:type="dxa"/>
            <w:tcBorders>
              <w:top w:val="single" w:sz="6" w:space="0" w:color="000000"/>
              <w:left w:val="single" w:sz="6" w:space="0" w:color="000000"/>
              <w:bottom w:val="single" w:sz="6" w:space="0" w:color="000000"/>
              <w:right w:val="single" w:sz="6" w:space="0" w:color="000000"/>
            </w:tcBorders>
          </w:tcPr>
          <w:p w14:paraId="04E9A07B" w14:textId="77777777" w:rsidR="00BA5F13" w:rsidRPr="00BA5F13" w:rsidRDefault="00BA5F13" w:rsidP="00BA5F13">
            <w:pPr>
              <w:spacing w:after="0" w:line="259" w:lineRule="auto"/>
              <w:ind w:left="0" w:right="69" w:firstLine="0"/>
              <w:jc w:val="right"/>
            </w:pPr>
            <w:r w:rsidRPr="00BA5F13">
              <w:t xml:space="preserve">0.0 </w:t>
            </w:r>
          </w:p>
        </w:tc>
        <w:tc>
          <w:tcPr>
            <w:tcW w:w="1111" w:type="dxa"/>
            <w:tcBorders>
              <w:top w:val="single" w:sz="6" w:space="0" w:color="000000"/>
              <w:left w:val="single" w:sz="6" w:space="0" w:color="000000"/>
              <w:bottom w:val="single" w:sz="6" w:space="0" w:color="000000"/>
              <w:right w:val="single" w:sz="6" w:space="0" w:color="000000"/>
            </w:tcBorders>
          </w:tcPr>
          <w:p w14:paraId="11BE3D24" w14:textId="77777777" w:rsidR="00BA5F13" w:rsidRPr="00BA5F13" w:rsidRDefault="00BA5F13" w:rsidP="00BA5F13">
            <w:pPr>
              <w:tabs>
                <w:tab w:val="right" w:pos="1080"/>
              </w:tabs>
              <w:spacing w:after="0" w:line="259" w:lineRule="auto"/>
              <w:ind w:left="0" w:right="0" w:firstLine="0"/>
              <w:jc w:val="left"/>
            </w:pPr>
            <w:r w:rsidRPr="00BA5F13">
              <w:t xml:space="preserve">1.0 </w:t>
            </w:r>
          </w:p>
        </w:tc>
        <w:tc>
          <w:tcPr>
            <w:tcW w:w="1096" w:type="dxa"/>
            <w:tcBorders>
              <w:top w:val="single" w:sz="6" w:space="0" w:color="000000"/>
              <w:left w:val="single" w:sz="6" w:space="0" w:color="000000"/>
              <w:bottom w:val="single" w:sz="6" w:space="0" w:color="000000"/>
              <w:right w:val="single" w:sz="6" w:space="0" w:color="000000"/>
            </w:tcBorders>
          </w:tcPr>
          <w:p w14:paraId="4A3C593B" w14:textId="77777777" w:rsidR="00BA5F13" w:rsidRPr="00BA5F13" w:rsidRDefault="00BA5F13" w:rsidP="00BA5F13">
            <w:pPr>
              <w:tabs>
                <w:tab w:val="right" w:pos="1065"/>
              </w:tabs>
              <w:spacing w:after="0" w:line="259" w:lineRule="auto"/>
              <w:ind w:left="0" w:right="0" w:firstLine="0"/>
              <w:jc w:val="left"/>
            </w:pPr>
            <w:r w:rsidRPr="00BA5F13">
              <w:t xml:space="preserve">0.0 </w:t>
            </w:r>
          </w:p>
        </w:tc>
        <w:tc>
          <w:tcPr>
            <w:tcW w:w="1097" w:type="dxa"/>
            <w:tcBorders>
              <w:top w:val="single" w:sz="6" w:space="0" w:color="000000"/>
              <w:left w:val="single" w:sz="6" w:space="0" w:color="000000"/>
              <w:bottom w:val="single" w:sz="6" w:space="0" w:color="000000"/>
              <w:right w:val="single" w:sz="6" w:space="0" w:color="000000"/>
            </w:tcBorders>
          </w:tcPr>
          <w:p w14:paraId="08380D65" w14:textId="77777777" w:rsidR="00BA5F13" w:rsidRPr="00BA5F13" w:rsidRDefault="00BA5F13" w:rsidP="00BA5F13">
            <w:pPr>
              <w:tabs>
                <w:tab w:val="right" w:pos="1065"/>
              </w:tabs>
              <w:spacing w:after="0" w:line="259" w:lineRule="auto"/>
              <w:ind w:left="0" w:right="0" w:firstLine="0"/>
              <w:jc w:val="left"/>
            </w:pPr>
            <w:r w:rsidRPr="00BA5F13">
              <w:t xml:space="preserve">0.0 </w:t>
            </w:r>
          </w:p>
        </w:tc>
        <w:tc>
          <w:tcPr>
            <w:tcW w:w="1111" w:type="dxa"/>
            <w:tcBorders>
              <w:top w:val="single" w:sz="6" w:space="0" w:color="000000"/>
              <w:left w:val="single" w:sz="6" w:space="0" w:color="000000"/>
              <w:bottom w:val="single" w:sz="6" w:space="0" w:color="000000"/>
              <w:right w:val="single" w:sz="6" w:space="0" w:color="000000"/>
            </w:tcBorders>
          </w:tcPr>
          <w:p w14:paraId="696690D0" w14:textId="77777777" w:rsidR="00BA5F13" w:rsidRPr="00BA5F13" w:rsidRDefault="00BA5F13" w:rsidP="00BA5F13">
            <w:pPr>
              <w:tabs>
                <w:tab w:val="right" w:pos="1080"/>
              </w:tabs>
              <w:spacing w:after="0" w:line="259" w:lineRule="auto"/>
              <w:ind w:left="0" w:right="0" w:firstLine="0"/>
              <w:jc w:val="left"/>
            </w:pPr>
            <w:r w:rsidRPr="00BA5F13">
              <w:t xml:space="preserve">0.0 </w:t>
            </w:r>
          </w:p>
        </w:tc>
      </w:tr>
      <w:tr w:rsidR="00BA5F13" w:rsidRPr="00BA5F13" w14:paraId="608784C1" w14:textId="77777777" w:rsidTr="002D54A3">
        <w:trPr>
          <w:trHeight w:val="285"/>
        </w:trPr>
        <w:tc>
          <w:tcPr>
            <w:tcW w:w="3005" w:type="dxa"/>
            <w:tcBorders>
              <w:top w:val="single" w:sz="6" w:space="0" w:color="000000"/>
              <w:left w:val="single" w:sz="6" w:space="0" w:color="000000"/>
              <w:bottom w:val="single" w:sz="6" w:space="0" w:color="000000"/>
              <w:right w:val="single" w:sz="6" w:space="0" w:color="000000"/>
            </w:tcBorders>
          </w:tcPr>
          <w:p w14:paraId="712FCE3A" w14:textId="77777777" w:rsidR="00BA5F13" w:rsidRPr="00BA5F13" w:rsidRDefault="00BA5F13" w:rsidP="00BA5F13">
            <w:pPr>
              <w:spacing w:after="0" w:line="259" w:lineRule="auto"/>
              <w:ind w:left="0" w:right="0" w:firstLine="0"/>
              <w:jc w:val="left"/>
            </w:pPr>
            <w:r w:rsidRPr="00BA5F13">
              <w:t xml:space="preserve">Borrowing </w:t>
            </w:r>
          </w:p>
        </w:tc>
        <w:tc>
          <w:tcPr>
            <w:tcW w:w="1096" w:type="dxa"/>
            <w:tcBorders>
              <w:top w:val="single" w:sz="6" w:space="0" w:color="000000"/>
              <w:left w:val="single" w:sz="6" w:space="0" w:color="000000"/>
              <w:bottom w:val="single" w:sz="6" w:space="0" w:color="000000"/>
              <w:right w:val="single" w:sz="6" w:space="0" w:color="000000"/>
            </w:tcBorders>
          </w:tcPr>
          <w:p w14:paraId="520783E6" w14:textId="77777777" w:rsidR="00BA5F13" w:rsidRPr="00BA5F13" w:rsidRDefault="00BA5F13" w:rsidP="00BA5F13">
            <w:pPr>
              <w:spacing w:after="0" w:line="259" w:lineRule="auto"/>
              <w:ind w:left="0" w:right="69" w:firstLine="0"/>
              <w:jc w:val="right"/>
            </w:pPr>
            <w:r w:rsidRPr="00BA5F13">
              <w:t xml:space="preserve">0.0 </w:t>
            </w:r>
          </w:p>
        </w:tc>
        <w:tc>
          <w:tcPr>
            <w:tcW w:w="1111" w:type="dxa"/>
            <w:tcBorders>
              <w:top w:val="single" w:sz="6" w:space="0" w:color="000000"/>
              <w:left w:val="single" w:sz="6" w:space="0" w:color="000000"/>
              <w:bottom w:val="single" w:sz="6" w:space="0" w:color="000000"/>
              <w:right w:val="single" w:sz="6" w:space="0" w:color="000000"/>
            </w:tcBorders>
          </w:tcPr>
          <w:p w14:paraId="055C0013" w14:textId="77777777" w:rsidR="00BA5F13" w:rsidRPr="00BA5F13" w:rsidRDefault="00BA5F13" w:rsidP="00BA5F13">
            <w:pPr>
              <w:tabs>
                <w:tab w:val="right" w:pos="1080"/>
              </w:tabs>
              <w:spacing w:after="0" w:line="259" w:lineRule="auto"/>
              <w:ind w:left="0" w:right="0" w:firstLine="0"/>
              <w:jc w:val="left"/>
            </w:pPr>
            <w:r w:rsidRPr="00BA5F13">
              <w:t xml:space="preserve">6.2 </w:t>
            </w:r>
          </w:p>
        </w:tc>
        <w:tc>
          <w:tcPr>
            <w:tcW w:w="1096" w:type="dxa"/>
            <w:tcBorders>
              <w:top w:val="single" w:sz="6" w:space="0" w:color="000000"/>
              <w:left w:val="single" w:sz="6" w:space="0" w:color="000000"/>
              <w:bottom w:val="single" w:sz="6" w:space="0" w:color="000000"/>
              <w:right w:val="single" w:sz="6" w:space="0" w:color="000000"/>
            </w:tcBorders>
          </w:tcPr>
          <w:p w14:paraId="357B937F" w14:textId="77777777" w:rsidR="00BA5F13" w:rsidRPr="00BA5F13" w:rsidRDefault="00BA5F13" w:rsidP="00BA5F13">
            <w:pPr>
              <w:tabs>
                <w:tab w:val="right" w:pos="1065"/>
              </w:tabs>
              <w:spacing w:after="0" w:line="259" w:lineRule="auto"/>
              <w:ind w:left="0" w:right="0" w:firstLine="0"/>
              <w:jc w:val="left"/>
            </w:pPr>
            <w:r w:rsidRPr="00BA5F13">
              <w:t xml:space="preserve">15.5 </w:t>
            </w:r>
          </w:p>
        </w:tc>
        <w:tc>
          <w:tcPr>
            <w:tcW w:w="1097" w:type="dxa"/>
            <w:tcBorders>
              <w:top w:val="single" w:sz="6" w:space="0" w:color="000000"/>
              <w:left w:val="single" w:sz="6" w:space="0" w:color="000000"/>
              <w:bottom w:val="single" w:sz="6" w:space="0" w:color="000000"/>
              <w:right w:val="single" w:sz="6" w:space="0" w:color="000000"/>
            </w:tcBorders>
          </w:tcPr>
          <w:p w14:paraId="60D64A9F" w14:textId="77777777" w:rsidR="00BA5F13" w:rsidRPr="00BA5F13" w:rsidRDefault="00BA5F13" w:rsidP="00BA5F13">
            <w:pPr>
              <w:tabs>
                <w:tab w:val="right" w:pos="1065"/>
              </w:tabs>
              <w:spacing w:after="0" w:line="259" w:lineRule="auto"/>
              <w:ind w:left="0" w:right="0" w:firstLine="0"/>
              <w:jc w:val="left"/>
            </w:pPr>
            <w:r w:rsidRPr="00BA5F13">
              <w:t xml:space="preserve">1.5 </w:t>
            </w:r>
          </w:p>
        </w:tc>
        <w:tc>
          <w:tcPr>
            <w:tcW w:w="1111" w:type="dxa"/>
            <w:tcBorders>
              <w:top w:val="single" w:sz="6" w:space="0" w:color="000000"/>
              <w:left w:val="single" w:sz="6" w:space="0" w:color="000000"/>
              <w:bottom w:val="single" w:sz="6" w:space="0" w:color="000000"/>
              <w:right w:val="single" w:sz="6" w:space="0" w:color="000000"/>
            </w:tcBorders>
          </w:tcPr>
          <w:p w14:paraId="17F9ADA6" w14:textId="77777777" w:rsidR="00BA5F13" w:rsidRPr="00BA5F13" w:rsidRDefault="00BA5F13" w:rsidP="00BA5F13">
            <w:pPr>
              <w:tabs>
                <w:tab w:val="right" w:pos="1080"/>
              </w:tabs>
              <w:spacing w:after="0" w:line="259" w:lineRule="auto"/>
              <w:ind w:left="0" w:right="0" w:firstLine="0"/>
              <w:jc w:val="left"/>
            </w:pPr>
            <w:r w:rsidRPr="00BA5F13">
              <w:t xml:space="preserve">9.9 </w:t>
            </w:r>
          </w:p>
        </w:tc>
      </w:tr>
      <w:tr w:rsidR="00BA5F13" w:rsidRPr="00BA5F13" w14:paraId="4F3BB8F2" w14:textId="77777777" w:rsidTr="002D54A3">
        <w:trPr>
          <w:trHeight w:val="286"/>
        </w:trPr>
        <w:tc>
          <w:tcPr>
            <w:tcW w:w="3005" w:type="dxa"/>
            <w:tcBorders>
              <w:top w:val="single" w:sz="6" w:space="0" w:color="000000"/>
              <w:left w:val="single" w:sz="6" w:space="0" w:color="000000"/>
              <w:bottom w:val="single" w:sz="6" w:space="0" w:color="000000"/>
              <w:right w:val="single" w:sz="6" w:space="0" w:color="000000"/>
            </w:tcBorders>
          </w:tcPr>
          <w:p w14:paraId="49FCDCF2" w14:textId="77777777" w:rsidR="00BA5F13" w:rsidRPr="00BA5F13" w:rsidRDefault="00BA5F13" w:rsidP="00BA5F13">
            <w:pPr>
              <w:spacing w:after="0" w:line="259" w:lineRule="auto"/>
              <w:ind w:left="0" w:right="0" w:firstLine="0"/>
              <w:jc w:val="left"/>
            </w:pPr>
            <w:r w:rsidRPr="00BA5F13">
              <w:rPr>
                <w:b/>
              </w:rPr>
              <w:t xml:space="preserve">Total </w:t>
            </w:r>
          </w:p>
        </w:tc>
        <w:tc>
          <w:tcPr>
            <w:tcW w:w="1096" w:type="dxa"/>
            <w:tcBorders>
              <w:top w:val="single" w:sz="6" w:space="0" w:color="000000"/>
              <w:left w:val="single" w:sz="6" w:space="0" w:color="000000"/>
              <w:bottom w:val="single" w:sz="6" w:space="0" w:color="000000"/>
              <w:right w:val="single" w:sz="6" w:space="0" w:color="000000"/>
            </w:tcBorders>
          </w:tcPr>
          <w:p w14:paraId="04B4FAEC" w14:textId="77777777" w:rsidR="00BA5F13" w:rsidRPr="00BA5F13" w:rsidRDefault="00BA5F13" w:rsidP="00BA5F13">
            <w:pPr>
              <w:spacing w:after="0" w:line="259" w:lineRule="auto"/>
              <w:ind w:left="0" w:right="69" w:firstLine="0"/>
              <w:jc w:val="right"/>
            </w:pPr>
            <w:r w:rsidRPr="00BA5F13">
              <w:rPr>
                <w:b/>
              </w:rPr>
              <w:t xml:space="preserve">10.2 </w:t>
            </w:r>
          </w:p>
        </w:tc>
        <w:tc>
          <w:tcPr>
            <w:tcW w:w="1111" w:type="dxa"/>
            <w:tcBorders>
              <w:top w:val="single" w:sz="6" w:space="0" w:color="000000"/>
              <w:left w:val="single" w:sz="6" w:space="0" w:color="000000"/>
              <w:bottom w:val="single" w:sz="6" w:space="0" w:color="000000"/>
              <w:right w:val="single" w:sz="6" w:space="0" w:color="000000"/>
            </w:tcBorders>
          </w:tcPr>
          <w:p w14:paraId="2E0ADC65" w14:textId="77777777" w:rsidR="00BA5F13" w:rsidRPr="00BA5F13" w:rsidRDefault="00BA5F13" w:rsidP="00BA5F13">
            <w:pPr>
              <w:tabs>
                <w:tab w:val="right" w:pos="1080"/>
              </w:tabs>
              <w:spacing w:after="0" w:line="259" w:lineRule="auto"/>
              <w:ind w:left="0" w:right="0" w:firstLine="0"/>
              <w:jc w:val="left"/>
            </w:pPr>
            <w:r w:rsidRPr="00BA5F13">
              <w:rPr>
                <w:b/>
              </w:rPr>
              <w:t xml:space="preserve">20.3 </w:t>
            </w:r>
          </w:p>
        </w:tc>
        <w:tc>
          <w:tcPr>
            <w:tcW w:w="1096" w:type="dxa"/>
            <w:tcBorders>
              <w:top w:val="single" w:sz="6" w:space="0" w:color="000000"/>
              <w:left w:val="single" w:sz="6" w:space="0" w:color="000000"/>
              <w:bottom w:val="single" w:sz="6" w:space="0" w:color="000000"/>
              <w:right w:val="single" w:sz="6" w:space="0" w:color="000000"/>
            </w:tcBorders>
          </w:tcPr>
          <w:p w14:paraId="71B5CC0E" w14:textId="77777777" w:rsidR="00BA5F13" w:rsidRPr="00BA5F13" w:rsidRDefault="00BA5F13" w:rsidP="00BA5F13">
            <w:pPr>
              <w:tabs>
                <w:tab w:val="right" w:pos="1065"/>
              </w:tabs>
              <w:spacing w:after="0" w:line="259" w:lineRule="auto"/>
              <w:ind w:left="0" w:right="0" w:firstLine="0"/>
              <w:jc w:val="left"/>
            </w:pPr>
            <w:r w:rsidRPr="00BA5F13">
              <w:rPr>
                <w:b/>
              </w:rPr>
              <w:t xml:space="preserve">18.5 </w:t>
            </w:r>
          </w:p>
        </w:tc>
        <w:tc>
          <w:tcPr>
            <w:tcW w:w="1097" w:type="dxa"/>
            <w:tcBorders>
              <w:top w:val="single" w:sz="6" w:space="0" w:color="000000"/>
              <w:left w:val="single" w:sz="6" w:space="0" w:color="000000"/>
              <w:bottom w:val="single" w:sz="6" w:space="0" w:color="000000"/>
              <w:right w:val="single" w:sz="6" w:space="0" w:color="000000"/>
            </w:tcBorders>
          </w:tcPr>
          <w:p w14:paraId="66622C38" w14:textId="77777777" w:rsidR="00BA5F13" w:rsidRPr="00BA5F13" w:rsidRDefault="00BA5F13" w:rsidP="00BA5F13">
            <w:pPr>
              <w:tabs>
                <w:tab w:val="right" w:pos="1065"/>
              </w:tabs>
              <w:spacing w:after="0" w:line="259" w:lineRule="auto"/>
              <w:ind w:left="0" w:right="0" w:firstLine="0"/>
              <w:jc w:val="left"/>
            </w:pPr>
            <w:r w:rsidRPr="00BA5F13">
              <w:rPr>
                <w:b/>
              </w:rPr>
              <w:t xml:space="preserve">10.0 </w:t>
            </w:r>
          </w:p>
        </w:tc>
        <w:tc>
          <w:tcPr>
            <w:tcW w:w="1111" w:type="dxa"/>
            <w:tcBorders>
              <w:top w:val="single" w:sz="6" w:space="0" w:color="000000"/>
              <w:left w:val="single" w:sz="6" w:space="0" w:color="000000"/>
              <w:bottom w:val="single" w:sz="6" w:space="0" w:color="000000"/>
              <w:right w:val="single" w:sz="6" w:space="0" w:color="000000"/>
            </w:tcBorders>
          </w:tcPr>
          <w:p w14:paraId="5F47595A" w14:textId="77777777" w:rsidR="00BA5F13" w:rsidRPr="00BA5F13" w:rsidRDefault="00BA5F13" w:rsidP="00BA5F13">
            <w:pPr>
              <w:tabs>
                <w:tab w:val="right" w:pos="1080"/>
              </w:tabs>
              <w:spacing w:after="0" w:line="259" w:lineRule="auto"/>
              <w:ind w:left="0" w:right="0" w:firstLine="0"/>
              <w:jc w:val="left"/>
            </w:pPr>
            <w:r w:rsidRPr="00BA5F13">
              <w:rPr>
                <w:b/>
              </w:rPr>
              <w:t xml:space="preserve">13.9 </w:t>
            </w:r>
          </w:p>
        </w:tc>
      </w:tr>
    </w:tbl>
    <w:p w14:paraId="4133014B" w14:textId="77777777" w:rsidR="00BA5F13" w:rsidRPr="00BA5F13" w:rsidRDefault="00BA5F13" w:rsidP="00BA5F13">
      <w:pPr>
        <w:spacing w:after="227" w:line="259" w:lineRule="auto"/>
        <w:ind w:left="0" w:right="0" w:firstLine="0"/>
        <w:jc w:val="left"/>
      </w:pPr>
    </w:p>
    <w:p w14:paraId="1CA1B193" w14:textId="5A2AD803" w:rsidR="00BA5F13" w:rsidRDefault="00BA5F13" w:rsidP="002D54A3">
      <w:pPr>
        <w:spacing w:after="11"/>
        <w:ind w:left="0" w:right="110" w:firstLine="0"/>
      </w:pPr>
      <w:r w:rsidRPr="00BA5F13">
        <w:t xml:space="preserve">The 2023/24 five-year capital programme approved by the Authority in February 2023 included three major </w:t>
      </w:r>
      <w:proofErr w:type="gramStart"/>
      <w:r w:rsidRPr="00BA5F13">
        <w:t>projects;</w:t>
      </w:r>
      <w:proofErr w:type="gramEnd"/>
      <w:r w:rsidRPr="00BA5F13">
        <w:t xml:space="preserve"> Headquarters relocation (£15m), Training Centre Props (£5m) and Preston replacement station (£10m). Together with the Member Capital Working Group, officers have been reviewing the scope of the projects, costings to reflect changes in prices and timings for these three major capital projects. The key changes considered by the working group is reflected in the updated 2024/25 capital programme proposed, these include: </w:t>
      </w:r>
    </w:p>
    <w:p w14:paraId="7DADAD07" w14:textId="77777777" w:rsidR="00BA5F13" w:rsidRPr="00BA5F13" w:rsidRDefault="00BA5F13" w:rsidP="002D54A3">
      <w:pPr>
        <w:spacing w:after="11"/>
        <w:ind w:left="0" w:right="110" w:firstLine="0"/>
      </w:pPr>
    </w:p>
    <w:p w14:paraId="02260F9A" w14:textId="77777777" w:rsidR="00BA5F13" w:rsidRPr="00BA5F13" w:rsidRDefault="00BA5F13" w:rsidP="00BA5F13">
      <w:pPr>
        <w:spacing w:after="119"/>
        <w:ind w:left="0" w:right="110" w:firstLine="0"/>
      </w:pPr>
      <w:r w:rsidRPr="00BA5F13">
        <w:t xml:space="preserve">Headquarters relocation – The business case for the relocation of Headquarters recommended the value for money option of building a new Headquarters at the Training Centre. Alongside this the working group also considered the future of Lancaster House at the Training Centre given the age and maintenance liabilities. The updated project is for a combined Headquarters and Training Facility at the Training Centre, replacing the current Headquarters at Fullwood and office / teaching space in Lancaster House. This will provide modern office and training facilities that meet current environmental and design requirements. It will also ensure that our people have the best facilities to support health and wellbeing by providing a safe and positive work environment. The costings were updated during the year to reflect the latest inflation forecast and an estimate of £18m is included in the programme between 2024/25 and 2026/27.  </w:t>
      </w:r>
    </w:p>
    <w:p w14:paraId="09312718" w14:textId="77777777" w:rsidR="00BA5F13" w:rsidRPr="00BA5F13" w:rsidRDefault="00BA5F13" w:rsidP="00BA5F13">
      <w:pPr>
        <w:spacing w:after="119"/>
        <w:ind w:left="0" w:right="196" w:firstLine="0"/>
      </w:pPr>
      <w:r w:rsidRPr="00BA5F13">
        <w:t xml:space="preserve">The relocation of Headquarters necessitates the need to invest in a new station to replace Fulwood either on the existing site or at an alternative location. This forms part of the Preston review considered below but is included in the programme at an estimate of £7m in 2027/28 that is part funded by a capital receipt from the sale of land at the Fulwood site. </w:t>
      </w:r>
    </w:p>
    <w:p w14:paraId="3DB57446" w14:textId="77777777" w:rsidR="00BA5F13" w:rsidRPr="00BA5F13" w:rsidRDefault="00BA5F13" w:rsidP="00BA5F13">
      <w:pPr>
        <w:spacing w:after="129" w:line="242" w:lineRule="auto"/>
        <w:ind w:left="0" w:right="110" w:firstLine="0"/>
      </w:pPr>
      <w:r w:rsidRPr="00BA5F13">
        <w:t xml:space="preserve">Training Centre Props – A modern and progressive service requires high quality facilities to help in the initial training and ongoing maintenance of competency requirements across a broad spectrum of operational activities. The existing facilities were reviewed alongside more modern facilities in the region. The review identified that greater investment is required to meet our requirements and an estimate of £10m is included in the programme between 2024/25 and 2026/27. </w:t>
      </w:r>
    </w:p>
    <w:p w14:paraId="753A86DF" w14:textId="77777777" w:rsidR="00BA5F13" w:rsidRPr="00BA5F13" w:rsidRDefault="00BA5F13" w:rsidP="00BA5F13">
      <w:pPr>
        <w:spacing w:after="119"/>
        <w:ind w:left="0" w:right="110" w:firstLine="0"/>
      </w:pPr>
      <w:r w:rsidRPr="00BA5F13">
        <w:lastRenderedPageBreak/>
        <w:t xml:space="preserve">Preston replacement station – A review of emergency cover in Preston has commenced. The aim of the review is to create a new, modern station either in the same place or another location that serves both our staff and the local community well. To date, 25 sites have been considered and further work is ongoing, however many of these sites have been discounted due to unavailability. The budget remains at £10m and is programmed for the final year of the five-year programme however, work is required in the short term on the current station, particularly on the welfare facilities and training area, and this has been included in the capital programme. The budget for the replacement remains at £10m and is programmed for 2028/29. </w:t>
      </w:r>
    </w:p>
    <w:p w14:paraId="615507AE" w14:textId="77777777" w:rsidR="00BA5F13" w:rsidRPr="00BA5F13" w:rsidRDefault="00BA5F13" w:rsidP="00BA5F13">
      <w:pPr>
        <w:spacing w:after="241"/>
        <w:ind w:left="0" w:right="110" w:firstLine="0"/>
      </w:pPr>
      <w:r w:rsidRPr="00BA5F13">
        <w:t xml:space="preserve">Whilst we have sequenced the projects as detailed, the Authority should remain flexible, and the years that the projects are delivered may change due to opportunities of land and other matters, details of which will be discussed with the Working Group and approvals sought as required. </w:t>
      </w:r>
    </w:p>
    <w:p w14:paraId="2BF20984" w14:textId="0AD3CF1F" w:rsidR="00BA5F13" w:rsidRPr="00BA5F13" w:rsidRDefault="00BA5F13" w:rsidP="002D54A3">
      <w:pPr>
        <w:spacing w:after="211"/>
        <w:ind w:left="0" w:right="110" w:firstLine="0"/>
      </w:pPr>
      <w:r w:rsidRPr="00BA5F13">
        <w:t xml:space="preserve">To fund the Capital Programme, table four shows that in addition to utilising the Capital Reserve and revenue contributions, £31m of additional borrowing is required. The long-term revenue costs of this borrowing, based on the latest borrowing forecasts, is approximately £2.5m per annum which is included in the MTFS.  </w:t>
      </w:r>
    </w:p>
    <w:p w14:paraId="7F63CC1D" w14:textId="77777777" w:rsidR="00BA5F13" w:rsidRPr="00BA5F13" w:rsidRDefault="00BA5F13" w:rsidP="00BA5F13">
      <w:pPr>
        <w:keepNext/>
        <w:keepLines/>
        <w:spacing w:after="107" w:line="259" w:lineRule="auto"/>
        <w:ind w:left="0" w:right="0" w:firstLine="0"/>
        <w:jc w:val="left"/>
        <w:outlineLvl w:val="0"/>
        <w:rPr>
          <w:b/>
        </w:rPr>
      </w:pPr>
      <w:r w:rsidRPr="00BA5F13">
        <w:rPr>
          <w:b/>
        </w:rPr>
        <w:t xml:space="preserve">Affordability </w:t>
      </w:r>
    </w:p>
    <w:p w14:paraId="329A7976" w14:textId="77777777" w:rsidR="00BA5F13" w:rsidRPr="00BA5F13" w:rsidRDefault="00BA5F13" w:rsidP="00BA5F13">
      <w:pPr>
        <w:spacing w:after="119"/>
        <w:ind w:left="0" w:right="250" w:firstLine="0"/>
      </w:pPr>
      <w:r w:rsidRPr="00BA5F13">
        <w:t xml:space="preserve">Capital expenditure plans are a key driver of treasury management activity. The funding of such plans impacts on cash balances and borrowing </w:t>
      </w:r>
    </w:p>
    <w:p w14:paraId="6B326055" w14:textId="77777777" w:rsidR="00BA5F13" w:rsidRPr="00BA5F13" w:rsidRDefault="00BA5F13" w:rsidP="00BA5F13">
      <w:pPr>
        <w:spacing w:after="241"/>
        <w:ind w:left="0" w:right="347" w:firstLine="0"/>
      </w:pPr>
      <w:r w:rsidRPr="00BA5F13">
        <w:t xml:space="preserve">requirements in the short and longer terms. The on-going consequences of these decisions have a direct impact on the annual revenue budget. As such, having regard to the CIPFA Prudential Code for Capital Finance in Local Authorities, the Authority sets and reviews </w:t>
      </w:r>
      <w:proofErr w:type="gramStart"/>
      <w:r w:rsidRPr="00BA5F13">
        <w:t>a number of</w:t>
      </w:r>
      <w:proofErr w:type="gramEnd"/>
      <w:r w:rsidRPr="00BA5F13">
        <w:t xml:space="preserve"> prudential indicators providing context for proposed capital expenditure plans: how they are to be funded, the impact on the organisation’s finances; and their affordability in terms of the impact on revenue budgets.  </w:t>
      </w:r>
    </w:p>
    <w:p w14:paraId="06A68D20" w14:textId="77777777" w:rsidR="00BA5F13" w:rsidRPr="00BA5F13" w:rsidRDefault="00BA5F13" w:rsidP="00BA5F13">
      <w:pPr>
        <w:spacing w:after="226"/>
        <w:ind w:left="0" w:right="250" w:firstLine="0"/>
      </w:pPr>
      <w:r w:rsidRPr="00BA5F13">
        <w:t xml:space="preserve">Full details and commentary on the prudential indicators are found within the Authority’s Treasury Management Strategy 2024/25. Along with controls and limits relating to levels of capital expenditure and resulting borrowing requirements, these prudential indicators also include a specific affordability indicator, shown below, which provides an indication of the impact of the above capital expenditure plans and their financing proposals on the overall finances. </w:t>
      </w:r>
    </w:p>
    <w:p w14:paraId="3E80BBFF" w14:textId="77777777" w:rsidR="00BA5F13" w:rsidRPr="00BA5F13" w:rsidRDefault="00BA5F13" w:rsidP="00BA5F13">
      <w:pPr>
        <w:keepNext/>
        <w:keepLines/>
        <w:spacing w:after="143" w:line="259" w:lineRule="auto"/>
        <w:ind w:left="0" w:right="0" w:firstLine="0"/>
        <w:jc w:val="left"/>
        <w:outlineLvl w:val="0"/>
        <w:rPr>
          <w:b/>
        </w:rPr>
      </w:pPr>
      <w:r w:rsidRPr="00BA5F13">
        <w:rPr>
          <w:b/>
        </w:rPr>
        <w:t xml:space="preserve">Risk Management </w:t>
      </w:r>
    </w:p>
    <w:p w14:paraId="6BB90864" w14:textId="77777777" w:rsidR="00BA5F13" w:rsidRPr="00BA5F13" w:rsidRDefault="00BA5F13" w:rsidP="00BA5F13">
      <w:pPr>
        <w:spacing w:after="226"/>
        <w:ind w:left="0" w:right="79" w:firstLine="0"/>
        <w:jc w:val="left"/>
      </w:pPr>
      <w:r w:rsidRPr="00BA5F13">
        <w:t xml:space="preserve">Risk is the threat that an event or action will adversely affect the Authority’s ability to achieve its desired outcomes and ability to execute its strategies successfully. Risk management is the process of identifying risks, evaluating their potential consequences, </w:t>
      </w:r>
      <w:r w:rsidRPr="00BA5F13">
        <w:lastRenderedPageBreak/>
        <w:t xml:space="preserve">and determining the most effective methods of managing them and/or responding to them. It is both a means of minimising the costs and disruption to the organisation caused by undesired events and of ensuring that staff understand and appreciate the elements of risk in all their activities. </w:t>
      </w:r>
    </w:p>
    <w:p w14:paraId="3483CD9A" w14:textId="77777777" w:rsidR="00BA5F13" w:rsidRPr="00BA5F13" w:rsidRDefault="00BA5F13" w:rsidP="00BA5F13">
      <w:pPr>
        <w:spacing w:after="247" w:line="242" w:lineRule="auto"/>
        <w:ind w:left="0" w:right="79" w:firstLine="0"/>
        <w:jc w:val="left"/>
      </w:pPr>
      <w:r w:rsidRPr="00BA5F13">
        <w:t xml:space="preserve">The aim is to reduce the frequency of adverse risk events occurring (where possible), minimise the severity of their consequences if they do occur, or to consider whether risk can be transferred to other parties. The corporate risk register sets out the key risks to the successful delivery of corporate aims and priorities and outlines the key controls and actions to mitigate and reduce risks or maximise opportunities.  </w:t>
      </w:r>
    </w:p>
    <w:p w14:paraId="3F736EBA" w14:textId="77777777" w:rsidR="00BA5F13" w:rsidRPr="00BA5F13" w:rsidRDefault="00BA5F13" w:rsidP="00BA5F13">
      <w:pPr>
        <w:spacing w:after="247" w:line="242" w:lineRule="auto"/>
        <w:ind w:left="0" w:right="79" w:firstLine="0"/>
        <w:jc w:val="left"/>
      </w:pPr>
      <w:r w:rsidRPr="00BA5F13">
        <w:t xml:space="preserve">To manage risk effectively, the risks associated with each capital project need to be systematically identified, analysed, influenced, and monitored. It is important to identify the appetite for risk for each scheme and for the capital programme, especially when investing in complex business change programmes. Where greater risks are identified as necessary to achieve desired outcomes, the organisation will seek to mitigate or manage those risks to a tolerable level. All key risks identified as part of the capital planning process are considered for inclusion in the corporate risk register. </w:t>
      </w:r>
    </w:p>
    <w:p w14:paraId="4A6BB0FC" w14:textId="77777777" w:rsidR="00BA5F13" w:rsidRPr="00BA5F13" w:rsidRDefault="00BA5F13" w:rsidP="00BA5F13">
      <w:pPr>
        <w:spacing w:after="247" w:line="242" w:lineRule="auto"/>
        <w:ind w:left="0" w:right="79" w:firstLine="0"/>
        <w:jc w:val="left"/>
      </w:pPr>
      <w:r w:rsidRPr="00BA5F13">
        <w:t xml:space="preserve">The Treasurer will report on the deliverability, affordability and risk associated with this Capital Strategy and the associated capital programme. Where appropriate they will have access to specialised advice to enable them to reach their conclusions. </w:t>
      </w:r>
    </w:p>
    <w:p w14:paraId="20717E1A" w14:textId="77777777" w:rsidR="00BA5F13" w:rsidRPr="00BA5F13" w:rsidRDefault="00BA5F13" w:rsidP="00BA5F13">
      <w:pPr>
        <w:spacing w:after="0" w:line="242" w:lineRule="auto"/>
        <w:ind w:left="0" w:right="173" w:firstLine="0"/>
      </w:pPr>
      <w:r w:rsidRPr="00BA5F13">
        <w:t xml:space="preserve">Credit Risk - The risk that an organisation with which we have contracted to deliver capital projects becomes insolvent and cannot complete the agreed contract. We will ensure that robust due diligence procedures </w:t>
      </w:r>
    </w:p>
    <w:p w14:paraId="3CFF7B05" w14:textId="77777777" w:rsidR="00BA5F13" w:rsidRPr="00BA5F13" w:rsidRDefault="00BA5F13" w:rsidP="00BA5F13">
      <w:pPr>
        <w:spacing w:after="119"/>
        <w:ind w:left="0" w:right="325" w:firstLine="0"/>
      </w:pPr>
      <w:r w:rsidRPr="00BA5F13">
        <w:t xml:space="preserve">cover the appointment of partners and contractors relating to capital programme delivery. Where possible contingency plans will be identified at the outset. </w:t>
      </w:r>
    </w:p>
    <w:p w14:paraId="301F44E9" w14:textId="77777777" w:rsidR="00BA5F13" w:rsidRPr="00BA5F13" w:rsidRDefault="00BA5F13" w:rsidP="00BA5F13">
      <w:pPr>
        <w:spacing w:after="119"/>
        <w:ind w:left="0" w:right="173" w:firstLine="0"/>
      </w:pPr>
      <w:r w:rsidRPr="00BA5F13">
        <w:t xml:space="preserve">Liquidity Risk - This is the risk that the timing of any cash inflows from a project will be delayed, for example if other organisations do not make their contributions when agreed. There is also a risk that the cash inflows will be less than expected, for example </w:t>
      </w:r>
      <w:proofErr w:type="gramStart"/>
      <w:r w:rsidRPr="00BA5F13">
        <w:t>due to the effects</w:t>
      </w:r>
      <w:proofErr w:type="gramEnd"/>
      <w:r w:rsidRPr="00BA5F13">
        <w:t xml:space="preserve"> of inflation, interest rates or exchange rates. Our exposure to this risk will be monitored via the revenue and capital budget monitoring processes and mitigating actions taken promptly where appropriate. </w:t>
      </w:r>
    </w:p>
    <w:p w14:paraId="3AA36D2C" w14:textId="77777777" w:rsidR="00BA5F13" w:rsidRPr="00BA5F13" w:rsidRDefault="00BA5F13" w:rsidP="00BA5F13">
      <w:pPr>
        <w:spacing w:after="119"/>
        <w:ind w:left="0" w:right="173" w:firstLine="0"/>
      </w:pPr>
      <w:r w:rsidRPr="00BA5F13">
        <w:t xml:space="preserve">Interest and Exchange Rate Risk - This is the risk that interest rates or exchange rates will move in a way that has an adverse effect on the value of capital expenditure or the expected financial returns from a project. Rates will be reviewed as part of the on-going monitoring arrangements to identify such adverse effects. As far as possible, our exposure to this risk will be mitigated via robust contract terms and when necessary, contract re-negotiations. </w:t>
      </w:r>
    </w:p>
    <w:p w14:paraId="2A9FF240" w14:textId="77777777" w:rsidR="00BA5F13" w:rsidRPr="00BA5F13" w:rsidRDefault="00BA5F13" w:rsidP="00BA5F13">
      <w:pPr>
        <w:spacing w:after="119"/>
        <w:ind w:left="0" w:right="173" w:firstLine="0"/>
      </w:pPr>
      <w:r w:rsidRPr="00BA5F13">
        <w:lastRenderedPageBreak/>
        <w:t xml:space="preserve">Inflation Risk - This is the risk that rates of inflation will move in a way that has an adverse effect on the value of capital expenditure or the expected financial returns from a project. Rates of inflation will be reviewed as part of the ongoing monitoring arrangements to identify such adverse effects. As far as possible our exposure to this risk will be mitigated via robust contract terms and when necessary, contract re-negotiations. </w:t>
      </w:r>
    </w:p>
    <w:p w14:paraId="551D3CBE" w14:textId="77777777" w:rsidR="00BA5F13" w:rsidRPr="00BA5F13" w:rsidRDefault="00BA5F13" w:rsidP="00BA5F13">
      <w:pPr>
        <w:spacing w:after="119"/>
        <w:ind w:left="0" w:right="173" w:firstLine="0"/>
      </w:pPr>
      <w:r w:rsidRPr="00BA5F13">
        <w:t xml:space="preserve">Legal and Regulatory Risk - This is the risk that changes in laws or regulation make a capital project more expensive or time consuming to complete, make it no longer cost effective or make it illegal or not advisable to complete. Before making capital investments, the Authority will understand the powers under which the investment is made. Forthcoming changes to relevant laws and regulations will be kept under review and factored into any capital bidding and programme monitoring processes. </w:t>
      </w:r>
    </w:p>
    <w:p w14:paraId="5DB02767" w14:textId="77777777" w:rsidR="00BA5F13" w:rsidRPr="00BA5F13" w:rsidRDefault="00BA5F13" w:rsidP="00BA5F13">
      <w:pPr>
        <w:spacing w:after="217" w:line="242" w:lineRule="auto"/>
        <w:ind w:left="0" w:right="173" w:firstLine="0"/>
      </w:pPr>
      <w:r w:rsidRPr="00BA5F13">
        <w:t xml:space="preserve">Fraud, Error, and Corruption - This is the risk that financial losses will occur due to errors or fraudulent or corrupt activities. Officers involved in any of the processes around capital expenditure or funding are required to follow the agreed Code of Corporate Governance. Cheshire Fire Authority has a strong ethical culture which is evidenced through its values, principles, and appropriate behaviour. This is supported by a Code of Ethics and detailed policies such as Anti-Fraud and Corruption and processes such as that in relation to declaration of interests. </w:t>
      </w:r>
    </w:p>
    <w:p w14:paraId="49E48737" w14:textId="77777777" w:rsidR="00BA5F13" w:rsidRPr="00BA5F13" w:rsidRDefault="00BA5F13" w:rsidP="00BA5F13">
      <w:pPr>
        <w:keepNext/>
        <w:keepLines/>
        <w:spacing w:after="107" w:line="259" w:lineRule="auto"/>
        <w:ind w:left="0" w:right="0" w:firstLine="0"/>
        <w:jc w:val="left"/>
        <w:outlineLvl w:val="0"/>
        <w:rPr>
          <w:b/>
        </w:rPr>
      </w:pPr>
      <w:r w:rsidRPr="00BA5F13">
        <w:rPr>
          <w:b/>
        </w:rPr>
        <w:t xml:space="preserve">Future Actions </w:t>
      </w:r>
    </w:p>
    <w:p w14:paraId="5F2418ED" w14:textId="69B0F765" w:rsidR="00BA5F13" w:rsidRPr="00BA5F13" w:rsidRDefault="00BA5F13" w:rsidP="00BA5F13">
      <w:pPr>
        <w:spacing w:after="119"/>
        <w:ind w:left="0" w:right="385" w:firstLine="0"/>
        <w:sectPr w:rsidR="00BA5F13" w:rsidRPr="00BA5F13" w:rsidSect="00110406">
          <w:pgSz w:w="16845" w:h="11910" w:orient="landscape"/>
          <w:pgMar w:top="1449" w:right="1449" w:bottom="1345" w:left="1442" w:header="720" w:footer="720" w:gutter="0"/>
          <w:cols w:space="720"/>
        </w:sectPr>
      </w:pPr>
      <w:r w:rsidRPr="00BA5F13">
        <w:t xml:space="preserve">This Capital Strategy looks ahead over the next 10 years to 2034 and will be refined considering emerging and changing issues, circumstances, and priorities.  </w:t>
      </w:r>
    </w:p>
    <w:p w14:paraId="06DD3509" w14:textId="77777777" w:rsidR="00BA5F13" w:rsidRPr="00BA5F13" w:rsidRDefault="00BA5F13" w:rsidP="00BA5F13">
      <w:pPr>
        <w:spacing w:after="0" w:line="259" w:lineRule="auto"/>
        <w:ind w:left="0" w:right="0" w:firstLine="0"/>
        <w:jc w:val="left"/>
      </w:pPr>
      <w:r w:rsidRPr="00BA5F13">
        <w:rPr>
          <w:b/>
          <w:sz w:val="29"/>
        </w:rPr>
        <w:lastRenderedPageBreak/>
        <w:t xml:space="preserve">Capital Programme – 2024/25 – 2033/34 </w:t>
      </w:r>
    </w:p>
    <w:tbl>
      <w:tblPr>
        <w:tblStyle w:val="TableGrid"/>
        <w:tblW w:w="14959" w:type="dxa"/>
        <w:tblInd w:w="-717" w:type="dxa"/>
        <w:tblCellMar>
          <w:top w:w="0" w:type="dxa"/>
          <w:left w:w="118" w:type="dxa"/>
          <w:bottom w:w="0" w:type="dxa"/>
          <w:right w:w="31" w:type="dxa"/>
        </w:tblCellMar>
        <w:tblLook w:val="04A0" w:firstRow="1" w:lastRow="0" w:firstColumn="1" w:lastColumn="0" w:noHBand="0" w:noVBand="1"/>
      </w:tblPr>
      <w:tblGrid>
        <w:gridCol w:w="1843"/>
        <w:gridCol w:w="1189"/>
        <w:gridCol w:w="1180"/>
        <w:gridCol w:w="1180"/>
        <w:gridCol w:w="1195"/>
        <w:gridCol w:w="1180"/>
        <w:gridCol w:w="1180"/>
        <w:gridCol w:w="1180"/>
        <w:gridCol w:w="1189"/>
        <w:gridCol w:w="1180"/>
        <w:gridCol w:w="1180"/>
        <w:gridCol w:w="1283"/>
      </w:tblGrid>
      <w:tr w:rsidR="00BA5F13" w:rsidRPr="00BA5F13" w14:paraId="27255121" w14:textId="77777777" w:rsidTr="004C09BE">
        <w:trPr>
          <w:trHeight w:val="282"/>
        </w:trPr>
        <w:tc>
          <w:tcPr>
            <w:tcW w:w="1843" w:type="dxa"/>
            <w:tcBorders>
              <w:top w:val="single" w:sz="6" w:space="0" w:color="000000"/>
              <w:left w:val="single" w:sz="6" w:space="0" w:color="000000"/>
              <w:bottom w:val="single" w:sz="6" w:space="0" w:color="000000"/>
              <w:right w:val="single" w:sz="6" w:space="0" w:color="000000"/>
            </w:tcBorders>
            <w:shd w:val="clear" w:color="auto" w:fill="D9D9D9"/>
          </w:tcPr>
          <w:p w14:paraId="6F485430" w14:textId="77777777" w:rsidR="00BA5F13" w:rsidRPr="00BA5F13" w:rsidRDefault="00BA5F13" w:rsidP="00BA5F13">
            <w:pPr>
              <w:spacing w:after="0" w:line="259" w:lineRule="auto"/>
              <w:ind w:left="0" w:right="73" w:firstLine="0"/>
              <w:jc w:val="center"/>
            </w:pPr>
            <w:r w:rsidRPr="00BA5F13">
              <w:rPr>
                <w:b/>
              </w:rPr>
              <w:t xml:space="preserve">£'m </w:t>
            </w:r>
          </w:p>
        </w:tc>
        <w:tc>
          <w:tcPr>
            <w:tcW w:w="1189" w:type="dxa"/>
            <w:tcBorders>
              <w:top w:val="single" w:sz="6" w:space="0" w:color="000000"/>
              <w:left w:val="single" w:sz="6" w:space="0" w:color="000000"/>
              <w:bottom w:val="single" w:sz="6" w:space="0" w:color="000000"/>
              <w:right w:val="single" w:sz="6" w:space="0" w:color="000000"/>
            </w:tcBorders>
            <w:shd w:val="clear" w:color="auto" w:fill="D9D9D9"/>
          </w:tcPr>
          <w:p w14:paraId="44D29EF0" w14:textId="77777777" w:rsidR="00BA5F13" w:rsidRPr="00BA5F13" w:rsidRDefault="00BA5F13" w:rsidP="00BA5F13">
            <w:pPr>
              <w:spacing w:after="0" w:line="259" w:lineRule="auto"/>
              <w:ind w:left="0" w:right="0" w:firstLine="0"/>
              <w:jc w:val="left"/>
            </w:pPr>
            <w:r w:rsidRPr="00BA5F13">
              <w:rPr>
                <w:b/>
              </w:rPr>
              <w:t xml:space="preserve">24/25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5F282D6F" w14:textId="77777777" w:rsidR="00BA5F13" w:rsidRPr="00BA5F13" w:rsidRDefault="00BA5F13" w:rsidP="00BA5F13">
            <w:pPr>
              <w:spacing w:after="0" w:line="259" w:lineRule="auto"/>
              <w:ind w:left="0" w:right="0" w:firstLine="0"/>
              <w:jc w:val="left"/>
            </w:pPr>
            <w:r w:rsidRPr="00BA5F13">
              <w:rPr>
                <w:b/>
              </w:rPr>
              <w:t xml:space="preserve">25/26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2363E9C5" w14:textId="77777777" w:rsidR="00BA5F13" w:rsidRPr="00BA5F13" w:rsidRDefault="00BA5F13" w:rsidP="00BA5F13">
            <w:pPr>
              <w:spacing w:after="0" w:line="259" w:lineRule="auto"/>
              <w:ind w:left="0" w:right="0" w:firstLine="0"/>
              <w:jc w:val="left"/>
            </w:pPr>
            <w:r w:rsidRPr="00BA5F13">
              <w:rPr>
                <w:b/>
              </w:rPr>
              <w:t xml:space="preserve">26/27 </w:t>
            </w:r>
          </w:p>
        </w:tc>
        <w:tc>
          <w:tcPr>
            <w:tcW w:w="1195" w:type="dxa"/>
            <w:tcBorders>
              <w:top w:val="single" w:sz="6" w:space="0" w:color="000000"/>
              <w:left w:val="single" w:sz="6" w:space="0" w:color="000000"/>
              <w:bottom w:val="single" w:sz="6" w:space="0" w:color="000000"/>
              <w:right w:val="single" w:sz="6" w:space="0" w:color="000000"/>
            </w:tcBorders>
            <w:shd w:val="clear" w:color="auto" w:fill="D9D9D9"/>
          </w:tcPr>
          <w:p w14:paraId="4B0BFA5D" w14:textId="77777777" w:rsidR="00BA5F13" w:rsidRPr="00BA5F13" w:rsidRDefault="00BA5F13" w:rsidP="00BA5F13">
            <w:pPr>
              <w:spacing w:after="0" w:line="259" w:lineRule="auto"/>
              <w:ind w:left="0" w:right="0" w:firstLine="0"/>
              <w:jc w:val="left"/>
            </w:pPr>
            <w:r w:rsidRPr="00BA5F13">
              <w:rPr>
                <w:b/>
              </w:rPr>
              <w:t xml:space="preserve">27/28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2590ACC9" w14:textId="77777777" w:rsidR="00BA5F13" w:rsidRPr="00BA5F13" w:rsidRDefault="00BA5F13" w:rsidP="00BA5F13">
            <w:pPr>
              <w:spacing w:after="0" w:line="259" w:lineRule="auto"/>
              <w:ind w:left="0" w:right="0" w:firstLine="0"/>
              <w:jc w:val="left"/>
            </w:pPr>
            <w:r w:rsidRPr="00BA5F13">
              <w:rPr>
                <w:b/>
              </w:rPr>
              <w:t xml:space="preserve">28/29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3A415D2F" w14:textId="77777777" w:rsidR="00BA5F13" w:rsidRPr="00BA5F13" w:rsidRDefault="00BA5F13" w:rsidP="00BA5F13">
            <w:pPr>
              <w:spacing w:after="0" w:line="259" w:lineRule="auto"/>
              <w:ind w:left="0" w:right="0" w:firstLine="0"/>
              <w:jc w:val="left"/>
            </w:pPr>
            <w:r w:rsidRPr="00BA5F13">
              <w:rPr>
                <w:b/>
              </w:rPr>
              <w:t xml:space="preserve">29/30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78A09675" w14:textId="77777777" w:rsidR="00BA5F13" w:rsidRPr="00BA5F13" w:rsidRDefault="00BA5F13" w:rsidP="00BA5F13">
            <w:pPr>
              <w:spacing w:after="0" w:line="259" w:lineRule="auto"/>
              <w:ind w:left="0" w:right="0" w:firstLine="0"/>
              <w:jc w:val="left"/>
            </w:pPr>
            <w:r w:rsidRPr="00BA5F13">
              <w:rPr>
                <w:b/>
              </w:rPr>
              <w:t xml:space="preserve">30/31 </w:t>
            </w:r>
          </w:p>
        </w:tc>
        <w:tc>
          <w:tcPr>
            <w:tcW w:w="1189" w:type="dxa"/>
            <w:tcBorders>
              <w:top w:val="single" w:sz="6" w:space="0" w:color="000000"/>
              <w:left w:val="single" w:sz="6" w:space="0" w:color="000000"/>
              <w:bottom w:val="single" w:sz="6" w:space="0" w:color="000000"/>
              <w:right w:val="single" w:sz="6" w:space="0" w:color="000000"/>
            </w:tcBorders>
            <w:shd w:val="clear" w:color="auto" w:fill="D9D9D9"/>
          </w:tcPr>
          <w:p w14:paraId="43B90429" w14:textId="77777777" w:rsidR="00BA5F13" w:rsidRPr="00BA5F13" w:rsidRDefault="00BA5F13" w:rsidP="00BA5F13">
            <w:pPr>
              <w:spacing w:after="0" w:line="259" w:lineRule="auto"/>
              <w:ind w:left="0" w:right="0" w:firstLine="0"/>
              <w:jc w:val="left"/>
            </w:pPr>
            <w:r w:rsidRPr="00BA5F13">
              <w:rPr>
                <w:b/>
              </w:rPr>
              <w:t xml:space="preserve">31/32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2BE163E6" w14:textId="77777777" w:rsidR="00BA5F13" w:rsidRPr="00BA5F13" w:rsidRDefault="00BA5F13" w:rsidP="00BA5F13">
            <w:pPr>
              <w:spacing w:after="0" w:line="259" w:lineRule="auto"/>
              <w:ind w:left="0" w:right="0" w:firstLine="0"/>
              <w:jc w:val="left"/>
            </w:pPr>
            <w:r w:rsidRPr="00BA5F13">
              <w:rPr>
                <w:b/>
              </w:rPr>
              <w:t xml:space="preserve">32/33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00C24194" w14:textId="77777777" w:rsidR="00BA5F13" w:rsidRPr="00BA5F13" w:rsidRDefault="00BA5F13" w:rsidP="00BA5F13">
            <w:pPr>
              <w:spacing w:after="0" w:line="259" w:lineRule="auto"/>
              <w:ind w:left="0" w:right="0" w:firstLine="0"/>
              <w:jc w:val="left"/>
            </w:pPr>
            <w:r w:rsidRPr="00BA5F13">
              <w:rPr>
                <w:b/>
              </w:rPr>
              <w:t xml:space="preserve">33/34 </w:t>
            </w:r>
          </w:p>
        </w:tc>
        <w:tc>
          <w:tcPr>
            <w:tcW w:w="1283" w:type="dxa"/>
            <w:tcBorders>
              <w:top w:val="single" w:sz="6" w:space="0" w:color="000000"/>
              <w:left w:val="single" w:sz="6" w:space="0" w:color="000000"/>
              <w:bottom w:val="single" w:sz="6" w:space="0" w:color="000000"/>
              <w:right w:val="single" w:sz="6" w:space="0" w:color="000000"/>
            </w:tcBorders>
            <w:shd w:val="clear" w:color="auto" w:fill="D9D9D9"/>
          </w:tcPr>
          <w:p w14:paraId="375A8822" w14:textId="77777777" w:rsidR="00BA5F13" w:rsidRPr="00BA5F13" w:rsidRDefault="00BA5F13" w:rsidP="00BA5F13">
            <w:pPr>
              <w:spacing w:after="0" w:line="259" w:lineRule="auto"/>
              <w:ind w:left="0" w:right="0" w:firstLine="0"/>
              <w:jc w:val="left"/>
            </w:pPr>
            <w:r w:rsidRPr="00BA5F13">
              <w:rPr>
                <w:b/>
              </w:rPr>
              <w:t xml:space="preserve">TOTAL </w:t>
            </w:r>
          </w:p>
        </w:tc>
      </w:tr>
      <w:tr w:rsidR="00BA5F13" w:rsidRPr="00BA5F13" w14:paraId="583E0277" w14:textId="77777777" w:rsidTr="004C09BE">
        <w:trPr>
          <w:trHeight w:val="287"/>
        </w:trPr>
        <w:tc>
          <w:tcPr>
            <w:tcW w:w="1843" w:type="dxa"/>
            <w:tcBorders>
              <w:top w:val="single" w:sz="6" w:space="0" w:color="000000"/>
              <w:left w:val="single" w:sz="6" w:space="0" w:color="000000"/>
              <w:bottom w:val="single" w:sz="6" w:space="0" w:color="000000"/>
              <w:right w:val="single" w:sz="6" w:space="0" w:color="000000"/>
            </w:tcBorders>
          </w:tcPr>
          <w:p w14:paraId="5DA61695" w14:textId="77777777" w:rsidR="00BA5F13" w:rsidRPr="00BA5F13" w:rsidRDefault="00BA5F13" w:rsidP="00BA5F13">
            <w:pPr>
              <w:spacing w:after="0" w:line="259" w:lineRule="auto"/>
              <w:ind w:left="0" w:right="0" w:firstLine="0"/>
              <w:jc w:val="left"/>
            </w:pPr>
            <w:r w:rsidRPr="00BA5F13">
              <w:rPr>
                <w:b/>
              </w:rPr>
              <w:t>Vehicles</w:t>
            </w:r>
            <w:r w:rsidRPr="00BA5F13">
              <w:t xml:space="preserve"> </w:t>
            </w:r>
          </w:p>
        </w:tc>
        <w:tc>
          <w:tcPr>
            <w:tcW w:w="1189" w:type="dxa"/>
            <w:tcBorders>
              <w:top w:val="single" w:sz="6" w:space="0" w:color="000000"/>
              <w:left w:val="single" w:sz="6" w:space="0" w:color="000000"/>
              <w:bottom w:val="single" w:sz="6" w:space="0" w:color="000000"/>
              <w:right w:val="single" w:sz="6" w:space="0" w:color="000000"/>
            </w:tcBorders>
          </w:tcPr>
          <w:p w14:paraId="47BD49CA"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3C4A74B"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A52CB13"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05458826"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784D107"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D53CE5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32090F0"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03652826"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AC1EEE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CF7F1FB"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2F0B1C00" w14:textId="77777777" w:rsidR="00BA5F13" w:rsidRPr="00BA5F13" w:rsidRDefault="00BA5F13" w:rsidP="00BA5F13">
            <w:pPr>
              <w:spacing w:after="0" w:line="259" w:lineRule="auto"/>
              <w:ind w:left="0" w:right="2" w:firstLine="0"/>
              <w:jc w:val="right"/>
            </w:pPr>
          </w:p>
        </w:tc>
      </w:tr>
      <w:tr w:rsidR="00BA5F13" w:rsidRPr="00BA5F13" w14:paraId="4FEBC217"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5DF18098" w14:textId="77777777" w:rsidR="00BA5F13" w:rsidRPr="00BA5F13" w:rsidRDefault="00BA5F13" w:rsidP="00BA5F13">
            <w:pPr>
              <w:spacing w:after="0" w:line="259" w:lineRule="auto"/>
              <w:ind w:left="0" w:right="0" w:firstLine="0"/>
              <w:jc w:val="left"/>
            </w:pPr>
            <w:r w:rsidRPr="00BA5F13">
              <w:t xml:space="preserve">Aerial Ladder Platform </w:t>
            </w:r>
          </w:p>
        </w:tc>
        <w:tc>
          <w:tcPr>
            <w:tcW w:w="1189" w:type="dxa"/>
            <w:tcBorders>
              <w:top w:val="single" w:sz="6" w:space="0" w:color="000000"/>
              <w:left w:val="single" w:sz="6" w:space="0" w:color="000000"/>
              <w:bottom w:val="single" w:sz="6" w:space="0" w:color="000000"/>
              <w:right w:val="single" w:sz="6" w:space="0" w:color="000000"/>
            </w:tcBorders>
          </w:tcPr>
          <w:p w14:paraId="14DF409B" w14:textId="77777777" w:rsidR="00BA5F13" w:rsidRPr="00BA5F13" w:rsidRDefault="00BA5F13" w:rsidP="00BA5F13">
            <w:pPr>
              <w:spacing w:after="0" w:line="259" w:lineRule="auto"/>
              <w:ind w:left="0" w:right="79" w:firstLine="0"/>
              <w:jc w:val="right"/>
            </w:pPr>
            <w:r w:rsidRPr="00BA5F13">
              <w:t xml:space="preserve">0.251 </w:t>
            </w:r>
          </w:p>
        </w:tc>
        <w:tc>
          <w:tcPr>
            <w:tcW w:w="1180" w:type="dxa"/>
            <w:tcBorders>
              <w:top w:val="single" w:sz="6" w:space="0" w:color="000000"/>
              <w:left w:val="single" w:sz="6" w:space="0" w:color="000000"/>
              <w:bottom w:val="single" w:sz="6" w:space="0" w:color="000000"/>
              <w:right w:val="single" w:sz="6" w:space="0" w:color="000000"/>
            </w:tcBorders>
          </w:tcPr>
          <w:p w14:paraId="53BE37AD"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36AB89F"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70397E41"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8AD834A"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3929B80"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A6473BE"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4AB8E543"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2401FBF"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10EA525"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09E27694" w14:textId="77777777" w:rsidR="00BA5F13" w:rsidRPr="00BA5F13" w:rsidRDefault="00BA5F13" w:rsidP="00BA5F13">
            <w:pPr>
              <w:spacing w:after="0" w:line="259" w:lineRule="auto"/>
              <w:ind w:left="0" w:right="72" w:firstLine="0"/>
              <w:jc w:val="right"/>
            </w:pPr>
            <w:r w:rsidRPr="00BA5F13">
              <w:t xml:space="preserve">0.251 </w:t>
            </w:r>
          </w:p>
        </w:tc>
      </w:tr>
      <w:tr w:rsidR="00BA5F13" w:rsidRPr="00BA5F13" w14:paraId="6AA01F21" w14:textId="77777777" w:rsidTr="004C09BE">
        <w:trPr>
          <w:trHeight w:val="286"/>
        </w:trPr>
        <w:tc>
          <w:tcPr>
            <w:tcW w:w="1843" w:type="dxa"/>
            <w:tcBorders>
              <w:top w:val="single" w:sz="6" w:space="0" w:color="000000"/>
              <w:left w:val="single" w:sz="6" w:space="0" w:color="000000"/>
              <w:bottom w:val="single" w:sz="6" w:space="0" w:color="000000"/>
              <w:right w:val="single" w:sz="6" w:space="0" w:color="000000"/>
            </w:tcBorders>
          </w:tcPr>
          <w:p w14:paraId="2281BA48" w14:textId="77777777" w:rsidR="00BA5F13" w:rsidRPr="00BA5F13" w:rsidRDefault="00BA5F13" w:rsidP="00BA5F13">
            <w:pPr>
              <w:spacing w:after="0" w:line="259" w:lineRule="auto"/>
              <w:ind w:left="0" w:right="0" w:firstLine="0"/>
              <w:jc w:val="left"/>
            </w:pPr>
            <w:r w:rsidRPr="00BA5F13">
              <w:t xml:space="preserve">Fire appliance </w:t>
            </w:r>
          </w:p>
        </w:tc>
        <w:tc>
          <w:tcPr>
            <w:tcW w:w="1189" w:type="dxa"/>
            <w:tcBorders>
              <w:top w:val="single" w:sz="6" w:space="0" w:color="000000"/>
              <w:left w:val="single" w:sz="6" w:space="0" w:color="000000"/>
              <w:bottom w:val="single" w:sz="6" w:space="0" w:color="000000"/>
              <w:right w:val="single" w:sz="6" w:space="0" w:color="000000"/>
            </w:tcBorders>
          </w:tcPr>
          <w:p w14:paraId="65D43266" w14:textId="77777777" w:rsidR="00BA5F13" w:rsidRPr="00BA5F13" w:rsidRDefault="00BA5F13" w:rsidP="00BA5F13">
            <w:pPr>
              <w:spacing w:after="0" w:line="259" w:lineRule="auto"/>
              <w:ind w:left="0" w:right="79" w:firstLine="0"/>
              <w:jc w:val="right"/>
            </w:pPr>
            <w:r w:rsidRPr="00BA5F13">
              <w:t xml:space="preserve">0.750 </w:t>
            </w:r>
          </w:p>
        </w:tc>
        <w:tc>
          <w:tcPr>
            <w:tcW w:w="1180" w:type="dxa"/>
            <w:tcBorders>
              <w:top w:val="single" w:sz="6" w:space="0" w:color="000000"/>
              <w:left w:val="single" w:sz="6" w:space="0" w:color="000000"/>
              <w:bottom w:val="single" w:sz="6" w:space="0" w:color="000000"/>
              <w:right w:val="single" w:sz="6" w:space="0" w:color="000000"/>
            </w:tcBorders>
          </w:tcPr>
          <w:p w14:paraId="189E4F85" w14:textId="77777777" w:rsidR="00BA5F13" w:rsidRPr="00BA5F13" w:rsidRDefault="00BA5F13" w:rsidP="00BA5F13">
            <w:pPr>
              <w:spacing w:after="0" w:line="259" w:lineRule="auto"/>
              <w:ind w:left="0" w:right="70" w:firstLine="0"/>
              <w:jc w:val="right"/>
            </w:pPr>
            <w:r w:rsidRPr="00BA5F13">
              <w:t xml:space="preserve">0.750 </w:t>
            </w:r>
          </w:p>
        </w:tc>
        <w:tc>
          <w:tcPr>
            <w:tcW w:w="1180" w:type="dxa"/>
            <w:tcBorders>
              <w:top w:val="single" w:sz="6" w:space="0" w:color="000000"/>
              <w:left w:val="single" w:sz="6" w:space="0" w:color="000000"/>
              <w:bottom w:val="single" w:sz="6" w:space="0" w:color="000000"/>
              <w:right w:val="single" w:sz="6" w:space="0" w:color="000000"/>
            </w:tcBorders>
          </w:tcPr>
          <w:p w14:paraId="0C5D5A57" w14:textId="77777777" w:rsidR="00BA5F13" w:rsidRPr="00BA5F13" w:rsidRDefault="00BA5F13" w:rsidP="00BA5F13">
            <w:pPr>
              <w:spacing w:after="0" w:line="259" w:lineRule="auto"/>
              <w:ind w:left="0" w:right="70" w:firstLine="0"/>
              <w:jc w:val="right"/>
            </w:pPr>
            <w:r w:rsidRPr="00BA5F13">
              <w:t xml:space="preserve">1.250 </w:t>
            </w:r>
          </w:p>
        </w:tc>
        <w:tc>
          <w:tcPr>
            <w:tcW w:w="1195" w:type="dxa"/>
            <w:tcBorders>
              <w:top w:val="single" w:sz="6" w:space="0" w:color="000000"/>
              <w:left w:val="single" w:sz="6" w:space="0" w:color="000000"/>
              <w:bottom w:val="single" w:sz="6" w:space="0" w:color="000000"/>
              <w:right w:val="single" w:sz="6" w:space="0" w:color="000000"/>
            </w:tcBorders>
          </w:tcPr>
          <w:p w14:paraId="745F77D8" w14:textId="77777777" w:rsidR="00BA5F13" w:rsidRPr="00BA5F13" w:rsidRDefault="00BA5F13" w:rsidP="00BA5F13">
            <w:pPr>
              <w:spacing w:after="0" w:line="259" w:lineRule="auto"/>
              <w:ind w:left="0" w:right="85" w:firstLine="0"/>
              <w:jc w:val="right"/>
            </w:pPr>
            <w:r w:rsidRPr="00BA5F13">
              <w:t xml:space="preserve">1.000 </w:t>
            </w:r>
          </w:p>
        </w:tc>
        <w:tc>
          <w:tcPr>
            <w:tcW w:w="1180" w:type="dxa"/>
            <w:tcBorders>
              <w:top w:val="single" w:sz="6" w:space="0" w:color="000000"/>
              <w:left w:val="single" w:sz="6" w:space="0" w:color="000000"/>
              <w:bottom w:val="single" w:sz="6" w:space="0" w:color="000000"/>
              <w:right w:val="single" w:sz="6" w:space="0" w:color="000000"/>
            </w:tcBorders>
          </w:tcPr>
          <w:p w14:paraId="0D859B2C" w14:textId="77777777" w:rsidR="00BA5F13" w:rsidRPr="00BA5F13" w:rsidRDefault="00BA5F13" w:rsidP="00BA5F13">
            <w:pPr>
              <w:spacing w:after="0" w:line="259" w:lineRule="auto"/>
              <w:ind w:left="0" w:right="70" w:firstLine="0"/>
              <w:jc w:val="right"/>
            </w:pPr>
            <w:r w:rsidRPr="00BA5F13">
              <w:t xml:space="preserve">1.000 </w:t>
            </w:r>
          </w:p>
        </w:tc>
        <w:tc>
          <w:tcPr>
            <w:tcW w:w="1180" w:type="dxa"/>
            <w:tcBorders>
              <w:top w:val="single" w:sz="6" w:space="0" w:color="000000"/>
              <w:left w:val="single" w:sz="6" w:space="0" w:color="000000"/>
              <w:bottom w:val="single" w:sz="6" w:space="0" w:color="000000"/>
              <w:right w:val="single" w:sz="6" w:space="0" w:color="000000"/>
            </w:tcBorders>
          </w:tcPr>
          <w:p w14:paraId="599EAAA5" w14:textId="77777777" w:rsidR="00BA5F13" w:rsidRPr="00BA5F13" w:rsidRDefault="00BA5F13" w:rsidP="00BA5F13">
            <w:pPr>
              <w:spacing w:after="0" w:line="259" w:lineRule="auto"/>
              <w:ind w:left="0" w:right="70" w:firstLine="0"/>
              <w:jc w:val="right"/>
            </w:pPr>
            <w:r w:rsidRPr="00BA5F13">
              <w:t xml:space="preserve">1.000 </w:t>
            </w:r>
          </w:p>
        </w:tc>
        <w:tc>
          <w:tcPr>
            <w:tcW w:w="1180" w:type="dxa"/>
            <w:tcBorders>
              <w:top w:val="single" w:sz="6" w:space="0" w:color="000000"/>
              <w:left w:val="single" w:sz="6" w:space="0" w:color="000000"/>
              <w:bottom w:val="single" w:sz="6" w:space="0" w:color="000000"/>
              <w:right w:val="single" w:sz="6" w:space="0" w:color="000000"/>
            </w:tcBorders>
          </w:tcPr>
          <w:p w14:paraId="3705569B" w14:textId="77777777" w:rsidR="00BA5F13" w:rsidRPr="00BA5F13" w:rsidRDefault="00BA5F13" w:rsidP="00BA5F13">
            <w:pPr>
              <w:spacing w:after="0" w:line="259" w:lineRule="auto"/>
              <w:ind w:left="0" w:right="70" w:firstLine="0"/>
              <w:jc w:val="right"/>
            </w:pPr>
            <w:r w:rsidRPr="00BA5F13">
              <w:t xml:space="preserve">1.250 </w:t>
            </w:r>
          </w:p>
        </w:tc>
        <w:tc>
          <w:tcPr>
            <w:tcW w:w="1189" w:type="dxa"/>
            <w:tcBorders>
              <w:top w:val="single" w:sz="6" w:space="0" w:color="000000"/>
              <w:left w:val="single" w:sz="6" w:space="0" w:color="000000"/>
              <w:bottom w:val="single" w:sz="6" w:space="0" w:color="000000"/>
              <w:right w:val="single" w:sz="6" w:space="0" w:color="000000"/>
            </w:tcBorders>
          </w:tcPr>
          <w:p w14:paraId="62D849E7" w14:textId="77777777" w:rsidR="00BA5F13" w:rsidRPr="00BA5F13" w:rsidRDefault="00BA5F13" w:rsidP="00BA5F13">
            <w:pPr>
              <w:spacing w:after="0" w:line="259" w:lineRule="auto"/>
              <w:ind w:left="0" w:right="79" w:firstLine="0"/>
              <w:jc w:val="right"/>
            </w:pPr>
            <w:r w:rsidRPr="00BA5F13">
              <w:t xml:space="preserve">0.880 </w:t>
            </w:r>
          </w:p>
        </w:tc>
        <w:tc>
          <w:tcPr>
            <w:tcW w:w="1180" w:type="dxa"/>
            <w:tcBorders>
              <w:top w:val="single" w:sz="6" w:space="0" w:color="000000"/>
              <w:left w:val="single" w:sz="6" w:space="0" w:color="000000"/>
              <w:bottom w:val="single" w:sz="6" w:space="0" w:color="000000"/>
              <w:right w:val="single" w:sz="6" w:space="0" w:color="000000"/>
            </w:tcBorders>
          </w:tcPr>
          <w:p w14:paraId="1E981BB4" w14:textId="77777777" w:rsidR="00BA5F13" w:rsidRPr="00BA5F13" w:rsidRDefault="00BA5F13" w:rsidP="00BA5F13">
            <w:pPr>
              <w:spacing w:after="0" w:line="259" w:lineRule="auto"/>
              <w:ind w:left="0" w:right="70" w:firstLine="0"/>
              <w:jc w:val="right"/>
            </w:pPr>
            <w:r w:rsidRPr="00BA5F13">
              <w:t xml:space="preserve">0.440 </w:t>
            </w:r>
          </w:p>
        </w:tc>
        <w:tc>
          <w:tcPr>
            <w:tcW w:w="1180" w:type="dxa"/>
            <w:tcBorders>
              <w:top w:val="single" w:sz="6" w:space="0" w:color="000000"/>
              <w:left w:val="single" w:sz="6" w:space="0" w:color="000000"/>
              <w:bottom w:val="single" w:sz="6" w:space="0" w:color="000000"/>
              <w:right w:val="single" w:sz="6" w:space="0" w:color="000000"/>
            </w:tcBorders>
          </w:tcPr>
          <w:p w14:paraId="4C6B9ABD" w14:textId="77777777" w:rsidR="00BA5F13" w:rsidRPr="00BA5F13" w:rsidRDefault="00BA5F13" w:rsidP="00BA5F13">
            <w:pPr>
              <w:spacing w:after="0" w:line="259" w:lineRule="auto"/>
              <w:ind w:left="0" w:right="70" w:firstLine="0"/>
              <w:jc w:val="right"/>
            </w:pPr>
            <w:r w:rsidRPr="00BA5F13">
              <w:t xml:space="preserve">1.000 </w:t>
            </w:r>
          </w:p>
        </w:tc>
        <w:tc>
          <w:tcPr>
            <w:tcW w:w="1283" w:type="dxa"/>
            <w:tcBorders>
              <w:top w:val="single" w:sz="6" w:space="0" w:color="000000"/>
              <w:left w:val="single" w:sz="6" w:space="0" w:color="000000"/>
              <w:bottom w:val="single" w:sz="6" w:space="0" w:color="000000"/>
              <w:right w:val="single" w:sz="6" w:space="0" w:color="000000"/>
            </w:tcBorders>
          </w:tcPr>
          <w:p w14:paraId="571C1009" w14:textId="77777777" w:rsidR="00BA5F13" w:rsidRPr="00BA5F13" w:rsidRDefault="00BA5F13" w:rsidP="00BA5F13">
            <w:pPr>
              <w:spacing w:after="0" w:line="259" w:lineRule="auto"/>
              <w:ind w:left="0" w:right="72" w:firstLine="0"/>
              <w:jc w:val="right"/>
            </w:pPr>
            <w:r w:rsidRPr="00BA5F13">
              <w:t xml:space="preserve">9.320 </w:t>
            </w:r>
          </w:p>
        </w:tc>
      </w:tr>
      <w:tr w:rsidR="00BA5F13" w:rsidRPr="00BA5F13" w14:paraId="125A49D2"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1BD72A7A" w14:textId="77777777" w:rsidR="00BA5F13" w:rsidRPr="00BA5F13" w:rsidRDefault="00BA5F13" w:rsidP="00BA5F13">
            <w:pPr>
              <w:spacing w:after="0" w:line="259" w:lineRule="auto"/>
              <w:ind w:left="0" w:right="0" w:firstLine="0"/>
              <w:jc w:val="left"/>
            </w:pPr>
            <w:r w:rsidRPr="00BA5F13">
              <w:t xml:space="preserve">Climate change Vehicle </w:t>
            </w:r>
          </w:p>
        </w:tc>
        <w:tc>
          <w:tcPr>
            <w:tcW w:w="1189" w:type="dxa"/>
            <w:tcBorders>
              <w:top w:val="single" w:sz="6" w:space="0" w:color="000000"/>
              <w:left w:val="single" w:sz="6" w:space="0" w:color="000000"/>
              <w:bottom w:val="single" w:sz="6" w:space="0" w:color="000000"/>
              <w:right w:val="single" w:sz="6" w:space="0" w:color="000000"/>
            </w:tcBorders>
          </w:tcPr>
          <w:p w14:paraId="28855CF8" w14:textId="77777777" w:rsidR="00BA5F13" w:rsidRPr="00BA5F13" w:rsidRDefault="00BA5F13" w:rsidP="00BA5F13">
            <w:pPr>
              <w:spacing w:after="0" w:line="259" w:lineRule="auto"/>
              <w:ind w:left="0" w:right="79" w:firstLine="0"/>
              <w:jc w:val="right"/>
            </w:pPr>
            <w:r w:rsidRPr="00BA5F13">
              <w:t xml:space="preserve">0.150 </w:t>
            </w:r>
          </w:p>
        </w:tc>
        <w:tc>
          <w:tcPr>
            <w:tcW w:w="1180" w:type="dxa"/>
            <w:tcBorders>
              <w:top w:val="single" w:sz="6" w:space="0" w:color="000000"/>
              <w:left w:val="single" w:sz="6" w:space="0" w:color="000000"/>
              <w:bottom w:val="single" w:sz="6" w:space="0" w:color="000000"/>
              <w:right w:val="single" w:sz="6" w:space="0" w:color="000000"/>
            </w:tcBorders>
          </w:tcPr>
          <w:p w14:paraId="1F4C56FC" w14:textId="77777777" w:rsidR="00BA5F13" w:rsidRPr="00BA5F13" w:rsidRDefault="00BA5F13" w:rsidP="00BA5F13">
            <w:pPr>
              <w:spacing w:after="0" w:line="259" w:lineRule="auto"/>
              <w:ind w:left="0" w:right="70" w:firstLine="0"/>
              <w:jc w:val="right"/>
            </w:pPr>
            <w:r w:rsidRPr="00BA5F13">
              <w:t xml:space="preserve">0.500 </w:t>
            </w:r>
          </w:p>
        </w:tc>
        <w:tc>
          <w:tcPr>
            <w:tcW w:w="1180" w:type="dxa"/>
            <w:tcBorders>
              <w:top w:val="single" w:sz="6" w:space="0" w:color="000000"/>
              <w:left w:val="single" w:sz="6" w:space="0" w:color="000000"/>
              <w:bottom w:val="single" w:sz="6" w:space="0" w:color="000000"/>
              <w:right w:val="single" w:sz="6" w:space="0" w:color="000000"/>
            </w:tcBorders>
          </w:tcPr>
          <w:p w14:paraId="4EB1C090"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143524F0"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5D6CFBF"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CECB3F2"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FC0116D"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56693326"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CDC2D9F"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5CEE70E"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2D82EA11" w14:textId="77777777" w:rsidR="00BA5F13" w:rsidRPr="00BA5F13" w:rsidRDefault="00BA5F13" w:rsidP="00BA5F13">
            <w:pPr>
              <w:spacing w:after="0" w:line="259" w:lineRule="auto"/>
              <w:ind w:left="0" w:right="72" w:firstLine="0"/>
              <w:jc w:val="right"/>
            </w:pPr>
            <w:r w:rsidRPr="00BA5F13">
              <w:t xml:space="preserve">0.650 </w:t>
            </w:r>
          </w:p>
        </w:tc>
      </w:tr>
      <w:tr w:rsidR="00BA5F13" w:rsidRPr="00BA5F13" w14:paraId="3B2DEC71" w14:textId="77777777" w:rsidTr="004C09BE">
        <w:trPr>
          <w:trHeight w:val="286"/>
        </w:trPr>
        <w:tc>
          <w:tcPr>
            <w:tcW w:w="1843" w:type="dxa"/>
            <w:tcBorders>
              <w:top w:val="single" w:sz="6" w:space="0" w:color="000000"/>
              <w:left w:val="single" w:sz="6" w:space="0" w:color="000000"/>
              <w:bottom w:val="single" w:sz="6" w:space="0" w:color="000000"/>
              <w:right w:val="single" w:sz="6" w:space="0" w:color="000000"/>
            </w:tcBorders>
          </w:tcPr>
          <w:p w14:paraId="2CCEC73F" w14:textId="77777777" w:rsidR="00BA5F13" w:rsidRPr="00BA5F13" w:rsidRDefault="00BA5F13" w:rsidP="00BA5F13">
            <w:pPr>
              <w:spacing w:after="0" w:line="259" w:lineRule="auto"/>
              <w:ind w:left="0" w:right="0" w:firstLine="0"/>
              <w:jc w:val="left"/>
            </w:pPr>
            <w:r w:rsidRPr="00BA5F13">
              <w:t xml:space="preserve">Water tower </w:t>
            </w:r>
          </w:p>
        </w:tc>
        <w:tc>
          <w:tcPr>
            <w:tcW w:w="1189" w:type="dxa"/>
            <w:tcBorders>
              <w:top w:val="single" w:sz="6" w:space="0" w:color="000000"/>
              <w:left w:val="single" w:sz="6" w:space="0" w:color="000000"/>
              <w:bottom w:val="single" w:sz="6" w:space="0" w:color="000000"/>
              <w:right w:val="single" w:sz="6" w:space="0" w:color="000000"/>
            </w:tcBorders>
          </w:tcPr>
          <w:p w14:paraId="13BE7A15" w14:textId="77777777" w:rsidR="00BA5F13" w:rsidRPr="00BA5F13" w:rsidRDefault="00BA5F13" w:rsidP="00BA5F13">
            <w:pPr>
              <w:spacing w:after="0" w:line="259" w:lineRule="auto"/>
              <w:ind w:left="0" w:right="79" w:firstLine="0"/>
              <w:jc w:val="right"/>
            </w:pPr>
            <w:r w:rsidRPr="00BA5F13">
              <w:t xml:space="preserve">1.100 </w:t>
            </w:r>
          </w:p>
        </w:tc>
        <w:tc>
          <w:tcPr>
            <w:tcW w:w="1180" w:type="dxa"/>
            <w:tcBorders>
              <w:top w:val="single" w:sz="6" w:space="0" w:color="000000"/>
              <w:left w:val="single" w:sz="6" w:space="0" w:color="000000"/>
              <w:bottom w:val="single" w:sz="6" w:space="0" w:color="000000"/>
              <w:right w:val="single" w:sz="6" w:space="0" w:color="000000"/>
            </w:tcBorders>
          </w:tcPr>
          <w:p w14:paraId="0D5E21F8"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F49CC41"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7D2DDD69"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393F277" w14:textId="77777777" w:rsidR="00BA5F13" w:rsidRPr="00BA5F13" w:rsidRDefault="00BA5F13" w:rsidP="00BA5F13">
            <w:pPr>
              <w:spacing w:after="0" w:line="259" w:lineRule="auto"/>
              <w:ind w:left="0" w:right="70" w:firstLine="0"/>
              <w:jc w:val="right"/>
            </w:pPr>
            <w:r w:rsidRPr="00BA5F13">
              <w:t xml:space="preserve">0.550 </w:t>
            </w:r>
          </w:p>
        </w:tc>
        <w:tc>
          <w:tcPr>
            <w:tcW w:w="1180" w:type="dxa"/>
            <w:tcBorders>
              <w:top w:val="single" w:sz="6" w:space="0" w:color="000000"/>
              <w:left w:val="single" w:sz="6" w:space="0" w:color="000000"/>
              <w:bottom w:val="single" w:sz="6" w:space="0" w:color="000000"/>
              <w:right w:val="single" w:sz="6" w:space="0" w:color="000000"/>
            </w:tcBorders>
          </w:tcPr>
          <w:p w14:paraId="3DC999AB"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A19182C"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2FC15522"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6EBCAA7"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ECA1F37"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6B1C63CF" w14:textId="77777777" w:rsidR="00BA5F13" w:rsidRPr="00BA5F13" w:rsidRDefault="00BA5F13" w:rsidP="00BA5F13">
            <w:pPr>
              <w:spacing w:after="0" w:line="259" w:lineRule="auto"/>
              <w:ind w:left="0" w:right="72" w:firstLine="0"/>
              <w:jc w:val="right"/>
            </w:pPr>
            <w:r w:rsidRPr="00BA5F13">
              <w:t xml:space="preserve">1.650 </w:t>
            </w:r>
          </w:p>
        </w:tc>
      </w:tr>
      <w:tr w:rsidR="00BA5F13" w:rsidRPr="00BA5F13" w14:paraId="3ED8A5EA"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6BD488C9" w14:textId="77777777" w:rsidR="00BA5F13" w:rsidRPr="00BA5F13" w:rsidRDefault="00BA5F13" w:rsidP="00BA5F13">
            <w:pPr>
              <w:spacing w:after="0" w:line="259" w:lineRule="auto"/>
              <w:ind w:left="0" w:right="0" w:firstLine="0"/>
              <w:jc w:val="left"/>
            </w:pPr>
            <w:r w:rsidRPr="00BA5F13">
              <w:t xml:space="preserve">Foam Pod </w:t>
            </w:r>
          </w:p>
        </w:tc>
        <w:tc>
          <w:tcPr>
            <w:tcW w:w="1189" w:type="dxa"/>
            <w:tcBorders>
              <w:top w:val="single" w:sz="6" w:space="0" w:color="000000"/>
              <w:left w:val="single" w:sz="6" w:space="0" w:color="000000"/>
              <w:bottom w:val="single" w:sz="6" w:space="0" w:color="000000"/>
              <w:right w:val="single" w:sz="6" w:space="0" w:color="000000"/>
            </w:tcBorders>
          </w:tcPr>
          <w:p w14:paraId="539069C6"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636BA5A"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C97FE56"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4E051BCF" w14:textId="77777777" w:rsidR="00BA5F13" w:rsidRPr="00BA5F13" w:rsidRDefault="00BA5F13" w:rsidP="00BA5F13">
            <w:pPr>
              <w:spacing w:after="0" w:line="259" w:lineRule="auto"/>
              <w:ind w:left="0" w:right="85" w:firstLine="0"/>
              <w:jc w:val="right"/>
            </w:pPr>
            <w:r w:rsidRPr="00BA5F13">
              <w:t xml:space="preserve">0.029 </w:t>
            </w:r>
          </w:p>
        </w:tc>
        <w:tc>
          <w:tcPr>
            <w:tcW w:w="1180" w:type="dxa"/>
            <w:tcBorders>
              <w:top w:val="single" w:sz="6" w:space="0" w:color="000000"/>
              <w:left w:val="single" w:sz="6" w:space="0" w:color="000000"/>
              <w:bottom w:val="single" w:sz="6" w:space="0" w:color="000000"/>
              <w:right w:val="single" w:sz="6" w:space="0" w:color="000000"/>
            </w:tcBorders>
          </w:tcPr>
          <w:p w14:paraId="3508A3A0" w14:textId="77777777" w:rsidR="00BA5F13" w:rsidRPr="00BA5F13" w:rsidRDefault="00BA5F13" w:rsidP="00BA5F13">
            <w:pPr>
              <w:spacing w:after="0" w:line="259" w:lineRule="auto"/>
              <w:ind w:left="0" w:right="70" w:firstLine="0"/>
              <w:jc w:val="right"/>
            </w:pPr>
            <w:r w:rsidRPr="00BA5F13">
              <w:t xml:space="preserve">0.029 </w:t>
            </w:r>
          </w:p>
        </w:tc>
        <w:tc>
          <w:tcPr>
            <w:tcW w:w="1180" w:type="dxa"/>
            <w:tcBorders>
              <w:top w:val="single" w:sz="6" w:space="0" w:color="000000"/>
              <w:left w:val="single" w:sz="6" w:space="0" w:color="000000"/>
              <w:bottom w:val="single" w:sz="6" w:space="0" w:color="000000"/>
              <w:right w:val="single" w:sz="6" w:space="0" w:color="000000"/>
            </w:tcBorders>
          </w:tcPr>
          <w:p w14:paraId="2779F948" w14:textId="77777777" w:rsidR="00BA5F13" w:rsidRPr="00BA5F13" w:rsidRDefault="00BA5F13" w:rsidP="00BA5F13">
            <w:pPr>
              <w:spacing w:after="0" w:line="259" w:lineRule="auto"/>
              <w:ind w:left="0" w:right="70" w:firstLine="0"/>
              <w:jc w:val="right"/>
            </w:pPr>
            <w:r w:rsidRPr="00BA5F13">
              <w:t xml:space="preserve">0.059 </w:t>
            </w:r>
          </w:p>
        </w:tc>
        <w:tc>
          <w:tcPr>
            <w:tcW w:w="1180" w:type="dxa"/>
            <w:tcBorders>
              <w:top w:val="single" w:sz="6" w:space="0" w:color="000000"/>
              <w:left w:val="single" w:sz="6" w:space="0" w:color="000000"/>
              <w:bottom w:val="single" w:sz="6" w:space="0" w:color="000000"/>
              <w:right w:val="single" w:sz="6" w:space="0" w:color="000000"/>
            </w:tcBorders>
          </w:tcPr>
          <w:p w14:paraId="0D5D15ED" w14:textId="77777777" w:rsidR="00BA5F13" w:rsidRPr="00BA5F13" w:rsidRDefault="00BA5F13" w:rsidP="00BA5F13">
            <w:pPr>
              <w:spacing w:after="0" w:line="259" w:lineRule="auto"/>
              <w:ind w:left="0" w:right="70" w:firstLine="0"/>
              <w:jc w:val="right"/>
            </w:pPr>
            <w:r w:rsidRPr="00BA5F13">
              <w:t xml:space="preserve">0.029 </w:t>
            </w:r>
          </w:p>
        </w:tc>
        <w:tc>
          <w:tcPr>
            <w:tcW w:w="1189" w:type="dxa"/>
            <w:tcBorders>
              <w:top w:val="single" w:sz="6" w:space="0" w:color="000000"/>
              <w:left w:val="single" w:sz="6" w:space="0" w:color="000000"/>
              <w:bottom w:val="single" w:sz="6" w:space="0" w:color="000000"/>
              <w:right w:val="single" w:sz="6" w:space="0" w:color="000000"/>
            </w:tcBorders>
          </w:tcPr>
          <w:p w14:paraId="471EE59C"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75B7A93"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B7A1844"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7601D1C0" w14:textId="77777777" w:rsidR="00BA5F13" w:rsidRPr="00BA5F13" w:rsidRDefault="00BA5F13" w:rsidP="00BA5F13">
            <w:pPr>
              <w:spacing w:after="0" w:line="259" w:lineRule="auto"/>
              <w:ind w:left="0" w:right="72" w:firstLine="0"/>
              <w:jc w:val="right"/>
            </w:pPr>
            <w:r w:rsidRPr="00BA5F13">
              <w:t xml:space="preserve">0.146 </w:t>
            </w:r>
          </w:p>
        </w:tc>
      </w:tr>
      <w:tr w:rsidR="00BA5F13" w:rsidRPr="00BA5F13" w14:paraId="0E38A7D1"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1861E2E5" w14:textId="77777777" w:rsidR="00BA5F13" w:rsidRPr="00BA5F13" w:rsidRDefault="00BA5F13" w:rsidP="00BA5F13">
            <w:pPr>
              <w:spacing w:after="0" w:line="259" w:lineRule="auto"/>
              <w:ind w:left="0" w:right="0" w:firstLine="0"/>
              <w:jc w:val="left"/>
            </w:pPr>
            <w:r w:rsidRPr="00BA5F13">
              <w:t xml:space="preserve">Prime Mover </w:t>
            </w:r>
          </w:p>
        </w:tc>
        <w:tc>
          <w:tcPr>
            <w:tcW w:w="1189" w:type="dxa"/>
            <w:tcBorders>
              <w:top w:val="single" w:sz="6" w:space="0" w:color="000000"/>
              <w:left w:val="single" w:sz="6" w:space="0" w:color="000000"/>
              <w:bottom w:val="single" w:sz="6" w:space="0" w:color="000000"/>
              <w:right w:val="single" w:sz="6" w:space="0" w:color="000000"/>
            </w:tcBorders>
          </w:tcPr>
          <w:p w14:paraId="7E4A1958" w14:textId="77777777" w:rsidR="00BA5F13" w:rsidRPr="00BA5F13" w:rsidRDefault="00BA5F13" w:rsidP="00BA5F13">
            <w:pPr>
              <w:spacing w:after="0" w:line="259" w:lineRule="auto"/>
              <w:ind w:left="0" w:right="79" w:firstLine="0"/>
              <w:jc w:val="right"/>
            </w:pPr>
            <w:r w:rsidRPr="00BA5F13">
              <w:t xml:space="preserve">0.297 </w:t>
            </w:r>
          </w:p>
        </w:tc>
        <w:tc>
          <w:tcPr>
            <w:tcW w:w="1180" w:type="dxa"/>
            <w:tcBorders>
              <w:top w:val="single" w:sz="6" w:space="0" w:color="000000"/>
              <w:left w:val="single" w:sz="6" w:space="0" w:color="000000"/>
              <w:bottom w:val="single" w:sz="6" w:space="0" w:color="000000"/>
              <w:right w:val="single" w:sz="6" w:space="0" w:color="000000"/>
            </w:tcBorders>
          </w:tcPr>
          <w:p w14:paraId="7BBB40F9"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9B881F9"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165F0E7E"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7BBB3D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6F0190C"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3FDD38D"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4BA99B2B"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4B29D62"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34C8D80"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7ADD1341" w14:textId="77777777" w:rsidR="00BA5F13" w:rsidRPr="00BA5F13" w:rsidRDefault="00BA5F13" w:rsidP="00BA5F13">
            <w:pPr>
              <w:spacing w:after="0" w:line="259" w:lineRule="auto"/>
              <w:ind w:left="0" w:right="72" w:firstLine="0"/>
              <w:jc w:val="right"/>
            </w:pPr>
            <w:r w:rsidRPr="00BA5F13">
              <w:t xml:space="preserve">0.297 </w:t>
            </w:r>
          </w:p>
        </w:tc>
      </w:tr>
      <w:tr w:rsidR="00BA5F13" w:rsidRPr="00BA5F13" w14:paraId="2150992D" w14:textId="77777777" w:rsidTr="004C09BE">
        <w:trPr>
          <w:trHeight w:val="301"/>
        </w:trPr>
        <w:tc>
          <w:tcPr>
            <w:tcW w:w="1843" w:type="dxa"/>
            <w:tcBorders>
              <w:top w:val="single" w:sz="6" w:space="0" w:color="000000"/>
              <w:left w:val="single" w:sz="6" w:space="0" w:color="000000"/>
              <w:bottom w:val="single" w:sz="6" w:space="0" w:color="000000"/>
              <w:right w:val="single" w:sz="6" w:space="0" w:color="000000"/>
            </w:tcBorders>
          </w:tcPr>
          <w:p w14:paraId="2E8AB280" w14:textId="77777777" w:rsidR="00BA5F13" w:rsidRPr="00BA5F13" w:rsidRDefault="00BA5F13" w:rsidP="00BA5F13">
            <w:pPr>
              <w:spacing w:after="0" w:line="259" w:lineRule="auto"/>
              <w:ind w:left="0" w:right="0" w:firstLine="0"/>
              <w:jc w:val="left"/>
            </w:pPr>
            <w:r w:rsidRPr="00BA5F13">
              <w:t xml:space="preserve">Car - Small </w:t>
            </w:r>
          </w:p>
        </w:tc>
        <w:tc>
          <w:tcPr>
            <w:tcW w:w="1189" w:type="dxa"/>
            <w:tcBorders>
              <w:top w:val="single" w:sz="6" w:space="0" w:color="000000"/>
              <w:left w:val="single" w:sz="6" w:space="0" w:color="000000"/>
              <w:bottom w:val="single" w:sz="6" w:space="0" w:color="000000"/>
              <w:right w:val="single" w:sz="6" w:space="0" w:color="000000"/>
            </w:tcBorders>
          </w:tcPr>
          <w:p w14:paraId="19EEAD79" w14:textId="77777777" w:rsidR="00BA5F13" w:rsidRPr="00BA5F13" w:rsidRDefault="00BA5F13" w:rsidP="00BA5F13">
            <w:pPr>
              <w:spacing w:after="0" w:line="259" w:lineRule="auto"/>
              <w:ind w:left="0" w:right="79" w:firstLine="0"/>
              <w:jc w:val="right"/>
            </w:pPr>
            <w:r w:rsidRPr="00BA5F13">
              <w:t xml:space="preserve">0.060 </w:t>
            </w:r>
          </w:p>
        </w:tc>
        <w:tc>
          <w:tcPr>
            <w:tcW w:w="1180" w:type="dxa"/>
            <w:tcBorders>
              <w:top w:val="single" w:sz="6" w:space="0" w:color="000000"/>
              <w:left w:val="single" w:sz="6" w:space="0" w:color="000000"/>
              <w:bottom w:val="single" w:sz="6" w:space="0" w:color="000000"/>
              <w:right w:val="single" w:sz="6" w:space="0" w:color="000000"/>
            </w:tcBorders>
          </w:tcPr>
          <w:p w14:paraId="7481ADAE" w14:textId="77777777" w:rsidR="00BA5F13" w:rsidRPr="00BA5F13" w:rsidRDefault="00BA5F13" w:rsidP="00BA5F13">
            <w:pPr>
              <w:spacing w:after="0" w:line="259" w:lineRule="auto"/>
              <w:ind w:left="0" w:right="70" w:firstLine="0"/>
              <w:jc w:val="right"/>
            </w:pPr>
            <w:r w:rsidRPr="00BA5F13">
              <w:t xml:space="preserve">0.040 </w:t>
            </w:r>
          </w:p>
        </w:tc>
        <w:tc>
          <w:tcPr>
            <w:tcW w:w="1180" w:type="dxa"/>
            <w:tcBorders>
              <w:top w:val="single" w:sz="6" w:space="0" w:color="000000"/>
              <w:left w:val="single" w:sz="6" w:space="0" w:color="000000"/>
              <w:bottom w:val="single" w:sz="6" w:space="0" w:color="000000"/>
              <w:right w:val="single" w:sz="6" w:space="0" w:color="000000"/>
            </w:tcBorders>
          </w:tcPr>
          <w:p w14:paraId="2DF0EB4A" w14:textId="77777777" w:rsidR="00BA5F13" w:rsidRPr="00BA5F13" w:rsidRDefault="00BA5F13" w:rsidP="00BA5F13">
            <w:pPr>
              <w:spacing w:after="0" w:line="259" w:lineRule="auto"/>
              <w:ind w:left="0" w:right="70" w:firstLine="0"/>
              <w:jc w:val="right"/>
            </w:pPr>
            <w:r w:rsidRPr="00BA5F13">
              <w:t xml:space="preserve">0.040 </w:t>
            </w:r>
          </w:p>
        </w:tc>
        <w:tc>
          <w:tcPr>
            <w:tcW w:w="1195" w:type="dxa"/>
            <w:tcBorders>
              <w:top w:val="single" w:sz="6" w:space="0" w:color="000000"/>
              <w:left w:val="single" w:sz="6" w:space="0" w:color="000000"/>
              <w:bottom w:val="single" w:sz="6" w:space="0" w:color="000000"/>
              <w:right w:val="single" w:sz="6" w:space="0" w:color="000000"/>
            </w:tcBorders>
          </w:tcPr>
          <w:p w14:paraId="0E7F521F"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57E39BE" w14:textId="77777777" w:rsidR="00BA5F13" w:rsidRPr="00BA5F13" w:rsidRDefault="00BA5F13" w:rsidP="00BA5F13">
            <w:pPr>
              <w:spacing w:after="0" w:line="259" w:lineRule="auto"/>
              <w:ind w:left="0" w:right="70" w:firstLine="0"/>
              <w:jc w:val="right"/>
            </w:pPr>
            <w:r w:rsidRPr="00BA5F13">
              <w:t xml:space="preserve">0.120 </w:t>
            </w:r>
          </w:p>
        </w:tc>
        <w:tc>
          <w:tcPr>
            <w:tcW w:w="1180" w:type="dxa"/>
            <w:tcBorders>
              <w:top w:val="single" w:sz="6" w:space="0" w:color="000000"/>
              <w:left w:val="single" w:sz="6" w:space="0" w:color="000000"/>
              <w:bottom w:val="single" w:sz="6" w:space="0" w:color="000000"/>
              <w:right w:val="single" w:sz="6" w:space="0" w:color="000000"/>
            </w:tcBorders>
          </w:tcPr>
          <w:p w14:paraId="1679F6A2"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FF758B3" w14:textId="77777777" w:rsidR="00BA5F13" w:rsidRPr="00BA5F13" w:rsidRDefault="00BA5F13" w:rsidP="00BA5F13">
            <w:pPr>
              <w:spacing w:after="0" w:line="259" w:lineRule="auto"/>
              <w:ind w:left="0" w:right="70" w:firstLine="0"/>
              <w:jc w:val="right"/>
            </w:pPr>
            <w:r w:rsidRPr="00BA5F13">
              <w:t xml:space="preserve">0.060 </w:t>
            </w:r>
          </w:p>
        </w:tc>
        <w:tc>
          <w:tcPr>
            <w:tcW w:w="1189" w:type="dxa"/>
            <w:tcBorders>
              <w:top w:val="single" w:sz="6" w:space="0" w:color="000000"/>
              <w:left w:val="single" w:sz="6" w:space="0" w:color="000000"/>
              <w:bottom w:val="single" w:sz="6" w:space="0" w:color="000000"/>
              <w:right w:val="single" w:sz="6" w:space="0" w:color="000000"/>
            </w:tcBorders>
          </w:tcPr>
          <w:p w14:paraId="2F12BF8B"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D4AFC47"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0BD2641"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33716C32" w14:textId="77777777" w:rsidR="00BA5F13" w:rsidRPr="00BA5F13" w:rsidRDefault="00BA5F13" w:rsidP="00BA5F13">
            <w:pPr>
              <w:spacing w:after="0" w:line="259" w:lineRule="auto"/>
              <w:ind w:left="0" w:right="72" w:firstLine="0"/>
              <w:jc w:val="right"/>
            </w:pPr>
            <w:r w:rsidRPr="00BA5F13">
              <w:t xml:space="preserve">0.320 </w:t>
            </w:r>
          </w:p>
        </w:tc>
      </w:tr>
      <w:tr w:rsidR="00BA5F13" w:rsidRPr="00BA5F13" w14:paraId="23B5FB90"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2C11131D" w14:textId="77777777" w:rsidR="00BA5F13" w:rsidRPr="00BA5F13" w:rsidRDefault="00BA5F13" w:rsidP="00BA5F13">
            <w:pPr>
              <w:spacing w:after="0" w:line="259" w:lineRule="auto"/>
              <w:ind w:left="0" w:right="0" w:firstLine="0"/>
              <w:jc w:val="left"/>
            </w:pPr>
            <w:r w:rsidRPr="00BA5F13">
              <w:t xml:space="preserve">Car - Medium </w:t>
            </w:r>
          </w:p>
        </w:tc>
        <w:tc>
          <w:tcPr>
            <w:tcW w:w="1189" w:type="dxa"/>
            <w:tcBorders>
              <w:top w:val="single" w:sz="6" w:space="0" w:color="000000"/>
              <w:left w:val="single" w:sz="6" w:space="0" w:color="000000"/>
              <w:bottom w:val="single" w:sz="6" w:space="0" w:color="000000"/>
              <w:right w:val="single" w:sz="6" w:space="0" w:color="000000"/>
            </w:tcBorders>
          </w:tcPr>
          <w:p w14:paraId="2617091E" w14:textId="77777777" w:rsidR="00BA5F13" w:rsidRPr="00BA5F13" w:rsidRDefault="00BA5F13" w:rsidP="00BA5F13">
            <w:pPr>
              <w:spacing w:after="0" w:line="259" w:lineRule="auto"/>
              <w:ind w:left="0" w:right="79" w:firstLine="0"/>
              <w:jc w:val="right"/>
            </w:pPr>
            <w:r w:rsidRPr="00BA5F13">
              <w:t xml:space="preserve">0.115 </w:t>
            </w:r>
          </w:p>
        </w:tc>
        <w:tc>
          <w:tcPr>
            <w:tcW w:w="1180" w:type="dxa"/>
            <w:tcBorders>
              <w:top w:val="single" w:sz="6" w:space="0" w:color="000000"/>
              <w:left w:val="single" w:sz="6" w:space="0" w:color="000000"/>
              <w:bottom w:val="single" w:sz="6" w:space="0" w:color="000000"/>
              <w:right w:val="single" w:sz="6" w:space="0" w:color="000000"/>
            </w:tcBorders>
          </w:tcPr>
          <w:p w14:paraId="5CC5859C" w14:textId="77777777" w:rsidR="00BA5F13" w:rsidRPr="00BA5F13" w:rsidRDefault="00BA5F13" w:rsidP="00BA5F13">
            <w:pPr>
              <w:spacing w:after="0" w:line="259" w:lineRule="auto"/>
              <w:ind w:left="0" w:right="70" w:firstLine="0"/>
              <w:jc w:val="right"/>
            </w:pPr>
            <w:r w:rsidRPr="00BA5F13">
              <w:t xml:space="preserve">0.069 </w:t>
            </w:r>
          </w:p>
        </w:tc>
        <w:tc>
          <w:tcPr>
            <w:tcW w:w="1180" w:type="dxa"/>
            <w:tcBorders>
              <w:top w:val="single" w:sz="6" w:space="0" w:color="000000"/>
              <w:left w:val="single" w:sz="6" w:space="0" w:color="000000"/>
              <w:bottom w:val="single" w:sz="6" w:space="0" w:color="000000"/>
              <w:right w:val="single" w:sz="6" w:space="0" w:color="000000"/>
            </w:tcBorders>
          </w:tcPr>
          <w:p w14:paraId="20A396FA" w14:textId="77777777" w:rsidR="00BA5F13" w:rsidRPr="00BA5F13" w:rsidRDefault="00BA5F13" w:rsidP="00BA5F13">
            <w:pPr>
              <w:spacing w:after="0" w:line="259" w:lineRule="auto"/>
              <w:ind w:left="0" w:right="70" w:firstLine="0"/>
              <w:jc w:val="right"/>
            </w:pPr>
            <w:r w:rsidRPr="00BA5F13">
              <w:t xml:space="preserve">0.023 </w:t>
            </w:r>
          </w:p>
        </w:tc>
        <w:tc>
          <w:tcPr>
            <w:tcW w:w="1195" w:type="dxa"/>
            <w:tcBorders>
              <w:top w:val="single" w:sz="6" w:space="0" w:color="000000"/>
              <w:left w:val="single" w:sz="6" w:space="0" w:color="000000"/>
              <w:bottom w:val="single" w:sz="6" w:space="0" w:color="000000"/>
              <w:right w:val="single" w:sz="6" w:space="0" w:color="000000"/>
            </w:tcBorders>
          </w:tcPr>
          <w:p w14:paraId="3EE3BE7A" w14:textId="77777777" w:rsidR="00BA5F13" w:rsidRPr="00BA5F13" w:rsidRDefault="00BA5F13" w:rsidP="00BA5F13">
            <w:pPr>
              <w:spacing w:after="0" w:line="259" w:lineRule="auto"/>
              <w:ind w:left="0" w:right="85" w:firstLine="0"/>
              <w:jc w:val="right"/>
            </w:pPr>
            <w:r w:rsidRPr="00BA5F13">
              <w:t xml:space="preserve">0.207 </w:t>
            </w:r>
          </w:p>
        </w:tc>
        <w:tc>
          <w:tcPr>
            <w:tcW w:w="1180" w:type="dxa"/>
            <w:tcBorders>
              <w:top w:val="single" w:sz="6" w:space="0" w:color="000000"/>
              <w:left w:val="single" w:sz="6" w:space="0" w:color="000000"/>
              <w:bottom w:val="single" w:sz="6" w:space="0" w:color="000000"/>
              <w:right w:val="single" w:sz="6" w:space="0" w:color="000000"/>
            </w:tcBorders>
          </w:tcPr>
          <w:p w14:paraId="420F1700"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7F23C2E"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2FBA11C" w14:textId="77777777" w:rsidR="00BA5F13" w:rsidRPr="00BA5F13" w:rsidRDefault="00BA5F13" w:rsidP="00BA5F13">
            <w:pPr>
              <w:spacing w:after="0" w:line="259" w:lineRule="auto"/>
              <w:ind w:left="0" w:right="70" w:firstLine="0"/>
              <w:jc w:val="right"/>
            </w:pPr>
            <w:r w:rsidRPr="00BA5F13">
              <w:t xml:space="preserve">0.138 </w:t>
            </w:r>
          </w:p>
        </w:tc>
        <w:tc>
          <w:tcPr>
            <w:tcW w:w="1189" w:type="dxa"/>
            <w:tcBorders>
              <w:top w:val="single" w:sz="6" w:space="0" w:color="000000"/>
              <w:left w:val="single" w:sz="6" w:space="0" w:color="000000"/>
              <w:bottom w:val="single" w:sz="6" w:space="0" w:color="000000"/>
              <w:right w:val="single" w:sz="6" w:space="0" w:color="000000"/>
            </w:tcBorders>
          </w:tcPr>
          <w:p w14:paraId="0A604DF9"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B9BEFA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8467C62"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631E7D33" w14:textId="77777777" w:rsidR="00BA5F13" w:rsidRPr="00BA5F13" w:rsidRDefault="00BA5F13" w:rsidP="00BA5F13">
            <w:pPr>
              <w:spacing w:after="0" w:line="259" w:lineRule="auto"/>
              <w:ind w:left="0" w:right="72" w:firstLine="0"/>
              <w:jc w:val="right"/>
            </w:pPr>
            <w:r w:rsidRPr="00BA5F13">
              <w:t xml:space="preserve">0.552 </w:t>
            </w:r>
          </w:p>
        </w:tc>
      </w:tr>
      <w:tr w:rsidR="00BA5F13" w:rsidRPr="00BA5F13" w14:paraId="0D5C6DCF"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17808002" w14:textId="77777777" w:rsidR="00BA5F13" w:rsidRPr="00BA5F13" w:rsidRDefault="00BA5F13" w:rsidP="00BA5F13">
            <w:pPr>
              <w:spacing w:after="0" w:line="259" w:lineRule="auto"/>
              <w:ind w:left="0" w:right="0" w:firstLine="0"/>
              <w:jc w:val="left"/>
            </w:pPr>
            <w:r w:rsidRPr="00BA5F13">
              <w:t xml:space="preserve">Car - Large </w:t>
            </w:r>
          </w:p>
        </w:tc>
        <w:tc>
          <w:tcPr>
            <w:tcW w:w="1189" w:type="dxa"/>
            <w:tcBorders>
              <w:top w:val="single" w:sz="6" w:space="0" w:color="000000"/>
              <w:left w:val="single" w:sz="6" w:space="0" w:color="000000"/>
              <w:bottom w:val="single" w:sz="6" w:space="0" w:color="000000"/>
              <w:right w:val="single" w:sz="6" w:space="0" w:color="000000"/>
            </w:tcBorders>
          </w:tcPr>
          <w:p w14:paraId="37BB8526"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FEFD407"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EA5E67D" w14:textId="77777777" w:rsidR="00BA5F13" w:rsidRPr="00BA5F13" w:rsidRDefault="00BA5F13" w:rsidP="00BA5F13">
            <w:pPr>
              <w:spacing w:after="0" w:line="259" w:lineRule="auto"/>
              <w:ind w:left="0" w:right="70" w:firstLine="0"/>
              <w:jc w:val="right"/>
            </w:pPr>
            <w:r w:rsidRPr="00BA5F13">
              <w:t xml:space="preserve">0.054 </w:t>
            </w:r>
          </w:p>
        </w:tc>
        <w:tc>
          <w:tcPr>
            <w:tcW w:w="1195" w:type="dxa"/>
            <w:tcBorders>
              <w:top w:val="single" w:sz="6" w:space="0" w:color="000000"/>
              <w:left w:val="single" w:sz="6" w:space="0" w:color="000000"/>
              <w:bottom w:val="single" w:sz="6" w:space="0" w:color="000000"/>
              <w:right w:val="single" w:sz="6" w:space="0" w:color="000000"/>
            </w:tcBorders>
          </w:tcPr>
          <w:p w14:paraId="5D8809FF"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6F46B81" w14:textId="77777777" w:rsidR="00BA5F13" w:rsidRPr="00BA5F13" w:rsidRDefault="00BA5F13" w:rsidP="00BA5F13">
            <w:pPr>
              <w:spacing w:after="0" w:line="259" w:lineRule="auto"/>
              <w:ind w:left="0" w:right="70" w:firstLine="0"/>
              <w:jc w:val="right"/>
            </w:pPr>
            <w:r w:rsidRPr="00BA5F13">
              <w:t xml:space="preserve">0.027 </w:t>
            </w:r>
          </w:p>
        </w:tc>
        <w:tc>
          <w:tcPr>
            <w:tcW w:w="1180" w:type="dxa"/>
            <w:tcBorders>
              <w:top w:val="single" w:sz="6" w:space="0" w:color="000000"/>
              <w:left w:val="single" w:sz="6" w:space="0" w:color="000000"/>
              <w:bottom w:val="single" w:sz="6" w:space="0" w:color="000000"/>
              <w:right w:val="single" w:sz="6" w:space="0" w:color="000000"/>
            </w:tcBorders>
          </w:tcPr>
          <w:p w14:paraId="29CD14F9"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BAA5785"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10EC5299"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52983C8"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4B18572"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19592E93" w14:textId="77777777" w:rsidR="00BA5F13" w:rsidRPr="00BA5F13" w:rsidRDefault="00BA5F13" w:rsidP="00BA5F13">
            <w:pPr>
              <w:spacing w:after="0" w:line="259" w:lineRule="auto"/>
              <w:ind w:left="0" w:right="72" w:firstLine="0"/>
              <w:jc w:val="right"/>
            </w:pPr>
            <w:r w:rsidRPr="00BA5F13">
              <w:t xml:space="preserve">0.081 </w:t>
            </w:r>
          </w:p>
        </w:tc>
      </w:tr>
      <w:tr w:rsidR="00BA5F13" w:rsidRPr="00BA5F13" w14:paraId="06096A0E"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2DED5EB7" w14:textId="77777777" w:rsidR="00BA5F13" w:rsidRPr="00BA5F13" w:rsidRDefault="00BA5F13" w:rsidP="00BA5F13">
            <w:pPr>
              <w:spacing w:after="0" w:line="259" w:lineRule="auto"/>
              <w:ind w:left="0" w:right="0" w:firstLine="0"/>
              <w:jc w:val="left"/>
            </w:pPr>
            <w:r w:rsidRPr="00BA5F13">
              <w:t xml:space="preserve">Car - Flexible Duty Officer </w:t>
            </w:r>
          </w:p>
        </w:tc>
        <w:tc>
          <w:tcPr>
            <w:tcW w:w="1189" w:type="dxa"/>
            <w:tcBorders>
              <w:top w:val="single" w:sz="6" w:space="0" w:color="000000"/>
              <w:left w:val="single" w:sz="6" w:space="0" w:color="000000"/>
              <w:bottom w:val="single" w:sz="6" w:space="0" w:color="000000"/>
              <w:right w:val="single" w:sz="6" w:space="0" w:color="000000"/>
            </w:tcBorders>
          </w:tcPr>
          <w:p w14:paraId="06575505" w14:textId="77777777" w:rsidR="00BA5F13" w:rsidRPr="00BA5F13" w:rsidRDefault="00BA5F13" w:rsidP="00BA5F13">
            <w:pPr>
              <w:spacing w:after="0" w:line="259" w:lineRule="auto"/>
              <w:ind w:left="0" w:right="79" w:firstLine="0"/>
              <w:jc w:val="right"/>
            </w:pPr>
            <w:r w:rsidRPr="00BA5F13">
              <w:t xml:space="preserve">0.224 </w:t>
            </w:r>
          </w:p>
        </w:tc>
        <w:tc>
          <w:tcPr>
            <w:tcW w:w="1180" w:type="dxa"/>
            <w:tcBorders>
              <w:top w:val="single" w:sz="6" w:space="0" w:color="000000"/>
              <w:left w:val="single" w:sz="6" w:space="0" w:color="000000"/>
              <w:bottom w:val="single" w:sz="6" w:space="0" w:color="000000"/>
              <w:right w:val="single" w:sz="6" w:space="0" w:color="000000"/>
            </w:tcBorders>
          </w:tcPr>
          <w:p w14:paraId="5F655FAE" w14:textId="77777777" w:rsidR="00BA5F13" w:rsidRPr="00BA5F13" w:rsidRDefault="00BA5F13" w:rsidP="00BA5F13">
            <w:pPr>
              <w:spacing w:after="0" w:line="259" w:lineRule="auto"/>
              <w:ind w:left="0" w:right="70" w:firstLine="0"/>
              <w:jc w:val="right"/>
            </w:pPr>
            <w:r w:rsidRPr="00BA5F13">
              <w:t xml:space="preserve">0.028 </w:t>
            </w:r>
          </w:p>
        </w:tc>
        <w:tc>
          <w:tcPr>
            <w:tcW w:w="1180" w:type="dxa"/>
            <w:tcBorders>
              <w:top w:val="single" w:sz="6" w:space="0" w:color="000000"/>
              <w:left w:val="single" w:sz="6" w:space="0" w:color="000000"/>
              <w:bottom w:val="single" w:sz="6" w:space="0" w:color="000000"/>
              <w:right w:val="single" w:sz="6" w:space="0" w:color="000000"/>
            </w:tcBorders>
          </w:tcPr>
          <w:p w14:paraId="4F147F43" w14:textId="77777777" w:rsidR="00BA5F13" w:rsidRPr="00BA5F13" w:rsidRDefault="00BA5F13" w:rsidP="00BA5F13">
            <w:pPr>
              <w:spacing w:after="0" w:line="259" w:lineRule="auto"/>
              <w:ind w:left="0" w:right="70" w:firstLine="0"/>
              <w:jc w:val="right"/>
            </w:pPr>
            <w:r w:rsidRPr="00BA5F13">
              <w:t xml:space="preserve">0.083 </w:t>
            </w:r>
          </w:p>
        </w:tc>
        <w:tc>
          <w:tcPr>
            <w:tcW w:w="1195" w:type="dxa"/>
            <w:tcBorders>
              <w:top w:val="single" w:sz="6" w:space="0" w:color="000000"/>
              <w:left w:val="single" w:sz="6" w:space="0" w:color="000000"/>
              <w:bottom w:val="single" w:sz="6" w:space="0" w:color="000000"/>
              <w:right w:val="single" w:sz="6" w:space="0" w:color="000000"/>
            </w:tcBorders>
          </w:tcPr>
          <w:p w14:paraId="6062FA24" w14:textId="77777777" w:rsidR="00BA5F13" w:rsidRPr="00BA5F13" w:rsidRDefault="00BA5F13" w:rsidP="00BA5F13">
            <w:pPr>
              <w:spacing w:after="0" w:line="259" w:lineRule="auto"/>
              <w:ind w:left="0" w:right="85" w:firstLine="0"/>
              <w:jc w:val="right"/>
            </w:pPr>
            <w:r w:rsidRPr="00BA5F13">
              <w:t xml:space="preserve">0.248 </w:t>
            </w:r>
          </w:p>
        </w:tc>
        <w:tc>
          <w:tcPr>
            <w:tcW w:w="1180" w:type="dxa"/>
            <w:tcBorders>
              <w:top w:val="single" w:sz="6" w:space="0" w:color="000000"/>
              <w:left w:val="single" w:sz="6" w:space="0" w:color="000000"/>
              <w:bottom w:val="single" w:sz="6" w:space="0" w:color="000000"/>
              <w:right w:val="single" w:sz="6" w:space="0" w:color="000000"/>
            </w:tcBorders>
          </w:tcPr>
          <w:p w14:paraId="502317E3" w14:textId="77777777" w:rsidR="00BA5F13" w:rsidRPr="00BA5F13" w:rsidRDefault="00BA5F13" w:rsidP="00BA5F13">
            <w:pPr>
              <w:spacing w:after="0" w:line="259" w:lineRule="auto"/>
              <w:ind w:left="0" w:right="70" w:firstLine="0"/>
              <w:jc w:val="right"/>
            </w:pPr>
            <w:r w:rsidRPr="00BA5F13">
              <w:t xml:space="preserve">0.110 </w:t>
            </w:r>
          </w:p>
        </w:tc>
        <w:tc>
          <w:tcPr>
            <w:tcW w:w="1180" w:type="dxa"/>
            <w:tcBorders>
              <w:top w:val="single" w:sz="6" w:space="0" w:color="000000"/>
              <w:left w:val="single" w:sz="6" w:space="0" w:color="000000"/>
              <w:bottom w:val="single" w:sz="6" w:space="0" w:color="000000"/>
              <w:right w:val="single" w:sz="6" w:space="0" w:color="000000"/>
            </w:tcBorders>
          </w:tcPr>
          <w:p w14:paraId="6D582D03" w14:textId="77777777" w:rsidR="00BA5F13" w:rsidRPr="00BA5F13" w:rsidRDefault="00BA5F13" w:rsidP="00BA5F13">
            <w:pPr>
              <w:spacing w:after="0" w:line="259" w:lineRule="auto"/>
              <w:ind w:left="0" w:right="70" w:firstLine="0"/>
              <w:jc w:val="right"/>
            </w:pPr>
            <w:r w:rsidRPr="00BA5F13">
              <w:t xml:space="preserve">0.028 </w:t>
            </w:r>
          </w:p>
        </w:tc>
        <w:tc>
          <w:tcPr>
            <w:tcW w:w="1180" w:type="dxa"/>
            <w:tcBorders>
              <w:top w:val="single" w:sz="6" w:space="0" w:color="000000"/>
              <w:left w:val="single" w:sz="6" w:space="0" w:color="000000"/>
              <w:bottom w:val="single" w:sz="6" w:space="0" w:color="000000"/>
              <w:right w:val="single" w:sz="6" w:space="0" w:color="000000"/>
            </w:tcBorders>
          </w:tcPr>
          <w:p w14:paraId="6AC3CC37" w14:textId="77777777" w:rsidR="00BA5F13" w:rsidRPr="00BA5F13" w:rsidRDefault="00BA5F13" w:rsidP="00BA5F13">
            <w:pPr>
              <w:spacing w:after="0" w:line="259" w:lineRule="auto"/>
              <w:ind w:left="0" w:right="70" w:firstLine="0"/>
              <w:jc w:val="right"/>
            </w:pPr>
            <w:r w:rsidRPr="00BA5F13">
              <w:t xml:space="preserve">0.083 </w:t>
            </w:r>
          </w:p>
        </w:tc>
        <w:tc>
          <w:tcPr>
            <w:tcW w:w="1189" w:type="dxa"/>
            <w:tcBorders>
              <w:top w:val="single" w:sz="6" w:space="0" w:color="000000"/>
              <w:left w:val="single" w:sz="6" w:space="0" w:color="000000"/>
              <w:bottom w:val="single" w:sz="6" w:space="0" w:color="000000"/>
              <w:right w:val="single" w:sz="6" w:space="0" w:color="000000"/>
            </w:tcBorders>
          </w:tcPr>
          <w:p w14:paraId="747E4B32"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C17A89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2AC54CC"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483DCDB5" w14:textId="77777777" w:rsidR="00BA5F13" w:rsidRPr="00BA5F13" w:rsidRDefault="00BA5F13" w:rsidP="00BA5F13">
            <w:pPr>
              <w:spacing w:after="0" w:line="259" w:lineRule="auto"/>
              <w:ind w:left="0" w:right="72" w:firstLine="0"/>
              <w:jc w:val="right"/>
            </w:pPr>
            <w:r w:rsidRPr="00BA5F13">
              <w:t xml:space="preserve">0.802 </w:t>
            </w:r>
          </w:p>
        </w:tc>
      </w:tr>
      <w:tr w:rsidR="00BA5F13" w:rsidRPr="00BA5F13" w14:paraId="0B33DD1A" w14:textId="77777777" w:rsidTr="004C09BE">
        <w:trPr>
          <w:trHeight w:val="286"/>
        </w:trPr>
        <w:tc>
          <w:tcPr>
            <w:tcW w:w="1843" w:type="dxa"/>
            <w:tcBorders>
              <w:top w:val="single" w:sz="6" w:space="0" w:color="000000"/>
              <w:left w:val="single" w:sz="6" w:space="0" w:color="000000"/>
              <w:bottom w:val="single" w:sz="6" w:space="0" w:color="000000"/>
              <w:right w:val="single" w:sz="6" w:space="0" w:color="000000"/>
            </w:tcBorders>
          </w:tcPr>
          <w:p w14:paraId="323651A3" w14:textId="77777777" w:rsidR="00BA5F13" w:rsidRPr="00BA5F13" w:rsidRDefault="00BA5F13" w:rsidP="00BA5F13">
            <w:pPr>
              <w:spacing w:after="0" w:line="259" w:lineRule="auto"/>
              <w:ind w:left="0" w:right="0" w:firstLine="0"/>
              <w:jc w:val="left"/>
            </w:pPr>
            <w:r w:rsidRPr="00BA5F13">
              <w:t xml:space="preserve">People Mover </w:t>
            </w:r>
          </w:p>
        </w:tc>
        <w:tc>
          <w:tcPr>
            <w:tcW w:w="1189" w:type="dxa"/>
            <w:tcBorders>
              <w:top w:val="single" w:sz="6" w:space="0" w:color="000000"/>
              <w:left w:val="single" w:sz="6" w:space="0" w:color="000000"/>
              <w:bottom w:val="single" w:sz="6" w:space="0" w:color="000000"/>
              <w:right w:val="single" w:sz="6" w:space="0" w:color="000000"/>
            </w:tcBorders>
          </w:tcPr>
          <w:p w14:paraId="68E696AE"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12F8173"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6861CBA"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2208E077"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998075A" w14:textId="77777777" w:rsidR="00BA5F13" w:rsidRPr="00BA5F13" w:rsidRDefault="00BA5F13" w:rsidP="00BA5F13">
            <w:pPr>
              <w:spacing w:after="0" w:line="259" w:lineRule="auto"/>
              <w:ind w:left="0" w:right="70" w:firstLine="0"/>
              <w:jc w:val="right"/>
            </w:pPr>
            <w:r w:rsidRPr="00BA5F13">
              <w:t xml:space="preserve">0.091 </w:t>
            </w:r>
          </w:p>
        </w:tc>
        <w:tc>
          <w:tcPr>
            <w:tcW w:w="1180" w:type="dxa"/>
            <w:tcBorders>
              <w:top w:val="single" w:sz="6" w:space="0" w:color="000000"/>
              <w:left w:val="single" w:sz="6" w:space="0" w:color="000000"/>
              <w:bottom w:val="single" w:sz="6" w:space="0" w:color="000000"/>
              <w:right w:val="single" w:sz="6" w:space="0" w:color="000000"/>
            </w:tcBorders>
          </w:tcPr>
          <w:p w14:paraId="685EE488"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B721145"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020D5212"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4123363"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94A354E"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0EEBE81A" w14:textId="77777777" w:rsidR="00BA5F13" w:rsidRPr="00BA5F13" w:rsidRDefault="00BA5F13" w:rsidP="00BA5F13">
            <w:pPr>
              <w:spacing w:after="0" w:line="259" w:lineRule="auto"/>
              <w:ind w:left="0" w:right="72" w:firstLine="0"/>
              <w:jc w:val="right"/>
            </w:pPr>
            <w:r w:rsidRPr="00BA5F13">
              <w:t xml:space="preserve">0.091 </w:t>
            </w:r>
          </w:p>
        </w:tc>
      </w:tr>
      <w:tr w:rsidR="00BA5F13" w:rsidRPr="00BA5F13" w14:paraId="743A1540"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5FB5F600" w14:textId="77777777" w:rsidR="00BA5F13" w:rsidRPr="00BA5F13" w:rsidRDefault="00BA5F13" w:rsidP="00BA5F13">
            <w:pPr>
              <w:spacing w:after="0" w:line="259" w:lineRule="auto"/>
              <w:ind w:left="0" w:right="0" w:firstLine="0"/>
              <w:jc w:val="left"/>
            </w:pPr>
            <w:r w:rsidRPr="00BA5F13">
              <w:t xml:space="preserve">Double Cab Van </w:t>
            </w:r>
          </w:p>
        </w:tc>
        <w:tc>
          <w:tcPr>
            <w:tcW w:w="1189" w:type="dxa"/>
            <w:tcBorders>
              <w:top w:val="single" w:sz="6" w:space="0" w:color="000000"/>
              <w:left w:val="single" w:sz="6" w:space="0" w:color="000000"/>
              <w:bottom w:val="single" w:sz="6" w:space="0" w:color="000000"/>
              <w:right w:val="single" w:sz="6" w:space="0" w:color="000000"/>
            </w:tcBorders>
          </w:tcPr>
          <w:p w14:paraId="62AB49BF" w14:textId="77777777" w:rsidR="00BA5F13" w:rsidRPr="00BA5F13" w:rsidRDefault="00BA5F13" w:rsidP="00BA5F13">
            <w:pPr>
              <w:spacing w:after="0" w:line="259" w:lineRule="auto"/>
              <w:ind w:left="0" w:right="79" w:firstLine="0"/>
              <w:jc w:val="right"/>
            </w:pPr>
            <w:r w:rsidRPr="00BA5F13">
              <w:t xml:space="preserve">0.054 </w:t>
            </w:r>
          </w:p>
        </w:tc>
        <w:tc>
          <w:tcPr>
            <w:tcW w:w="1180" w:type="dxa"/>
            <w:tcBorders>
              <w:top w:val="single" w:sz="6" w:space="0" w:color="000000"/>
              <w:left w:val="single" w:sz="6" w:space="0" w:color="000000"/>
              <w:bottom w:val="single" w:sz="6" w:space="0" w:color="000000"/>
              <w:right w:val="single" w:sz="6" w:space="0" w:color="000000"/>
            </w:tcBorders>
          </w:tcPr>
          <w:p w14:paraId="603905DE" w14:textId="77777777" w:rsidR="00BA5F13" w:rsidRPr="00BA5F13" w:rsidRDefault="00BA5F13" w:rsidP="00BA5F13">
            <w:pPr>
              <w:spacing w:after="0" w:line="259" w:lineRule="auto"/>
              <w:ind w:left="0" w:right="70" w:firstLine="0"/>
              <w:jc w:val="right"/>
            </w:pPr>
            <w:r w:rsidRPr="00BA5F13">
              <w:t xml:space="preserve">0.081 </w:t>
            </w:r>
          </w:p>
        </w:tc>
        <w:tc>
          <w:tcPr>
            <w:tcW w:w="1180" w:type="dxa"/>
            <w:tcBorders>
              <w:top w:val="single" w:sz="6" w:space="0" w:color="000000"/>
              <w:left w:val="single" w:sz="6" w:space="0" w:color="000000"/>
              <w:bottom w:val="single" w:sz="6" w:space="0" w:color="000000"/>
              <w:right w:val="single" w:sz="6" w:space="0" w:color="000000"/>
            </w:tcBorders>
          </w:tcPr>
          <w:p w14:paraId="06A2FB8E"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35992B43" w14:textId="77777777" w:rsidR="00BA5F13" w:rsidRPr="00BA5F13" w:rsidRDefault="00BA5F13" w:rsidP="00BA5F13">
            <w:pPr>
              <w:spacing w:after="0" w:line="259" w:lineRule="auto"/>
              <w:ind w:left="0" w:right="85" w:firstLine="0"/>
              <w:jc w:val="right"/>
            </w:pPr>
            <w:r w:rsidRPr="00BA5F13">
              <w:t xml:space="preserve">0.054 </w:t>
            </w:r>
          </w:p>
        </w:tc>
        <w:tc>
          <w:tcPr>
            <w:tcW w:w="1180" w:type="dxa"/>
            <w:tcBorders>
              <w:top w:val="single" w:sz="6" w:space="0" w:color="000000"/>
              <w:left w:val="single" w:sz="6" w:space="0" w:color="000000"/>
              <w:bottom w:val="single" w:sz="6" w:space="0" w:color="000000"/>
              <w:right w:val="single" w:sz="6" w:space="0" w:color="000000"/>
            </w:tcBorders>
          </w:tcPr>
          <w:p w14:paraId="501D776A" w14:textId="77777777" w:rsidR="00BA5F13" w:rsidRPr="00BA5F13" w:rsidRDefault="00BA5F13" w:rsidP="00BA5F13">
            <w:pPr>
              <w:spacing w:after="0" w:line="259" w:lineRule="auto"/>
              <w:ind w:left="0" w:right="70" w:firstLine="0"/>
              <w:jc w:val="right"/>
            </w:pPr>
            <w:r w:rsidRPr="00BA5F13">
              <w:t xml:space="preserve">0.054 </w:t>
            </w:r>
          </w:p>
        </w:tc>
        <w:tc>
          <w:tcPr>
            <w:tcW w:w="1180" w:type="dxa"/>
            <w:tcBorders>
              <w:top w:val="single" w:sz="6" w:space="0" w:color="000000"/>
              <w:left w:val="single" w:sz="6" w:space="0" w:color="000000"/>
              <w:bottom w:val="single" w:sz="6" w:space="0" w:color="000000"/>
              <w:right w:val="single" w:sz="6" w:space="0" w:color="000000"/>
            </w:tcBorders>
          </w:tcPr>
          <w:p w14:paraId="157B01B1"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AFC9129" w14:textId="77777777" w:rsidR="00BA5F13" w:rsidRPr="00BA5F13" w:rsidRDefault="00BA5F13" w:rsidP="00BA5F13">
            <w:pPr>
              <w:spacing w:after="0" w:line="259" w:lineRule="auto"/>
              <w:ind w:left="0" w:right="70" w:firstLine="0"/>
              <w:jc w:val="right"/>
            </w:pPr>
            <w:r w:rsidRPr="00BA5F13">
              <w:t xml:space="preserve">0.054 </w:t>
            </w:r>
          </w:p>
        </w:tc>
        <w:tc>
          <w:tcPr>
            <w:tcW w:w="1189" w:type="dxa"/>
            <w:tcBorders>
              <w:top w:val="single" w:sz="6" w:space="0" w:color="000000"/>
              <w:left w:val="single" w:sz="6" w:space="0" w:color="000000"/>
              <w:bottom w:val="single" w:sz="6" w:space="0" w:color="000000"/>
              <w:right w:val="single" w:sz="6" w:space="0" w:color="000000"/>
            </w:tcBorders>
          </w:tcPr>
          <w:p w14:paraId="36598BAA"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44FD452"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5912648"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4C765F7D" w14:textId="77777777" w:rsidR="00BA5F13" w:rsidRPr="00BA5F13" w:rsidRDefault="00BA5F13" w:rsidP="00BA5F13">
            <w:pPr>
              <w:spacing w:after="0" w:line="259" w:lineRule="auto"/>
              <w:ind w:left="0" w:right="72" w:firstLine="0"/>
              <w:jc w:val="right"/>
            </w:pPr>
            <w:r w:rsidRPr="00BA5F13">
              <w:t xml:space="preserve">0.297 </w:t>
            </w:r>
          </w:p>
        </w:tc>
      </w:tr>
      <w:tr w:rsidR="00BA5F13" w:rsidRPr="00BA5F13" w14:paraId="7D7818EB" w14:textId="77777777" w:rsidTr="004C09BE">
        <w:trPr>
          <w:trHeight w:val="286"/>
        </w:trPr>
        <w:tc>
          <w:tcPr>
            <w:tcW w:w="1843" w:type="dxa"/>
            <w:tcBorders>
              <w:top w:val="single" w:sz="6" w:space="0" w:color="000000"/>
              <w:left w:val="single" w:sz="6" w:space="0" w:color="000000"/>
              <w:bottom w:val="single" w:sz="6" w:space="0" w:color="000000"/>
              <w:right w:val="single" w:sz="6" w:space="0" w:color="000000"/>
            </w:tcBorders>
          </w:tcPr>
          <w:p w14:paraId="734E2618" w14:textId="77777777" w:rsidR="00BA5F13" w:rsidRPr="00BA5F13" w:rsidRDefault="00BA5F13" w:rsidP="00BA5F13">
            <w:pPr>
              <w:spacing w:after="0" w:line="259" w:lineRule="auto"/>
              <w:ind w:left="0" w:right="0" w:firstLine="0"/>
              <w:jc w:val="left"/>
            </w:pPr>
            <w:r w:rsidRPr="00BA5F13">
              <w:t xml:space="preserve">Lorry </w:t>
            </w:r>
          </w:p>
        </w:tc>
        <w:tc>
          <w:tcPr>
            <w:tcW w:w="1189" w:type="dxa"/>
            <w:tcBorders>
              <w:top w:val="single" w:sz="6" w:space="0" w:color="000000"/>
              <w:left w:val="single" w:sz="6" w:space="0" w:color="000000"/>
              <w:bottom w:val="single" w:sz="6" w:space="0" w:color="000000"/>
              <w:right w:val="single" w:sz="6" w:space="0" w:color="000000"/>
            </w:tcBorders>
          </w:tcPr>
          <w:p w14:paraId="18184BA6" w14:textId="77777777" w:rsidR="00BA5F13" w:rsidRPr="00BA5F13" w:rsidRDefault="00BA5F13" w:rsidP="00BA5F13">
            <w:pPr>
              <w:spacing w:after="0" w:line="259" w:lineRule="auto"/>
              <w:ind w:left="0" w:right="79" w:firstLine="0"/>
              <w:jc w:val="right"/>
            </w:pPr>
            <w:r w:rsidRPr="00BA5F13">
              <w:t xml:space="preserve">0.045 </w:t>
            </w:r>
          </w:p>
        </w:tc>
        <w:tc>
          <w:tcPr>
            <w:tcW w:w="1180" w:type="dxa"/>
            <w:tcBorders>
              <w:top w:val="single" w:sz="6" w:space="0" w:color="000000"/>
              <w:left w:val="single" w:sz="6" w:space="0" w:color="000000"/>
              <w:bottom w:val="single" w:sz="6" w:space="0" w:color="000000"/>
              <w:right w:val="single" w:sz="6" w:space="0" w:color="000000"/>
            </w:tcBorders>
          </w:tcPr>
          <w:p w14:paraId="771AEC8D"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EF1E7D7"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0157FE72"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7C91F00"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9B716B2"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FEE8BE3"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6D793DC2"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F432174"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D674139"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6D3DF8A1" w14:textId="77777777" w:rsidR="00BA5F13" w:rsidRPr="00BA5F13" w:rsidRDefault="00BA5F13" w:rsidP="00BA5F13">
            <w:pPr>
              <w:spacing w:after="0" w:line="259" w:lineRule="auto"/>
              <w:ind w:left="0" w:right="72" w:firstLine="0"/>
              <w:jc w:val="right"/>
            </w:pPr>
            <w:r w:rsidRPr="00BA5F13">
              <w:t xml:space="preserve">0.045 </w:t>
            </w:r>
          </w:p>
        </w:tc>
      </w:tr>
      <w:tr w:rsidR="00BA5F13" w:rsidRPr="00BA5F13" w14:paraId="03AAC451"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0360E6E3" w14:textId="77777777" w:rsidR="00BA5F13" w:rsidRPr="00BA5F13" w:rsidRDefault="00BA5F13" w:rsidP="00BA5F13">
            <w:pPr>
              <w:spacing w:after="0" w:line="259" w:lineRule="auto"/>
              <w:ind w:left="0" w:right="0" w:firstLine="0"/>
              <w:jc w:val="left"/>
            </w:pPr>
            <w:r w:rsidRPr="00BA5F13">
              <w:t xml:space="preserve">Pick up </w:t>
            </w:r>
          </w:p>
        </w:tc>
        <w:tc>
          <w:tcPr>
            <w:tcW w:w="1189" w:type="dxa"/>
            <w:tcBorders>
              <w:top w:val="single" w:sz="6" w:space="0" w:color="000000"/>
              <w:left w:val="single" w:sz="6" w:space="0" w:color="000000"/>
              <w:bottom w:val="single" w:sz="6" w:space="0" w:color="000000"/>
              <w:right w:val="single" w:sz="6" w:space="0" w:color="000000"/>
            </w:tcBorders>
          </w:tcPr>
          <w:p w14:paraId="37863B27"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39812D9"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C17D3D7"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6926C41B"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F3E3A52" w14:textId="77777777" w:rsidR="00BA5F13" w:rsidRPr="00BA5F13" w:rsidRDefault="00BA5F13" w:rsidP="00BA5F13">
            <w:pPr>
              <w:spacing w:after="0" w:line="259" w:lineRule="auto"/>
              <w:ind w:left="0" w:right="70" w:firstLine="0"/>
              <w:jc w:val="right"/>
            </w:pPr>
            <w:r w:rsidRPr="00BA5F13">
              <w:t xml:space="preserve">0.023 </w:t>
            </w:r>
          </w:p>
        </w:tc>
        <w:tc>
          <w:tcPr>
            <w:tcW w:w="1180" w:type="dxa"/>
            <w:tcBorders>
              <w:top w:val="single" w:sz="6" w:space="0" w:color="000000"/>
              <w:left w:val="single" w:sz="6" w:space="0" w:color="000000"/>
              <w:bottom w:val="single" w:sz="6" w:space="0" w:color="000000"/>
              <w:right w:val="single" w:sz="6" w:space="0" w:color="000000"/>
            </w:tcBorders>
          </w:tcPr>
          <w:p w14:paraId="61500E97" w14:textId="77777777" w:rsidR="00BA5F13" w:rsidRPr="00BA5F13" w:rsidRDefault="00BA5F13" w:rsidP="00BA5F13">
            <w:pPr>
              <w:spacing w:after="0" w:line="259" w:lineRule="auto"/>
              <w:ind w:left="0" w:right="70" w:firstLine="0"/>
              <w:jc w:val="right"/>
            </w:pPr>
            <w:r w:rsidRPr="00BA5F13">
              <w:t xml:space="preserve">0.138 </w:t>
            </w:r>
          </w:p>
        </w:tc>
        <w:tc>
          <w:tcPr>
            <w:tcW w:w="1180" w:type="dxa"/>
            <w:tcBorders>
              <w:top w:val="single" w:sz="6" w:space="0" w:color="000000"/>
              <w:left w:val="single" w:sz="6" w:space="0" w:color="000000"/>
              <w:bottom w:val="single" w:sz="6" w:space="0" w:color="000000"/>
              <w:right w:val="single" w:sz="6" w:space="0" w:color="000000"/>
            </w:tcBorders>
          </w:tcPr>
          <w:p w14:paraId="574C968A"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30380440"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007D61A"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7AD8EE4"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584FACF3" w14:textId="77777777" w:rsidR="00BA5F13" w:rsidRPr="00BA5F13" w:rsidRDefault="00BA5F13" w:rsidP="00BA5F13">
            <w:pPr>
              <w:spacing w:after="0" w:line="259" w:lineRule="auto"/>
              <w:ind w:left="0" w:right="72" w:firstLine="0"/>
              <w:jc w:val="right"/>
            </w:pPr>
            <w:r w:rsidRPr="00BA5F13">
              <w:t xml:space="preserve">0.161 </w:t>
            </w:r>
          </w:p>
        </w:tc>
      </w:tr>
      <w:tr w:rsidR="00BA5F13" w:rsidRPr="00BA5F13" w14:paraId="41F12810" w14:textId="77777777" w:rsidTr="004C09BE">
        <w:trPr>
          <w:trHeight w:val="286"/>
        </w:trPr>
        <w:tc>
          <w:tcPr>
            <w:tcW w:w="1843" w:type="dxa"/>
            <w:tcBorders>
              <w:top w:val="single" w:sz="6" w:space="0" w:color="000000"/>
              <w:left w:val="single" w:sz="6" w:space="0" w:color="000000"/>
              <w:bottom w:val="single" w:sz="6" w:space="0" w:color="000000"/>
              <w:right w:val="single" w:sz="6" w:space="0" w:color="000000"/>
            </w:tcBorders>
          </w:tcPr>
          <w:p w14:paraId="493A0954" w14:textId="77777777" w:rsidR="00BA5F13" w:rsidRPr="00BA5F13" w:rsidRDefault="00BA5F13" w:rsidP="00BA5F13">
            <w:pPr>
              <w:spacing w:after="0" w:line="259" w:lineRule="auto"/>
              <w:ind w:left="0" w:right="0" w:firstLine="0"/>
              <w:jc w:val="left"/>
            </w:pPr>
            <w:r w:rsidRPr="00BA5F13">
              <w:t xml:space="preserve">Telehandler </w:t>
            </w:r>
          </w:p>
        </w:tc>
        <w:tc>
          <w:tcPr>
            <w:tcW w:w="1189" w:type="dxa"/>
            <w:tcBorders>
              <w:top w:val="single" w:sz="6" w:space="0" w:color="000000"/>
              <w:left w:val="single" w:sz="6" w:space="0" w:color="000000"/>
              <w:bottom w:val="single" w:sz="6" w:space="0" w:color="000000"/>
              <w:right w:val="single" w:sz="6" w:space="0" w:color="000000"/>
            </w:tcBorders>
          </w:tcPr>
          <w:p w14:paraId="5284B44E"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805F78A"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7F655DB" w14:textId="77777777" w:rsidR="00BA5F13" w:rsidRPr="00BA5F13" w:rsidRDefault="00BA5F13" w:rsidP="00BA5F13">
            <w:pPr>
              <w:spacing w:after="0" w:line="259" w:lineRule="auto"/>
              <w:ind w:left="0" w:right="70" w:firstLine="0"/>
              <w:jc w:val="right"/>
            </w:pPr>
            <w:r w:rsidRPr="00BA5F13">
              <w:t xml:space="preserve">0.045 </w:t>
            </w:r>
          </w:p>
        </w:tc>
        <w:tc>
          <w:tcPr>
            <w:tcW w:w="1195" w:type="dxa"/>
            <w:tcBorders>
              <w:top w:val="single" w:sz="6" w:space="0" w:color="000000"/>
              <w:left w:val="single" w:sz="6" w:space="0" w:color="000000"/>
              <w:bottom w:val="single" w:sz="6" w:space="0" w:color="000000"/>
              <w:right w:val="single" w:sz="6" w:space="0" w:color="000000"/>
            </w:tcBorders>
          </w:tcPr>
          <w:p w14:paraId="30487B8A"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7B833D3"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0A90590"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F472BF9"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386EADF3"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914097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0BCBB74"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43703013" w14:textId="77777777" w:rsidR="00BA5F13" w:rsidRPr="00BA5F13" w:rsidRDefault="00BA5F13" w:rsidP="00BA5F13">
            <w:pPr>
              <w:spacing w:after="0" w:line="259" w:lineRule="auto"/>
              <w:ind w:left="0" w:right="72" w:firstLine="0"/>
              <w:jc w:val="right"/>
            </w:pPr>
            <w:r w:rsidRPr="00BA5F13">
              <w:t xml:space="preserve">0.045 </w:t>
            </w:r>
          </w:p>
        </w:tc>
      </w:tr>
      <w:tr w:rsidR="00BA5F13" w:rsidRPr="00BA5F13" w14:paraId="65BECEFF"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5B9ABB83" w14:textId="77777777" w:rsidR="00BA5F13" w:rsidRPr="00BA5F13" w:rsidRDefault="00BA5F13" w:rsidP="00BA5F13">
            <w:pPr>
              <w:spacing w:after="0" w:line="259" w:lineRule="auto"/>
              <w:ind w:left="0" w:right="0" w:firstLine="0"/>
              <w:jc w:val="left"/>
            </w:pPr>
            <w:r w:rsidRPr="00BA5F13">
              <w:t xml:space="preserve">Rescue Team Van </w:t>
            </w:r>
          </w:p>
        </w:tc>
        <w:tc>
          <w:tcPr>
            <w:tcW w:w="1189" w:type="dxa"/>
            <w:tcBorders>
              <w:top w:val="single" w:sz="6" w:space="0" w:color="000000"/>
              <w:left w:val="single" w:sz="6" w:space="0" w:color="000000"/>
              <w:bottom w:val="single" w:sz="6" w:space="0" w:color="000000"/>
              <w:right w:val="single" w:sz="6" w:space="0" w:color="000000"/>
            </w:tcBorders>
          </w:tcPr>
          <w:p w14:paraId="5A18784A" w14:textId="77777777" w:rsidR="00BA5F13" w:rsidRPr="00BA5F13" w:rsidRDefault="00BA5F13" w:rsidP="00BA5F13">
            <w:pPr>
              <w:spacing w:after="0" w:line="259" w:lineRule="auto"/>
              <w:ind w:left="0" w:right="79" w:firstLine="0"/>
              <w:jc w:val="right"/>
            </w:pPr>
            <w:r w:rsidRPr="00BA5F13">
              <w:t xml:space="preserve">0.123 </w:t>
            </w:r>
          </w:p>
        </w:tc>
        <w:tc>
          <w:tcPr>
            <w:tcW w:w="1180" w:type="dxa"/>
            <w:tcBorders>
              <w:top w:val="single" w:sz="6" w:space="0" w:color="000000"/>
              <w:left w:val="single" w:sz="6" w:space="0" w:color="000000"/>
              <w:bottom w:val="single" w:sz="6" w:space="0" w:color="000000"/>
              <w:right w:val="single" w:sz="6" w:space="0" w:color="000000"/>
            </w:tcBorders>
          </w:tcPr>
          <w:p w14:paraId="77CB97B4"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887D903"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6E9D3568"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016D783"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7567277"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A7209B6" w14:textId="77777777" w:rsidR="00BA5F13" w:rsidRPr="00BA5F13" w:rsidRDefault="00BA5F13" w:rsidP="00BA5F13">
            <w:pPr>
              <w:spacing w:after="0" w:line="259" w:lineRule="auto"/>
              <w:ind w:left="0" w:right="70" w:firstLine="0"/>
              <w:jc w:val="right"/>
            </w:pPr>
            <w:r w:rsidRPr="00BA5F13">
              <w:t xml:space="preserve">0.114 </w:t>
            </w:r>
          </w:p>
        </w:tc>
        <w:tc>
          <w:tcPr>
            <w:tcW w:w="1189" w:type="dxa"/>
            <w:tcBorders>
              <w:top w:val="single" w:sz="6" w:space="0" w:color="000000"/>
              <w:left w:val="single" w:sz="6" w:space="0" w:color="000000"/>
              <w:bottom w:val="single" w:sz="6" w:space="0" w:color="000000"/>
              <w:right w:val="single" w:sz="6" w:space="0" w:color="000000"/>
            </w:tcBorders>
          </w:tcPr>
          <w:p w14:paraId="43EB53B9"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5F7BA6C"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BB78F62"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4C048DC0" w14:textId="77777777" w:rsidR="00BA5F13" w:rsidRPr="00BA5F13" w:rsidRDefault="00BA5F13" w:rsidP="00BA5F13">
            <w:pPr>
              <w:spacing w:after="0" w:line="259" w:lineRule="auto"/>
              <w:ind w:left="0" w:right="72" w:firstLine="0"/>
              <w:jc w:val="right"/>
            </w:pPr>
            <w:r w:rsidRPr="00BA5F13">
              <w:t xml:space="preserve">0.237 </w:t>
            </w:r>
          </w:p>
        </w:tc>
      </w:tr>
      <w:tr w:rsidR="00BA5F13" w:rsidRPr="00BA5F13" w14:paraId="1FAAE22F"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6417FB14" w14:textId="77777777" w:rsidR="00BA5F13" w:rsidRPr="00BA5F13" w:rsidRDefault="00BA5F13" w:rsidP="00BA5F13">
            <w:pPr>
              <w:spacing w:after="0" w:line="259" w:lineRule="auto"/>
              <w:ind w:left="0" w:right="0" w:firstLine="0"/>
              <w:jc w:val="left"/>
            </w:pPr>
            <w:proofErr w:type="gramStart"/>
            <w:r w:rsidRPr="00BA5F13">
              <w:t>Mini bus</w:t>
            </w:r>
            <w:proofErr w:type="gramEnd"/>
            <w:r w:rsidRPr="00BA5F13">
              <w:t xml:space="preserve"> </w:t>
            </w:r>
          </w:p>
        </w:tc>
        <w:tc>
          <w:tcPr>
            <w:tcW w:w="1189" w:type="dxa"/>
            <w:tcBorders>
              <w:top w:val="single" w:sz="6" w:space="0" w:color="000000"/>
              <w:left w:val="single" w:sz="6" w:space="0" w:color="000000"/>
              <w:bottom w:val="single" w:sz="6" w:space="0" w:color="000000"/>
              <w:right w:val="single" w:sz="6" w:space="0" w:color="000000"/>
            </w:tcBorders>
          </w:tcPr>
          <w:p w14:paraId="0708246E"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E6A5498"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03C33BF"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1099E8C7"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B83CB38" w14:textId="77777777" w:rsidR="00BA5F13" w:rsidRPr="00BA5F13" w:rsidRDefault="00BA5F13" w:rsidP="00BA5F13">
            <w:pPr>
              <w:spacing w:after="0" w:line="259" w:lineRule="auto"/>
              <w:ind w:left="0" w:right="70" w:firstLine="0"/>
              <w:jc w:val="right"/>
            </w:pPr>
            <w:r w:rsidRPr="00BA5F13">
              <w:t xml:space="preserve">0.028 </w:t>
            </w:r>
          </w:p>
        </w:tc>
        <w:tc>
          <w:tcPr>
            <w:tcW w:w="1180" w:type="dxa"/>
            <w:tcBorders>
              <w:top w:val="single" w:sz="6" w:space="0" w:color="000000"/>
              <w:left w:val="single" w:sz="6" w:space="0" w:color="000000"/>
              <w:bottom w:val="single" w:sz="6" w:space="0" w:color="000000"/>
              <w:right w:val="single" w:sz="6" w:space="0" w:color="000000"/>
            </w:tcBorders>
          </w:tcPr>
          <w:p w14:paraId="0A1814A4"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8DC7D44"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1DBE818E"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07CF4FC"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4CF3D91"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5D79AB3B" w14:textId="77777777" w:rsidR="00BA5F13" w:rsidRPr="00BA5F13" w:rsidRDefault="00BA5F13" w:rsidP="00BA5F13">
            <w:pPr>
              <w:spacing w:after="0" w:line="259" w:lineRule="auto"/>
              <w:ind w:left="0" w:right="72" w:firstLine="0"/>
              <w:jc w:val="right"/>
            </w:pPr>
            <w:r w:rsidRPr="00BA5F13">
              <w:t xml:space="preserve">0.028 </w:t>
            </w:r>
          </w:p>
        </w:tc>
      </w:tr>
      <w:tr w:rsidR="00BA5F13" w:rsidRPr="00BA5F13" w14:paraId="35421602"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79B3E030" w14:textId="77777777" w:rsidR="00BA5F13" w:rsidRPr="00BA5F13" w:rsidRDefault="00BA5F13" w:rsidP="00BA5F13">
            <w:pPr>
              <w:spacing w:after="0" w:line="259" w:lineRule="auto"/>
              <w:ind w:left="0" w:right="0" w:firstLine="0"/>
              <w:jc w:val="left"/>
            </w:pPr>
            <w:r w:rsidRPr="00BA5F13">
              <w:t xml:space="preserve">Van - Catering Unit </w:t>
            </w:r>
          </w:p>
        </w:tc>
        <w:tc>
          <w:tcPr>
            <w:tcW w:w="1189" w:type="dxa"/>
            <w:tcBorders>
              <w:top w:val="single" w:sz="6" w:space="0" w:color="000000"/>
              <w:left w:val="single" w:sz="6" w:space="0" w:color="000000"/>
              <w:bottom w:val="single" w:sz="6" w:space="0" w:color="000000"/>
              <w:right w:val="single" w:sz="6" w:space="0" w:color="000000"/>
            </w:tcBorders>
          </w:tcPr>
          <w:p w14:paraId="04AC9DB5"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D2ADD6D"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07D930A" w14:textId="77777777" w:rsidR="00BA5F13" w:rsidRPr="00BA5F13" w:rsidRDefault="00BA5F13" w:rsidP="00BA5F13">
            <w:pPr>
              <w:spacing w:after="0" w:line="259" w:lineRule="auto"/>
              <w:ind w:left="0" w:right="70" w:firstLine="0"/>
              <w:jc w:val="right"/>
            </w:pPr>
            <w:r w:rsidRPr="00BA5F13">
              <w:t xml:space="preserve">0.030 </w:t>
            </w:r>
          </w:p>
        </w:tc>
        <w:tc>
          <w:tcPr>
            <w:tcW w:w="1195" w:type="dxa"/>
            <w:tcBorders>
              <w:top w:val="single" w:sz="6" w:space="0" w:color="000000"/>
              <w:left w:val="single" w:sz="6" w:space="0" w:color="000000"/>
              <w:bottom w:val="single" w:sz="6" w:space="0" w:color="000000"/>
              <w:right w:val="single" w:sz="6" w:space="0" w:color="000000"/>
            </w:tcBorders>
          </w:tcPr>
          <w:p w14:paraId="0C7EA49A"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17D63BC"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268218C"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FDBFA9D"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552A0B29"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8FB1197"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2DEA4B2"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12612E83" w14:textId="77777777" w:rsidR="00BA5F13" w:rsidRPr="00BA5F13" w:rsidRDefault="00BA5F13" w:rsidP="00BA5F13">
            <w:pPr>
              <w:spacing w:after="0" w:line="259" w:lineRule="auto"/>
              <w:ind w:left="0" w:right="72" w:firstLine="0"/>
              <w:jc w:val="right"/>
            </w:pPr>
            <w:r w:rsidRPr="00BA5F13">
              <w:t xml:space="preserve">0.030 </w:t>
            </w:r>
          </w:p>
        </w:tc>
      </w:tr>
      <w:tr w:rsidR="00BA5F13" w:rsidRPr="00BA5F13" w14:paraId="4B2FD5B0"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435309F7" w14:textId="77777777" w:rsidR="00BA5F13" w:rsidRPr="00BA5F13" w:rsidRDefault="00BA5F13" w:rsidP="00BA5F13">
            <w:pPr>
              <w:spacing w:after="0" w:line="259" w:lineRule="auto"/>
              <w:ind w:left="0" w:right="0" w:firstLine="0"/>
              <w:jc w:val="left"/>
            </w:pPr>
            <w:r w:rsidRPr="00BA5F13">
              <w:t xml:space="preserve">Van - Dog Unit </w:t>
            </w:r>
          </w:p>
        </w:tc>
        <w:tc>
          <w:tcPr>
            <w:tcW w:w="1189" w:type="dxa"/>
            <w:tcBorders>
              <w:top w:val="single" w:sz="6" w:space="0" w:color="000000"/>
              <w:left w:val="single" w:sz="6" w:space="0" w:color="000000"/>
              <w:bottom w:val="single" w:sz="6" w:space="0" w:color="000000"/>
              <w:right w:val="single" w:sz="6" w:space="0" w:color="000000"/>
            </w:tcBorders>
          </w:tcPr>
          <w:p w14:paraId="63B22E42"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5A57889" w14:textId="77777777" w:rsidR="00BA5F13" w:rsidRPr="00BA5F13" w:rsidRDefault="00BA5F13" w:rsidP="00BA5F13">
            <w:pPr>
              <w:spacing w:after="0" w:line="259" w:lineRule="auto"/>
              <w:ind w:left="0" w:right="70" w:firstLine="0"/>
              <w:jc w:val="right"/>
            </w:pPr>
            <w:r w:rsidRPr="00BA5F13">
              <w:t xml:space="preserve">0.055 </w:t>
            </w:r>
          </w:p>
        </w:tc>
        <w:tc>
          <w:tcPr>
            <w:tcW w:w="1180" w:type="dxa"/>
            <w:tcBorders>
              <w:top w:val="single" w:sz="6" w:space="0" w:color="000000"/>
              <w:left w:val="single" w:sz="6" w:space="0" w:color="000000"/>
              <w:bottom w:val="single" w:sz="6" w:space="0" w:color="000000"/>
              <w:right w:val="single" w:sz="6" w:space="0" w:color="000000"/>
            </w:tcBorders>
          </w:tcPr>
          <w:p w14:paraId="780E0272"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4C80D815"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5EE8376"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A35F393"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2CE2099"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68C57162"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99BBAB4"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6568020"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1F7E4BD4" w14:textId="77777777" w:rsidR="00BA5F13" w:rsidRPr="00BA5F13" w:rsidRDefault="00BA5F13" w:rsidP="00BA5F13">
            <w:pPr>
              <w:spacing w:after="0" w:line="259" w:lineRule="auto"/>
              <w:ind w:left="0" w:right="72" w:firstLine="0"/>
              <w:jc w:val="right"/>
            </w:pPr>
            <w:r w:rsidRPr="00BA5F13">
              <w:t xml:space="preserve">0.055 </w:t>
            </w:r>
          </w:p>
        </w:tc>
      </w:tr>
      <w:tr w:rsidR="00BA5F13" w:rsidRPr="00BA5F13" w14:paraId="135EEAED" w14:textId="77777777" w:rsidTr="004C09BE">
        <w:trPr>
          <w:trHeight w:val="285"/>
        </w:trPr>
        <w:tc>
          <w:tcPr>
            <w:tcW w:w="1843" w:type="dxa"/>
            <w:tcBorders>
              <w:top w:val="single" w:sz="6" w:space="0" w:color="000000"/>
              <w:left w:val="single" w:sz="6" w:space="0" w:color="000000"/>
              <w:bottom w:val="single" w:sz="6" w:space="0" w:color="000000"/>
              <w:right w:val="single" w:sz="6" w:space="0" w:color="000000"/>
            </w:tcBorders>
          </w:tcPr>
          <w:p w14:paraId="05259A55" w14:textId="77777777" w:rsidR="00BA5F13" w:rsidRPr="00BA5F13" w:rsidRDefault="00BA5F13" w:rsidP="00BA5F13">
            <w:pPr>
              <w:spacing w:after="0" w:line="259" w:lineRule="auto"/>
              <w:ind w:left="0" w:right="0" w:firstLine="0"/>
              <w:jc w:val="left"/>
            </w:pPr>
            <w:r w:rsidRPr="00BA5F13">
              <w:lastRenderedPageBreak/>
              <w:t xml:space="preserve">Van - Large </w:t>
            </w:r>
          </w:p>
        </w:tc>
        <w:tc>
          <w:tcPr>
            <w:tcW w:w="1189" w:type="dxa"/>
            <w:tcBorders>
              <w:top w:val="single" w:sz="6" w:space="0" w:color="000000"/>
              <w:left w:val="single" w:sz="6" w:space="0" w:color="000000"/>
              <w:bottom w:val="single" w:sz="6" w:space="0" w:color="000000"/>
              <w:right w:val="single" w:sz="6" w:space="0" w:color="000000"/>
            </w:tcBorders>
          </w:tcPr>
          <w:p w14:paraId="0E9E56BE"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B7282C6" w14:textId="77777777" w:rsidR="00BA5F13" w:rsidRPr="00BA5F13" w:rsidRDefault="00BA5F13" w:rsidP="00BA5F13">
            <w:pPr>
              <w:spacing w:after="0" w:line="259" w:lineRule="auto"/>
              <w:ind w:left="0" w:right="70" w:firstLine="0"/>
              <w:jc w:val="right"/>
            </w:pPr>
            <w:r w:rsidRPr="00BA5F13">
              <w:t xml:space="preserve">0.034 </w:t>
            </w:r>
          </w:p>
        </w:tc>
        <w:tc>
          <w:tcPr>
            <w:tcW w:w="1180" w:type="dxa"/>
            <w:tcBorders>
              <w:top w:val="single" w:sz="6" w:space="0" w:color="000000"/>
              <w:left w:val="single" w:sz="6" w:space="0" w:color="000000"/>
              <w:bottom w:val="single" w:sz="6" w:space="0" w:color="000000"/>
              <w:right w:val="single" w:sz="6" w:space="0" w:color="000000"/>
            </w:tcBorders>
          </w:tcPr>
          <w:p w14:paraId="230FD846" w14:textId="77777777" w:rsidR="00BA5F13" w:rsidRPr="00BA5F13" w:rsidRDefault="00BA5F13" w:rsidP="00BA5F13">
            <w:pPr>
              <w:spacing w:after="0" w:line="259" w:lineRule="auto"/>
              <w:ind w:left="0" w:right="70" w:firstLine="0"/>
              <w:jc w:val="right"/>
            </w:pPr>
            <w:r w:rsidRPr="00BA5F13">
              <w:t xml:space="preserve">0.034 </w:t>
            </w:r>
          </w:p>
        </w:tc>
        <w:tc>
          <w:tcPr>
            <w:tcW w:w="1195" w:type="dxa"/>
            <w:tcBorders>
              <w:top w:val="single" w:sz="6" w:space="0" w:color="000000"/>
              <w:left w:val="single" w:sz="6" w:space="0" w:color="000000"/>
              <w:bottom w:val="single" w:sz="6" w:space="0" w:color="000000"/>
              <w:right w:val="single" w:sz="6" w:space="0" w:color="000000"/>
            </w:tcBorders>
          </w:tcPr>
          <w:p w14:paraId="31E8B01A" w14:textId="77777777" w:rsidR="00BA5F13" w:rsidRPr="00BA5F13" w:rsidRDefault="00BA5F13" w:rsidP="00BA5F13">
            <w:pPr>
              <w:spacing w:after="0" w:line="259" w:lineRule="auto"/>
              <w:ind w:left="0" w:right="85" w:firstLine="0"/>
              <w:jc w:val="right"/>
            </w:pPr>
            <w:r w:rsidRPr="00BA5F13">
              <w:t xml:space="preserve">0.034 </w:t>
            </w:r>
          </w:p>
        </w:tc>
        <w:tc>
          <w:tcPr>
            <w:tcW w:w="1180" w:type="dxa"/>
            <w:tcBorders>
              <w:top w:val="single" w:sz="6" w:space="0" w:color="000000"/>
              <w:left w:val="single" w:sz="6" w:space="0" w:color="000000"/>
              <w:bottom w:val="single" w:sz="6" w:space="0" w:color="000000"/>
              <w:right w:val="single" w:sz="6" w:space="0" w:color="000000"/>
            </w:tcBorders>
          </w:tcPr>
          <w:p w14:paraId="46B8918A" w14:textId="77777777" w:rsidR="00BA5F13" w:rsidRPr="00BA5F13" w:rsidRDefault="00BA5F13" w:rsidP="00BA5F13">
            <w:pPr>
              <w:spacing w:after="0" w:line="259" w:lineRule="auto"/>
              <w:ind w:left="0" w:right="70" w:firstLine="0"/>
              <w:jc w:val="right"/>
            </w:pPr>
            <w:r w:rsidRPr="00BA5F13">
              <w:t xml:space="preserve">0.067 </w:t>
            </w:r>
          </w:p>
        </w:tc>
        <w:tc>
          <w:tcPr>
            <w:tcW w:w="1180" w:type="dxa"/>
            <w:tcBorders>
              <w:top w:val="single" w:sz="6" w:space="0" w:color="000000"/>
              <w:left w:val="single" w:sz="6" w:space="0" w:color="000000"/>
              <w:bottom w:val="single" w:sz="6" w:space="0" w:color="000000"/>
              <w:right w:val="single" w:sz="6" w:space="0" w:color="000000"/>
            </w:tcBorders>
          </w:tcPr>
          <w:p w14:paraId="31B42889" w14:textId="77777777" w:rsidR="00BA5F13" w:rsidRPr="00BA5F13" w:rsidRDefault="00BA5F13" w:rsidP="00BA5F13">
            <w:pPr>
              <w:spacing w:after="0" w:line="259" w:lineRule="auto"/>
              <w:ind w:left="0" w:right="70" w:firstLine="0"/>
              <w:jc w:val="right"/>
            </w:pPr>
            <w:r w:rsidRPr="00BA5F13">
              <w:t xml:space="preserve">0.067 </w:t>
            </w:r>
          </w:p>
        </w:tc>
        <w:tc>
          <w:tcPr>
            <w:tcW w:w="1180" w:type="dxa"/>
            <w:tcBorders>
              <w:top w:val="single" w:sz="6" w:space="0" w:color="000000"/>
              <w:left w:val="single" w:sz="6" w:space="0" w:color="000000"/>
              <w:bottom w:val="single" w:sz="6" w:space="0" w:color="000000"/>
              <w:right w:val="single" w:sz="6" w:space="0" w:color="000000"/>
            </w:tcBorders>
          </w:tcPr>
          <w:p w14:paraId="6783DB98" w14:textId="77777777" w:rsidR="00BA5F13" w:rsidRPr="00BA5F13" w:rsidRDefault="00BA5F13" w:rsidP="00BA5F13">
            <w:pPr>
              <w:spacing w:after="0" w:line="259" w:lineRule="auto"/>
              <w:ind w:left="0" w:right="70" w:firstLine="0"/>
              <w:jc w:val="right"/>
            </w:pPr>
            <w:r w:rsidRPr="00BA5F13">
              <w:t xml:space="preserve">0.067 </w:t>
            </w:r>
          </w:p>
        </w:tc>
        <w:tc>
          <w:tcPr>
            <w:tcW w:w="1189" w:type="dxa"/>
            <w:tcBorders>
              <w:top w:val="single" w:sz="6" w:space="0" w:color="000000"/>
              <w:left w:val="single" w:sz="6" w:space="0" w:color="000000"/>
              <w:bottom w:val="single" w:sz="6" w:space="0" w:color="000000"/>
              <w:right w:val="single" w:sz="6" w:space="0" w:color="000000"/>
            </w:tcBorders>
          </w:tcPr>
          <w:p w14:paraId="488C4F87"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9D3CACE"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D1815BA"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0006790F" w14:textId="77777777" w:rsidR="00BA5F13" w:rsidRPr="00BA5F13" w:rsidRDefault="00BA5F13" w:rsidP="00BA5F13">
            <w:pPr>
              <w:spacing w:after="0" w:line="259" w:lineRule="auto"/>
              <w:ind w:left="0" w:right="72" w:firstLine="0"/>
              <w:jc w:val="right"/>
            </w:pPr>
            <w:r w:rsidRPr="00BA5F13">
              <w:t xml:space="preserve">0.302 </w:t>
            </w:r>
          </w:p>
        </w:tc>
      </w:tr>
      <w:tr w:rsidR="00BA5F13" w:rsidRPr="00BA5F13" w14:paraId="3EA876BE" w14:textId="77777777" w:rsidTr="004C09BE">
        <w:trPr>
          <w:trHeight w:val="287"/>
        </w:trPr>
        <w:tc>
          <w:tcPr>
            <w:tcW w:w="1843" w:type="dxa"/>
            <w:tcBorders>
              <w:top w:val="single" w:sz="6" w:space="0" w:color="000000"/>
              <w:left w:val="single" w:sz="6" w:space="0" w:color="000000"/>
              <w:bottom w:val="single" w:sz="6" w:space="0" w:color="000000"/>
              <w:right w:val="single" w:sz="6" w:space="0" w:color="000000"/>
            </w:tcBorders>
          </w:tcPr>
          <w:p w14:paraId="3B673B99" w14:textId="77777777" w:rsidR="00BA5F13" w:rsidRPr="00BA5F13" w:rsidRDefault="00BA5F13" w:rsidP="00BA5F13">
            <w:pPr>
              <w:spacing w:after="0" w:line="259" w:lineRule="auto"/>
              <w:ind w:left="0" w:right="0" w:firstLine="0"/>
              <w:jc w:val="left"/>
            </w:pPr>
            <w:r w:rsidRPr="00BA5F13">
              <w:t>Van - Small</w:t>
            </w:r>
            <w:r w:rsidRPr="00BA5F13">
              <w:rPr>
                <w:b/>
              </w:rPr>
              <w:t xml:space="preserve"> </w:t>
            </w:r>
          </w:p>
        </w:tc>
        <w:tc>
          <w:tcPr>
            <w:tcW w:w="1189" w:type="dxa"/>
            <w:tcBorders>
              <w:top w:val="single" w:sz="6" w:space="0" w:color="000000"/>
              <w:left w:val="single" w:sz="6" w:space="0" w:color="000000"/>
              <w:bottom w:val="single" w:sz="6" w:space="0" w:color="000000"/>
              <w:right w:val="single" w:sz="6" w:space="0" w:color="000000"/>
            </w:tcBorders>
          </w:tcPr>
          <w:p w14:paraId="0266383E"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68853C1"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701D38E"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7C1DC127" w14:textId="77777777" w:rsidR="00BA5F13" w:rsidRPr="00BA5F13" w:rsidRDefault="00BA5F13" w:rsidP="00BA5F13">
            <w:pPr>
              <w:spacing w:after="0" w:line="259" w:lineRule="auto"/>
              <w:ind w:left="0" w:right="85" w:firstLine="0"/>
              <w:jc w:val="right"/>
            </w:pPr>
            <w:r w:rsidRPr="00BA5F13">
              <w:t>0.023</w:t>
            </w:r>
            <w:r w:rsidRPr="00BA5F13">
              <w:rPr>
                <w:b/>
              </w:rPr>
              <w:t xml:space="preserve"> </w:t>
            </w:r>
          </w:p>
        </w:tc>
        <w:tc>
          <w:tcPr>
            <w:tcW w:w="1180" w:type="dxa"/>
            <w:tcBorders>
              <w:top w:val="single" w:sz="6" w:space="0" w:color="000000"/>
              <w:left w:val="single" w:sz="6" w:space="0" w:color="000000"/>
              <w:bottom w:val="single" w:sz="6" w:space="0" w:color="000000"/>
              <w:right w:val="single" w:sz="6" w:space="0" w:color="000000"/>
            </w:tcBorders>
          </w:tcPr>
          <w:p w14:paraId="1C87FBD1" w14:textId="77777777" w:rsidR="00BA5F13" w:rsidRPr="00BA5F13" w:rsidRDefault="00BA5F13" w:rsidP="00BA5F13">
            <w:pPr>
              <w:spacing w:after="0" w:line="259" w:lineRule="auto"/>
              <w:ind w:left="0" w:right="70" w:firstLine="0"/>
              <w:jc w:val="right"/>
            </w:pPr>
            <w:r w:rsidRPr="00BA5F13">
              <w:t>0.023</w:t>
            </w:r>
            <w:r w:rsidRPr="00BA5F13">
              <w:rPr>
                <w:b/>
              </w:rPr>
              <w:t xml:space="preserve"> </w:t>
            </w:r>
          </w:p>
        </w:tc>
        <w:tc>
          <w:tcPr>
            <w:tcW w:w="1180" w:type="dxa"/>
            <w:tcBorders>
              <w:top w:val="single" w:sz="6" w:space="0" w:color="000000"/>
              <w:left w:val="single" w:sz="6" w:space="0" w:color="000000"/>
              <w:bottom w:val="single" w:sz="6" w:space="0" w:color="000000"/>
              <w:right w:val="single" w:sz="6" w:space="0" w:color="000000"/>
            </w:tcBorders>
          </w:tcPr>
          <w:p w14:paraId="27D44423"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546C9EF"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57BD99C8"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FC18432"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DF93346"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3C30FEB7" w14:textId="77777777" w:rsidR="00BA5F13" w:rsidRPr="00BA5F13" w:rsidRDefault="00BA5F13" w:rsidP="00BA5F13">
            <w:pPr>
              <w:spacing w:after="0" w:line="259" w:lineRule="auto"/>
              <w:ind w:left="0" w:right="72" w:firstLine="0"/>
              <w:jc w:val="right"/>
            </w:pPr>
            <w:r w:rsidRPr="00BA5F13">
              <w:t>0.045</w:t>
            </w:r>
            <w:r w:rsidRPr="00BA5F13">
              <w:rPr>
                <w:b/>
              </w:rPr>
              <w:t xml:space="preserve"> </w:t>
            </w:r>
          </w:p>
        </w:tc>
      </w:tr>
      <w:tr w:rsidR="00BA5F13" w:rsidRPr="00BA5F13" w14:paraId="129F7844" w14:textId="77777777" w:rsidTr="004C09BE">
        <w:trPr>
          <w:trHeight w:val="282"/>
        </w:trPr>
        <w:tc>
          <w:tcPr>
            <w:tcW w:w="1843" w:type="dxa"/>
            <w:tcBorders>
              <w:top w:val="single" w:sz="6" w:space="0" w:color="000000"/>
              <w:left w:val="single" w:sz="6" w:space="0" w:color="000000"/>
              <w:bottom w:val="single" w:sz="6" w:space="0" w:color="000000"/>
              <w:right w:val="single" w:sz="6" w:space="0" w:color="000000"/>
            </w:tcBorders>
          </w:tcPr>
          <w:p w14:paraId="5FE01CB5" w14:textId="77777777" w:rsidR="00BA5F13" w:rsidRPr="00BA5F13" w:rsidRDefault="00BA5F13" w:rsidP="00BA5F13">
            <w:pPr>
              <w:spacing w:after="0" w:line="259" w:lineRule="auto"/>
              <w:ind w:left="0" w:right="0" w:firstLine="0"/>
              <w:jc w:val="left"/>
            </w:pPr>
            <w:r w:rsidRPr="00BA5F13">
              <w:rPr>
                <w:b/>
              </w:rPr>
              <w:t xml:space="preserve">Subtotal </w:t>
            </w:r>
          </w:p>
        </w:tc>
        <w:tc>
          <w:tcPr>
            <w:tcW w:w="1189" w:type="dxa"/>
            <w:tcBorders>
              <w:top w:val="single" w:sz="6" w:space="0" w:color="000000"/>
              <w:left w:val="single" w:sz="6" w:space="0" w:color="000000"/>
              <w:bottom w:val="single" w:sz="6" w:space="0" w:color="000000"/>
              <w:right w:val="single" w:sz="6" w:space="0" w:color="000000"/>
            </w:tcBorders>
            <w:shd w:val="clear" w:color="auto" w:fill="F2F2F2"/>
          </w:tcPr>
          <w:p w14:paraId="33BA22BF" w14:textId="77777777" w:rsidR="00BA5F13" w:rsidRPr="00BA5F13" w:rsidRDefault="00BA5F13" w:rsidP="00BA5F13">
            <w:pPr>
              <w:spacing w:after="0" w:line="259" w:lineRule="auto"/>
              <w:ind w:left="0" w:right="79" w:firstLine="0"/>
              <w:jc w:val="right"/>
            </w:pPr>
            <w:r w:rsidRPr="00BA5F13">
              <w:rPr>
                <w:b/>
              </w:rPr>
              <w:t xml:space="preserve">3.169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06D3CECF" w14:textId="77777777" w:rsidR="00BA5F13" w:rsidRPr="00BA5F13" w:rsidRDefault="00BA5F13" w:rsidP="00BA5F13">
            <w:pPr>
              <w:spacing w:after="0" w:line="259" w:lineRule="auto"/>
              <w:ind w:left="0" w:right="70" w:firstLine="0"/>
              <w:jc w:val="right"/>
            </w:pPr>
            <w:r w:rsidRPr="00BA5F13">
              <w:rPr>
                <w:b/>
              </w:rPr>
              <w:t xml:space="preserve">1.556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06B19160" w14:textId="77777777" w:rsidR="00BA5F13" w:rsidRPr="00BA5F13" w:rsidRDefault="00BA5F13" w:rsidP="00BA5F13">
            <w:pPr>
              <w:spacing w:after="0" w:line="259" w:lineRule="auto"/>
              <w:ind w:left="0" w:right="70" w:firstLine="0"/>
              <w:jc w:val="right"/>
            </w:pPr>
            <w:r w:rsidRPr="00BA5F13">
              <w:rPr>
                <w:b/>
              </w:rPr>
              <w:t xml:space="preserve">1.558 </w:t>
            </w:r>
          </w:p>
        </w:tc>
        <w:tc>
          <w:tcPr>
            <w:tcW w:w="1195" w:type="dxa"/>
            <w:tcBorders>
              <w:top w:val="single" w:sz="6" w:space="0" w:color="000000"/>
              <w:left w:val="single" w:sz="6" w:space="0" w:color="000000"/>
              <w:bottom w:val="single" w:sz="6" w:space="0" w:color="000000"/>
              <w:right w:val="single" w:sz="6" w:space="0" w:color="000000"/>
            </w:tcBorders>
            <w:shd w:val="clear" w:color="auto" w:fill="F2F2F2"/>
          </w:tcPr>
          <w:p w14:paraId="6522CFDD" w14:textId="77777777" w:rsidR="00BA5F13" w:rsidRPr="00BA5F13" w:rsidRDefault="00BA5F13" w:rsidP="00BA5F13">
            <w:pPr>
              <w:spacing w:after="0" w:line="259" w:lineRule="auto"/>
              <w:ind w:left="0" w:right="85" w:firstLine="0"/>
              <w:jc w:val="right"/>
            </w:pPr>
            <w:r w:rsidRPr="00BA5F13">
              <w:rPr>
                <w:b/>
              </w:rPr>
              <w:t xml:space="preserve">1.594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038D2FC6" w14:textId="77777777" w:rsidR="00BA5F13" w:rsidRPr="00BA5F13" w:rsidRDefault="00BA5F13" w:rsidP="00BA5F13">
            <w:pPr>
              <w:spacing w:after="0" w:line="259" w:lineRule="auto"/>
              <w:ind w:left="0" w:right="70" w:firstLine="0"/>
              <w:jc w:val="right"/>
            </w:pPr>
            <w:r w:rsidRPr="00BA5F13">
              <w:rPr>
                <w:b/>
              </w:rPr>
              <w:t xml:space="preserve">2.121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5A6E7447" w14:textId="77777777" w:rsidR="00BA5F13" w:rsidRPr="00BA5F13" w:rsidRDefault="00BA5F13" w:rsidP="00BA5F13">
            <w:pPr>
              <w:spacing w:after="0" w:line="259" w:lineRule="auto"/>
              <w:ind w:left="0" w:right="70" w:firstLine="0"/>
              <w:jc w:val="right"/>
            </w:pPr>
            <w:r w:rsidRPr="00BA5F13">
              <w:rPr>
                <w:b/>
              </w:rPr>
              <w:t xml:space="preserve">1.291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5A6FAE38" w14:textId="77777777" w:rsidR="00BA5F13" w:rsidRPr="00BA5F13" w:rsidRDefault="00BA5F13" w:rsidP="00BA5F13">
            <w:pPr>
              <w:spacing w:after="0" w:line="259" w:lineRule="auto"/>
              <w:ind w:left="0" w:right="70" w:firstLine="0"/>
              <w:jc w:val="right"/>
            </w:pPr>
            <w:r w:rsidRPr="00BA5F13">
              <w:rPr>
                <w:b/>
              </w:rPr>
              <w:t xml:space="preserve">1.795 </w:t>
            </w:r>
          </w:p>
        </w:tc>
        <w:tc>
          <w:tcPr>
            <w:tcW w:w="1189" w:type="dxa"/>
            <w:tcBorders>
              <w:top w:val="single" w:sz="6" w:space="0" w:color="000000"/>
              <w:left w:val="single" w:sz="6" w:space="0" w:color="000000"/>
              <w:bottom w:val="single" w:sz="6" w:space="0" w:color="000000"/>
              <w:right w:val="single" w:sz="6" w:space="0" w:color="000000"/>
            </w:tcBorders>
            <w:shd w:val="clear" w:color="auto" w:fill="F2F2F2"/>
          </w:tcPr>
          <w:p w14:paraId="097B7FCD" w14:textId="77777777" w:rsidR="00BA5F13" w:rsidRPr="00BA5F13" w:rsidRDefault="00BA5F13" w:rsidP="00BA5F13">
            <w:pPr>
              <w:spacing w:after="0" w:line="259" w:lineRule="auto"/>
              <w:ind w:left="0" w:right="79" w:firstLine="0"/>
              <w:jc w:val="right"/>
            </w:pPr>
            <w:r w:rsidRPr="00BA5F13">
              <w:rPr>
                <w:b/>
              </w:rPr>
              <w:t xml:space="preserve">0.880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61E28CB3" w14:textId="77777777" w:rsidR="00BA5F13" w:rsidRPr="00BA5F13" w:rsidRDefault="00BA5F13" w:rsidP="00BA5F13">
            <w:pPr>
              <w:spacing w:after="0" w:line="259" w:lineRule="auto"/>
              <w:ind w:left="0" w:right="70" w:firstLine="0"/>
              <w:jc w:val="right"/>
            </w:pPr>
            <w:r w:rsidRPr="00BA5F13">
              <w:rPr>
                <w:b/>
              </w:rPr>
              <w:t xml:space="preserve">0.440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4B3C95D4" w14:textId="77777777" w:rsidR="00BA5F13" w:rsidRPr="00BA5F13" w:rsidRDefault="00BA5F13" w:rsidP="00BA5F13">
            <w:pPr>
              <w:spacing w:after="0" w:line="259" w:lineRule="auto"/>
              <w:ind w:left="0" w:right="70" w:firstLine="0"/>
              <w:jc w:val="right"/>
            </w:pPr>
            <w:r w:rsidRPr="00BA5F13">
              <w:rPr>
                <w:b/>
              </w:rPr>
              <w:t xml:space="preserve">1.000 </w:t>
            </w:r>
          </w:p>
        </w:tc>
        <w:tc>
          <w:tcPr>
            <w:tcW w:w="1283" w:type="dxa"/>
            <w:tcBorders>
              <w:top w:val="single" w:sz="6" w:space="0" w:color="000000"/>
              <w:left w:val="single" w:sz="6" w:space="0" w:color="000000"/>
              <w:bottom w:val="single" w:sz="6" w:space="0" w:color="000000"/>
              <w:right w:val="single" w:sz="6" w:space="0" w:color="000000"/>
            </w:tcBorders>
            <w:shd w:val="clear" w:color="auto" w:fill="F2F2F2"/>
          </w:tcPr>
          <w:p w14:paraId="6E4CC7F2" w14:textId="77777777" w:rsidR="00BA5F13" w:rsidRPr="00BA5F13" w:rsidRDefault="00BA5F13" w:rsidP="00BA5F13">
            <w:pPr>
              <w:spacing w:after="0" w:line="259" w:lineRule="auto"/>
              <w:ind w:left="0" w:right="0" w:firstLine="0"/>
              <w:jc w:val="left"/>
            </w:pPr>
            <w:r w:rsidRPr="00BA5F13">
              <w:rPr>
                <w:b/>
              </w:rPr>
              <w:t xml:space="preserve">15.403 </w:t>
            </w:r>
          </w:p>
        </w:tc>
      </w:tr>
      <w:tr w:rsidR="00BA5F13" w:rsidRPr="00BA5F13" w14:paraId="7180A0B4" w14:textId="77777777" w:rsidTr="004C09BE">
        <w:trPr>
          <w:trHeight w:val="302"/>
        </w:trPr>
        <w:tc>
          <w:tcPr>
            <w:tcW w:w="1843" w:type="dxa"/>
            <w:tcBorders>
              <w:top w:val="single" w:sz="6" w:space="0" w:color="000000"/>
              <w:left w:val="single" w:sz="6" w:space="0" w:color="000000"/>
              <w:bottom w:val="single" w:sz="6" w:space="0" w:color="000000"/>
              <w:right w:val="single" w:sz="6" w:space="0" w:color="000000"/>
            </w:tcBorders>
          </w:tcPr>
          <w:p w14:paraId="0AD58B2B" w14:textId="77777777" w:rsidR="00BA5F13" w:rsidRPr="00BA5F13" w:rsidRDefault="00BA5F13" w:rsidP="00BA5F13">
            <w:pPr>
              <w:spacing w:after="0" w:line="259" w:lineRule="auto"/>
              <w:ind w:left="0" w:right="0" w:firstLine="0"/>
              <w:jc w:val="left"/>
            </w:pPr>
            <w:r w:rsidRPr="00BA5F13">
              <w:rPr>
                <w:b/>
              </w:rPr>
              <w:t>Operational Equipment</w:t>
            </w:r>
            <w:r w:rsidRPr="00BA5F13">
              <w:t xml:space="preserve"> </w:t>
            </w:r>
          </w:p>
        </w:tc>
        <w:tc>
          <w:tcPr>
            <w:tcW w:w="1189" w:type="dxa"/>
            <w:tcBorders>
              <w:top w:val="single" w:sz="6" w:space="0" w:color="000000"/>
              <w:left w:val="single" w:sz="6" w:space="0" w:color="000000"/>
              <w:bottom w:val="single" w:sz="6" w:space="0" w:color="000000"/>
              <w:right w:val="single" w:sz="6" w:space="0" w:color="000000"/>
            </w:tcBorders>
          </w:tcPr>
          <w:p w14:paraId="3D48A885"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775BD20"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AE5410D"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77FD740C" w14:textId="77777777" w:rsidR="00BA5F13" w:rsidRPr="00BA5F13" w:rsidRDefault="00BA5F13" w:rsidP="00BA5F13">
            <w:pPr>
              <w:spacing w:after="0" w:line="259" w:lineRule="auto"/>
              <w:ind w:left="0" w:right="15"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159F8F4"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3B08794"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64DF190"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1738EF04"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E362DCA"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F878734"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0D5ADA98" w14:textId="77777777" w:rsidR="00BA5F13" w:rsidRPr="00BA5F13" w:rsidRDefault="00BA5F13" w:rsidP="00BA5F13">
            <w:pPr>
              <w:spacing w:after="0" w:line="259" w:lineRule="auto"/>
              <w:ind w:left="0" w:right="2" w:firstLine="0"/>
              <w:jc w:val="right"/>
            </w:pPr>
          </w:p>
        </w:tc>
      </w:tr>
      <w:tr w:rsidR="00BA5F13" w:rsidRPr="00BA5F13" w14:paraId="2910BD11" w14:textId="77777777" w:rsidTr="004C09BE">
        <w:trPr>
          <w:trHeight w:val="556"/>
        </w:trPr>
        <w:tc>
          <w:tcPr>
            <w:tcW w:w="1843" w:type="dxa"/>
            <w:tcBorders>
              <w:top w:val="single" w:sz="6" w:space="0" w:color="000000"/>
              <w:left w:val="single" w:sz="6" w:space="0" w:color="000000"/>
              <w:bottom w:val="single" w:sz="6" w:space="0" w:color="000000"/>
              <w:right w:val="single" w:sz="6" w:space="0" w:color="000000"/>
            </w:tcBorders>
          </w:tcPr>
          <w:p w14:paraId="6EA20F07" w14:textId="77777777" w:rsidR="00BA5F13" w:rsidRPr="00BA5F13" w:rsidRDefault="00BA5F13" w:rsidP="00BA5F13">
            <w:pPr>
              <w:spacing w:after="0" w:line="259" w:lineRule="auto"/>
              <w:ind w:left="0" w:right="65" w:firstLine="0"/>
            </w:pPr>
            <w:r w:rsidRPr="00BA5F13">
              <w:t xml:space="preserve">Breathing Apparatus sets &amp; telemetry </w:t>
            </w:r>
          </w:p>
        </w:tc>
        <w:tc>
          <w:tcPr>
            <w:tcW w:w="1189" w:type="dxa"/>
            <w:tcBorders>
              <w:top w:val="single" w:sz="6" w:space="0" w:color="000000"/>
              <w:left w:val="single" w:sz="6" w:space="0" w:color="000000"/>
              <w:bottom w:val="single" w:sz="6" w:space="0" w:color="000000"/>
              <w:right w:val="single" w:sz="6" w:space="0" w:color="000000"/>
            </w:tcBorders>
          </w:tcPr>
          <w:p w14:paraId="5A276046"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vAlign w:val="center"/>
          </w:tcPr>
          <w:p w14:paraId="33A54A74" w14:textId="77777777" w:rsidR="00BA5F13" w:rsidRPr="00BA5F13" w:rsidRDefault="00BA5F13" w:rsidP="00BA5F13">
            <w:pPr>
              <w:spacing w:after="0" w:line="259" w:lineRule="auto"/>
              <w:ind w:left="0" w:right="70" w:firstLine="0"/>
              <w:jc w:val="right"/>
            </w:pPr>
            <w:r w:rsidRPr="00BA5F13">
              <w:t>1.000</w:t>
            </w:r>
            <w:r w:rsidRPr="00BA5F13">
              <w:rPr>
                <w:b/>
              </w:rPr>
              <w:t xml:space="preserve"> </w:t>
            </w:r>
          </w:p>
        </w:tc>
        <w:tc>
          <w:tcPr>
            <w:tcW w:w="1180" w:type="dxa"/>
            <w:tcBorders>
              <w:top w:val="single" w:sz="6" w:space="0" w:color="000000"/>
              <w:left w:val="single" w:sz="6" w:space="0" w:color="000000"/>
              <w:bottom w:val="single" w:sz="6" w:space="0" w:color="000000"/>
              <w:right w:val="single" w:sz="6" w:space="0" w:color="000000"/>
            </w:tcBorders>
            <w:vAlign w:val="center"/>
          </w:tcPr>
          <w:p w14:paraId="672602A1" w14:textId="77777777" w:rsidR="00BA5F13" w:rsidRPr="00BA5F13" w:rsidRDefault="00BA5F13" w:rsidP="00BA5F13">
            <w:pPr>
              <w:spacing w:after="0" w:line="259" w:lineRule="auto"/>
              <w:ind w:left="0" w:right="70" w:firstLine="0"/>
              <w:jc w:val="right"/>
            </w:pPr>
            <w:r w:rsidRPr="00BA5F13">
              <w:t>0.900</w:t>
            </w:r>
            <w:r w:rsidRPr="00BA5F13">
              <w:rPr>
                <w:b/>
              </w:rPr>
              <w:t xml:space="preserve"> </w:t>
            </w:r>
          </w:p>
        </w:tc>
        <w:tc>
          <w:tcPr>
            <w:tcW w:w="1195" w:type="dxa"/>
            <w:tcBorders>
              <w:top w:val="single" w:sz="6" w:space="0" w:color="000000"/>
              <w:left w:val="single" w:sz="6" w:space="0" w:color="000000"/>
              <w:bottom w:val="single" w:sz="6" w:space="0" w:color="000000"/>
              <w:right w:val="single" w:sz="6" w:space="0" w:color="000000"/>
            </w:tcBorders>
            <w:vAlign w:val="center"/>
          </w:tcPr>
          <w:p w14:paraId="383FC70F" w14:textId="77777777" w:rsidR="00BA5F13" w:rsidRPr="00BA5F13" w:rsidRDefault="00BA5F13" w:rsidP="00BA5F13">
            <w:pPr>
              <w:spacing w:after="0" w:line="259" w:lineRule="auto"/>
              <w:ind w:left="0" w:right="85" w:firstLine="0"/>
              <w:jc w:val="right"/>
            </w:pPr>
            <w:r w:rsidRPr="00BA5F13">
              <w:t>0.320</w:t>
            </w:r>
            <w:r w:rsidRPr="00BA5F13">
              <w:rPr>
                <w:b/>
              </w:rPr>
              <w:t xml:space="preserve"> </w:t>
            </w:r>
          </w:p>
        </w:tc>
        <w:tc>
          <w:tcPr>
            <w:tcW w:w="1180" w:type="dxa"/>
            <w:tcBorders>
              <w:top w:val="single" w:sz="6" w:space="0" w:color="000000"/>
              <w:left w:val="single" w:sz="6" w:space="0" w:color="000000"/>
              <w:bottom w:val="single" w:sz="6" w:space="0" w:color="000000"/>
              <w:right w:val="single" w:sz="6" w:space="0" w:color="000000"/>
            </w:tcBorders>
          </w:tcPr>
          <w:p w14:paraId="01C46BDC"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76A8F7E"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E0FB3EE"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3B76BC87"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52B65A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CE8877E"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vAlign w:val="center"/>
          </w:tcPr>
          <w:p w14:paraId="7FA2F151" w14:textId="77777777" w:rsidR="00BA5F13" w:rsidRPr="00BA5F13" w:rsidRDefault="00BA5F13" w:rsidP="00BA5F13">
            <w:pPr>
              <w:spacing w:after="0" w:line="259" w:lineRule="auto"/>
              <w:ind w:left="0" w:right="72" w:firstLine="0"/>
              <w:jc w:val="right"/>
            </w:pPr>
            <w:r w:rsidRPr="00BA5F13">
              <w:t>2.220</w:t>
            </w:r>
            <w:r w:rsidRPr="00BA5F13">
              <w:rPr>
                <w:b/>
              </w:rPr>
              <w:t xml:space="preserve"> </w:t>
            </w:r>
          </w:p>
        </w:tc>
      </w:tr>
    </w:tbl>
    <w:p w14:paraId="02320CC5" w14:textId="77777777" w:rsidR="00BA5F13" w:rsidRPr="00BA5F13" w:rsidRDefault="00BA5F13" w:rsidP="00BA5F13">
      <w:pPr>
        <w:spacing w:after="0" w:line="259" w:lineRule="auto"/>
        <w:ind w:left="0" w:right="15" w:firstLine="0"/>
        <w:jc w:val="left"/>
      </w:pPr>
    </w:p>
    <w:tbl>
      <w:tblPr>
        <w:tblStyle w:val="TableGrid"/>
        <w:tblW w:w="15384" w:type="dxa"/>
        <w:tblInd w:w="-717" w:type="dxa"/>
        <w:tblCellMar>
          <w:top w:w="0" w:type="dxa"/>
          <w:left w:w="118" w:type="dxa"/>
          <w:bottom w:w="0" w:type="dxa"/>
          <w:right w:w="31" w:type="dxa"/>
        </w:tblCellMar>
        <w:tblLook w:val="04A0" w:firstRow="1" w:lastRow="0" w:firstColumn="1" w:lastColumn="0" w:noHBand="0" w:noVBand="1"/>
      </w:tblPr>
      <w:tblGrid>
        <w:gridCol w:w="2204"/>
        <w:gridCol w:w="1189"/>
        <w:gridCol w:w="1180"/>
        <w:gridCol w:w="1180"/>
        <w:gridCol w:w="1195"/>
        <w:gridCol w:w="1244"/>
        <w:gridCol w:w="1180"/>
        <w:gridCol w:w="1180"/>
        <w:gridCol w:w="1189"/>
        <w:gridCol w:w="1180"/>
        <w:gridCol w:w="1180"/>
        <w:gridCol w:w="1283"/>
      </w:tblGrid>
      <w:tr w:rsidR="00BA5F13" w:rsidRPr="00BA5F13" w14:paraId="597FE3E3" w14:textId="77777777" w:rsidTr="004C09BE">
        <w:trPr>
          <w:trHeight w:val="281"/>
        </w:trPr>
        <w:tc>
          <w:tcPr>
            <w:tcW w:w="2204" w:type="dxa"/>
            <w:tcBorders>
              <w:top w:val="single" w:sz="6" w:space="0" w:color="000000"/>
              <w:left w:val="single" w:sz="6" w:space="0" w:color="000000"/>
              <w:bottom w:val="single" w:sz="6" w:space="0" w:color="000000"/>
              <w:right w:val="single" w:sz="6" w:space="0" w:color="000000"/>
            </w:tcBorders>
            <w:shd w:val="clear" w:color="auto" w:fill="D9D9D9"/>
          </w:tcPr>
          <w:p w14:paraId="5520A201" w14:textId="77777777" w:rsidR="00BA5F13" w:rsidRPr="00BA5F13" w:rsidRDefault="00BA5F13" w:rsidP="00BA5F13">
            <w:pPr>
              <w:spacing w:after="0" w:line="259" w:lineRule="auto"/>
              <w:ind w:left="0" w:right="73" w:firstLine="0"/>
              <w:jc w:val="center"/>
            </w:pPr>
            <w:r w:rsidRPr="00BA5F13">
              <w:rPr>
                <w:b/>
              </w:rPr>
              <w:t xml:space="preserve">£'m </w:t>
            </w:r>
          </w:p>
        </w:tc>
        <w:tc>
          <w:tcPr>
            <w:tcW w:w="1189" w:type="dxa"/>
            <w:tcBorders>
              <w:top w:val="single" w:sz="6" w:space="0" w:color="000000"/>
              <w:left w:val="single" w:sz="6" w:space="0" w:color="000000"/>
              <w:bottom w:val="single" w:sz="6" w:space="0" w:color="000000"/>
              <w:right w:val="single" w:sz="6" w:space="0" w:color="000000"/>
            </w:tcBorders>
            <w:shd w:val="clear" w:color="auto" w:fill="D9D9D9"/>
          </w:tcPr>
          <w:p w14:paraId="5FF3E24C" w14:textId="77777777" w:rsidR="00BA5F13" w:rsidRPr="00BA5F13" w:rsidRDefault="00BA5F13" w:rsidP="00BA5F13">
            <w:pPr>
              <w:spacing w:after="0" w:line="259" w:lineRule="auto"/>
              <w:ind w:left="0" w:right="0" w:firstLine="0"/>
              <w:jc w:val="left"/>
            </w:pPr>
            <w:r w:rsidRPr="00BA5F13">
              <w:rPr>
                <w:b/>
              </w:rPr>
              <w:t xml:space="preserve">24/25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2A3D579A" w14:textId="77777777" w:rsidR="00BA5F13" w:rsidRPr="00BA5F13" w:rsidRDefault="00BA5F13" w:rsidP="00BA5F13">
            <w:pPr>
              <w:spacing w:after="0" w:line="259" w:lineRule="auto"/>
              <w:ind w:left="0" w:right="0" w:firstLine="0"/>
              <w:jc w:val="left"/>
            </w:pPr>
            <w:r w:rsidRPr="00BA5F13">
              <w:rPr>
                <w:b/>
              </w:rPr>
              <w:t xml:space="preserve">25/26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0E566832" w14:textId="77777777" w:rsidR="00BA5F13" w:rsidRPr="00BA5F13" w:rsidRDefault="00BA5F13" w:rsidP="00BA5F13">
            <w:pPr>
              <w:spacing w:after="0" w:line="259" w:lineRule="auto"/>
              <w:ind w:left="0" w:right="0" w:firstLine="0"/>
              <w:jc w:val="left"/>
            </w:pPr>
            <w:r w:rsidRPr="00BA5F13">
              <w:rPr>
                <w:b/>
              </w:rPr>
              <w:t xml:space="preserve">26/27 </w:t>
            </w:r>
          </w:p>
        </w:tc>
        <w:tc>
          <w:tcPr>
            <w:tcW w:w="1195" w:type="dxa"/>
            <w:tcBorders>
              <w:top w:val="single" w:sz="6" w:space="0" w:color="000000"/>
              <w:left w:val="single" w:sz="6" w:space="0" w:color="000000"/>
              <w:bottom w:val="single" w:sz="6" w:space="0" w:color="000000"/>
              <w:right w:val="single" w:sz="6" w:space="0" w:color="000000"/>
            </w:tcBorders>
            <w:shd w:val="clear" w:color="auto" w:fill="D9D9D9"/>
          </w:tcPr>
          <w:p w14:paraId="23E7F0F3" w14:textId="77777777" w:rsidR="00BA5F13" w:rsidRPr="00BA5F13" w:rsidRDefault="00BA5F13" w:rsidP="00BA5F13">
            <w:pPr>
              <w:spacing w:after="0" w:line="259" w:lineRule="auto"/>
              <w:ind w:left="0" w:right="0" w:firstLine="0"/>
              <w:jc w:val="left"/>
            </w:pPr>
            <w:r w:rsidRPr="00BA5F13">
              <w:rPr>
                <w:b/>
              </w:rPr>
              <w:t xml:space="preserve">27/28 </w:t>
            </w:r>
          </w:p>
        </w:tc>
        <w:tc>
          <w:tcPr>
            <w:tcW w:w="1244" w:type="dxa"/>
            <w:tcBorders>
              <w:top w:val="single" w:sz="6" w:space="0" w:color="000000"/>
              <w:left w:val="single" w:sz="6" w:space="0" w:color="000000"/>
              <w:bottom w:val="single" w:sz="6" w:space="0" w:color="000000"/>
              <w:right w:val="single" w:sz="6" w:space="0" w:color="000000"/>
            </w:tcBorders>
            <w:shd w:val="clear" w:color="auto" w:fill="D9D9D9"/>
          </w:tcPr>
          <w:p w14:paraId="14136941" w14:textId="77777777" w:rsidR="00BA5F13" w:rsidRPr="00BA5F13" w:rsidRDefault="00BA5F13" w:rsidP="00BA5F13">
            <w:pPr>
              <w:spacing w:after="0" w:line="259" w:lineRule="auto"/>
              <w:ind w:left="0" w:right="0" w:firstLine="0"/>
              <w:jc w:val="left"/>
            </w:pPr>
            <w:r w:rsidRPr="00BA5F13">
              <w:rPr>
                <w:b/>
              </w:rPr>
              <w:t xml:space="preserve">28/29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47B9A753" w14:textId="77777777" w:rsidR="00BA5F13" w:rsidRPr="00BA5F13" w:rsidRDefault="00BA5F13" w:rsidP="00BA5F13">
            <w:pPr>
              <w:spacing w:after="0" w:line="259" w:lineRule="auto"/>
              <w:ind w:left="0" w:right="0" w:firstLine="0"/>
              <w:jc w:val="left"/>
            </w:pPr>
            <w:r w:rsidRPr="00BA5F13">
              <w:rPr>
                <w:b/>
              </w:rPr>
              <w:t xml:space="preserve">29/30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3854E448" w14:textId="77777777" w:rsidR="00BA5F13" w:rsidRPr="00BA5F13" w:rsidRDefault="00BA5F13" w:rsidP="00BA5F13">
            <w:pPr>
              <w:spacing w:after="0" w:line="259" w:lineRule="auto"/>
              <w:ind w:left="0" w:right="0" w:firstLine="0"/>
              <w:jc w:val="left"/>
            </w:pPr>
            <w:r w:rsidRPr="00BA5F13">
              <w:rPr>
                <w:b/>
              </w:rPr>
              <w:t xml:space="preserve">30/31 </w:t>
            </w:r>
          </w:p>
        </w:tc>
        <w:tc>
          <w:tcPr>
            <w:tcW w:w="1189" w:type="dxa"/>
            <w:tcBorders>
              <w:top w:val="single" w:sz="6" w:space="0" w:color="000000"/>
              <w:left w:val="single" w:sz="6" w:space="0" w:color="000000"/>
              <w:bottom w:val="single" w:sz="6" w:space="0" w:color="000000"/>
              <w:right w:val="single" w:sz="6" w:space="0" w:color="000000"/>
            </w:tcBorders>
            <w:shd w:val="clear" w:color="auto" w:fill="D9D9D9"/>
          </w:tcPr>
          <w:p w14:paraId="2BC682C9" w14:textId="77777777" w:rsidR="00BA5F13" w:rsidRPr="00BA5F13" w:rsidRDefault="00BA5F13" w:rsidP="00BA5F13">
            <w:pPr>
              <w:spacing w:after="0" w:line="259" w:lineRule="auto"/>
              <w:ind w:left="0" w:right="0" w:firstLine="0"/>
              <w:jc w:val="left"/>
            </w:pPr>
            <w:r w:rsidRPr="00BA5F13">
              <w:rPr>
                <w:b/>
              </w:rPr>
              <w:t xml:space="preserve">31/32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799430AF" w14:textId="77777777" w:rsidR="00BA5F13" w:rsidRPr="00BA5F13" w:rsidRDefault="00BA5F13" w:rsidP="00BA5F13">
            <w:pPr>
              <w:spacing w:after="0" w:line="259" w:lineRule="auto"/>
              <w:ind w:left="0" w:right="0" w:firstLine="0"/>
              <w:jc w:val="left"/>
            </w:pPr>
            <w:r w:rsidRPr="00BA5F13">
              <w:rPr>
                <w:b/>
              </w:rPr>
              <w:t xml:space="preserve">32/33 </w:t>
            </w:r>
          </w:p>
        </w:tc>
        <w:tc>
          <w:tcPr>
            <w:tcW w:w="1180" w:type="dxa"/>
            <w:tcBorders>
              <w:top w:val="single" w:sz="6" w:space="0" w:color="000000"/>
              <w:left w:val="single" w:sz="6" w:space="0" w:color="000000"/>
              <w:bottom w:val="single" w:sz="6" w:space="0" w:color="000000"/>
              <w:right w:val="single" w:sz="6" w:space="0" w:color="000000"/>
            </w:tcBorders>
            <w:shd w:val="clear" w:color="auto" w:fill="D9D9D9"/>
          </w:tcPr>
          <w:p w14:paraId="451C9758" w14:textId="77777777" w:rsidR="00BA5F13" w:rsidRPr="00BA5F13" w:rsidRDefault="00BA5F13" w:rsidP="00BA5F13">
            <w:pPr>
              <w:spacing w:after="0" w:line="259" w:lineRule="auto"/>
              <w:ind w:left="0" w:right="0" w:firstLine="0"/>
              <w:jc w:val="left"/>
            </w:pPr>
            <w:r w:rsidRPr="00BA5F13">
              <w:rPr>
                <w:b/>
              </w:rPr>
              <w:t xml:space="preserve">33/34 </w:t>
            </w:r>
          </w:p>
        </w:tc>
        <w:tc>
          <w:tcPr>
            <w:tcW w:w="1283" w:type="dxa"/>
            <w:tcBorders>
              <w:top w:val="single" w:sz="6" w:space="0" w:color="000000"/>
              <w:left w:val="single" w:sz="6" w:space="0" w:color="000000"/>
              <w:bottom w:val="single" w:sz="6" w:space="0" w:color="000000"/>
              <w:right w:val="single" w:sz="6" w:space="0" w:color="000000"/>
            </w:tcBorders>
            <w:shd w:val="clear" w:color="auto" w:fill="D9D9D9"/>
          </w:tcPr>
          <w:p w14:paraId="74E6E8DA" w14:textId="77777777" w:rsidR="00BA5F13" w:rsidRPr="00BA5F13" w:rsidRDefault="00BA5F13" w:rsidP="00BA5F13">
            <w:pPr>
              <w:spacing w:after="0" w:line="259" w:lineRule="auto"/>
              <w:ind w:left="0" w:right="0" w:firstLine="0"/>
              <w:jc w:val="left"/>
            </w:pPr>
            <w:r w:rsidRPr="00BA5F13">
              <w:rPr>
                <w:b/>
              </w:rPr>
              <w:t xml:space="preserve">TOTAL </w:t>
            </w:r>
          </w:p>
        </w:tc>
      </w:tr>
      <w:tr w:rsidR="00BA5F13" w:rsidRPr="00BA5F13" w14:paraId="1C82B25A" w14:textId="77777777" w:rsidTr="004C09BE">
        <w:trPr>
          <w:trHeight w:val="573"/>
        </w:trPr>
        <w:tc>
          <w:tcPr>
            <w:tcW w:w="2204" w:type="dxa"/>
            <w:tcBorders>
              <w:top w:val="single" w:sz="6" w:space="0" w:color="000000"/>
              <w:left w:val="single" w:sz="6" w:space="0" w:color="000000"/>
              <w:bottom w:val="single" w:sz="6" w:space="0" w:color="000000"/>
              <w:right w:val="single" w:sz="6" w:space="0" w:color="000000"/>
            </w:tcBorders>
          </w:tcPr>
          <w:p w14:paraId="1A565C80" w14:textId="77777777" w:rsidR="00BA5F13" w:rsidRPr="00BA5F13" w:rsidRDefault="00BA5F13" w:rsidP="00BA5F13">
            <w:pPr>
              <w:spacing w:after="0" w:line="259" w:lineRule="auto"/>
              <w:ind w:left="0" w:right="0" w:firstLine="0"/>
              <w:jc w:val="left"/>
            </w:pPr>
            <w:r w:rsidRPr="00BA5F13">
              <w:t>Breathing Apparatus compressor</w:t>
            </w:r>
            <w:r w:rsidRPr="00BA5F13">
              <w:rPr>
                <w:b/>
              </w:rPr>
              <w:t xml:space="preserve"> </w:t>
            </w:r>
          </w:p>
        </w:tc>
        <w:tc>
          <w:tcPr>
            <w:tcW w:w="1189" w:type="dxa"/>
            <w:tcBorders>
              <w:top w:val="single" w:sz="6" w:space="0" w:color="000000"/>
              <w:left w:val="single" w:sz="6" w:space="0" w:color="000000"/>
              <w:bottom w:val="single" w:sz="6" w:space="0" w:color="000000"/>
              <w:right w:val="single" w:sz="6" w:space="0" w:color="000000"/>
            </w:tcBorders>
            <w:vAlign w:val="center"/>
          </w:tcPr>
          <w:p w14:paraId="7E275697" w14:textId="77777777" w:rsidR="00BA5F13" w:rsidRPr="00BA5F13" w:rsidRDefault="00BA5F13" w:rsidP="00BA5F13">
            <w:pPr>
              <w:spacing w:after="0" w:line="259" w:lineRule="auto"/>
              <w:ind w:left="0" w:right="79" w:firstLine="0"/>
              <w:jc w:val="right"/>
            </w:pPr>
            <w:r w:rsidRPr="00BA5F13">
              <w:t>0.053</w:t>
            </w:r>
            <w:r w:rsidRPr="00BA5F13">
              <w:rPr>
                <w:b/>
              </w:rPr>
              <w:t xml:space="preserve"> </w:t>
            </w:r>
          </w:p>
        </w:tc>
        <w:tc>
          <w:tcPr>
            <w:tcW w:w="1180" w:type="dxa"/>
            <w:tcBorders>
              <w:top w:val="single" w:sz="6" w:space="0" w:color="000000"/>
              <w:left w:val="single" w:sz="6" w:space="0" w:color="000000"/>
              <w:bottom w:val="single" w:sz="6" w:space="0" w:color="000000"/>
              <w:right w:val="single" w:sz="6" w:space="0" w:color="000000"/>
            </w:tcBorders>
            <w:vAlign w:val="center"/>
          </w:tcPr>
          <w:p w14:paraId="4631D29F" w14:textId="77777777" w:rsidR="00BA5F13" w:rsidRPr="00BA5F13" w:rsidRDefault="00BA5F13" w:rsidP="00BA5F13">
            <w:pPr>
              <w:spacing w:after="0" w:line="259" w:lineRule="auto"/>
              <w:ind w:left="0" w:right="70" w:firstLine="0"/>
              <w:jc w:val="right"/>
            </w:pPr>
            <w:r w:rsidRPr="00BA5F13">
              <w:t xml:space="preserve">0.018 </w:t>
            </w:r>
          </w:p>
        </w:tc>
        <w:tc>
          <w:tcPr>
            <w:tcW w:w="1180" w:type="dxa"/>
            <w:tcBorders>
              <w:top w:val="single" w:sz="6" w:space="0" w:color="000000"/>
              <w:left w:val="single" w:sz="6" w:space="0" w:color="000000"/>
              <w:bottom w:val="single" w:sz="6" w:space="0" w:color="000000"/>
              <w:right w:val="single" w:sz="6" w:space="0" w:color="000000"/>
            </w:tcBorders>
          </w:tcPr>
          <w:p w14:paraId="0069E9AB"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vAlign w:val="center"/>
          </w:tcPr>
          <w:p w14:paraId="7A35F8AB" w14:textId="77777777" w:rsidR="00BA5F13" w:rsidRPr="00BA5F13" w:rsidRDefault="00BA5F13" w:rsidP="00BA5F13">
            <w:pPr>
              <w:spacing w:after="0" w:line="259" w:lineRule="auto"/>
              <w:ind w:left="0" w:right="85" w:firstLine="0"/>
              <w:jc w:val="right"/>
            </w:pPr>
            <w:r w:rsidRPr="00BA5F13">
              <w:t xml:space="preserve">0.018 </w:t>
            </w:r>
          </w:p>
        </w:tc>
        <w:tc>
          <w:tcPr>
            <w:tcW w:w="1244" w:type="dxa"/>
            <w:tcBorders>
              <w:top w:val="single" w:sz="6" w:space="0" w:color="000000"/>
              <w:left w:val="single" w:sz="6" w:space="0" w:color="000000"/>
              <w:bottom w:val="single" w:sz="6" w:space="0" w:color="000000"/>
              <w:right w:val="single" w:sz="6" w:space="0" w:color="000000"/>
            </w:tcBorders>
            <w:vAlign w:val="center"/>
          </w:tcPr>
          <w:p w14:paraId="0391B721" w14:textId="77777777" w:rsidR="00BA5F13" w:rsidRPr="00BA5F13" w:rsidRDefault="00BA5F13" w:rsidP="00BA5F13">
            <w:pPr>
              <w:spacing w:after="0" w:line="259" w:lineRule="auto"/>
              <w:ind w:left="0" w:right="70" w:firstLine="0"/>
              <w:jc w:val="right"/>
            </w:pPr>
            <w:r w:rsidRPr="00BA5F13">
              <w:t xml:space="preserve">0.053 </w:t>
            </w:r>
          </w:p>
        </w:tc>
        <w:tc>
          <w:tcPr>
            <w:tcW w:w="1180" w:type="dxa"/>
            <w:tcBorders>
              <w:top w:val="single" w:sz="6" w:space="0" w:color="000000"/>
              <w:left w:val="single" w:sz="6" w:space="0" w:color="000000"/>
              <w:bottom w:val="single" w:sz="6" w:space="0" w:color="000000"/>
              <w:right w:val="single" w:sz="6" w:space="0" w:color="000000"/>
            </w:tcBorders>
            <w:vAlign w:val="center"/>
          </w:tcPr>
          <w:p w14:paraId="082B2A5C" w14:textId="77777777" w:rsidR="00BA5F13" w:rsidRPr="00BA5F13" w:rsidRDefault="00BA5F13" w:rsidP="00BA5F13">
            <w:pPr>
              <w:spacing w:after="0" w:line="259" w:lineRule="auto"/>
              <w:ind w:left="0" w:right="70" w:firstLine="0"/>
              <w:jc w:val="right"/>
            </w:pPr>
            <w:r w:rsidRPr="00BA5F13">
              <w:t xml:space="preserve">0.063 </w:t>
            </w:r>
          </w:p>
        </w:tc>
        <w:tc>
          <w:tcPr>
            <w:tcW w:w="1180" w:type="dxa"/>
            <w:tcBorders>
              <w:top w:val="single" w:sz="6" w:space="0" w:color="000000"/>
              <w:left w:val="single" w:sz="6" w:space="0" w:color="000000"/>
              <w:bottom w:val="single" w:sz="6" w:space="0" w:color="000000"/>
              <w:right w:val="single" w:sz="6" w:space="0" w:color="000000"/>
            </w:tcBorders>
            <w:vAlign w:val="center"/>
          </w:tcPr>
          <w:p w14:paraId="7B04B5D4" w14:textId="77777777" w:rsidR="00BA5F13" w:rsidRPr="00BA5F13" w:rsidRDefault="00BA5F13" w:rsidP="00BA5F13">
            <w:pPr>
              <w:spacing w:after="0" w:line="259" w:lineRule="auto"/>
              <w:ind w:left="0" w:right="70" w:firstLine="0"/>
              <w:jc w:val="right"/>
            </w:pPr>
            <w:r w:rsidRPr="00BA5F13">
              <w:t xml:space="preserve">0.018 </w:t>
            </w:r>
          </w:p>
        </w:tc>
        <w:tc>
          <w:tcPr>
            <w:tcW w:w="1189" w:type="dxa"/>
            <w:tcBorders>
              <w:top w:val="single" w:sz="6" w:space="0" w:color="000000"/>
              <w:left w:val="single" w:sz="6" w:space="0" w:color="000000"/>
              <w:bottom w:val="single" w:sz="6" w:space="0" w:color="000000"/>
              <w:right w:val="single" w:sz="6" w:space="0" w:color="000000"/>
            </w:tcBorders>
            <w:vAlign w:val="center"/>
          </w:tcPr>
          <w:p w14:paraId="7EC07EDF" w14:textId="77777777" w:rsidR="00BA5F13" w:rsidRPr="00BA5F13" w:rsidRDefault="00BA5F13" w:rsidP="00BA5F13">
            <w:pPr>
              <w:spacing w:after="0" w:line="259" w:lineRule="auto"/>
              <w:ind w:left="0" w:right="79" w:firstLine="0"/>
              <w:jc w:val="right"/>
            </w:pPr>
            <w:r w:rsidRPr="00BA5F13">
              <w:t xml:space="preserve">0.071 </w:t>
            </w:r>
          </w:p>
        </w:tc>
        <w:tc>
          <w:tcPr>
            <w:tcW w:w="1180" w:type="dxa"/>
            <w:tcBorders>
              <w:top w:val="single" w:sz="6" w:space="0" w:color="000000"/>
              <w:left w:val="single" w:sz="6" w:space="0" w:color="000000"/>
              <w:bottom w:val="single" w:sz="6" w:space="0" w:color="000000"/>
              <w:right w:val="single" w:sz="6" w:space="0" w:color="000000"/>
            </w:tcBorders>
            <w:vAlign w:val="center"/>
          </w:tcPr>
          <w:p w14:paraId="39D030C4" w14:textId="77777777" w:rsidR="00BA5F13" w:rsidRPr="00BA5F13" w:rsidRDefault="00BA5F13" w:rsidP="00BA5F13">
            <w:pPr>
              <w:spacing w:after="0" w:line="259" w:lineRule="auto"/>
              <w:ind w:left="0" w:right="70" w:firstLine="0"/>
              <w:jc w:val="right"/>
            </w:pPr>
            <w:r w:rsidRPr="00BA5F13">
              <w:t xml:space="preserve">0.018 </w:t>
            </w:r>
          </w:p>
        </w:tc>
        <w:tc>
          <w:tcPr>
            <w:tcW w:w="1180" w:type="dxa"/>
            <w:tcBorders>
              <w:top w:val="single" w:sz="6" w:space="0" w:color="000000"/>
              <w:left w:val="single" w:sz="6" w:space="0" w:color="000000"/>
              <w:bottom w:val="single" w:sz="6" w:space="0" w:color="000000"/>
              <w:right w:val="single" w:sz="6" w:space="0" w:color="000000"/>
            </w:tcBorders>
          </w:tcPr>
          <w:p w14:paraId="02EB9D82"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vAlign w:val="center"/>
          </w:tcPr>
          <w:p w14:paraId="24063096" w14:textId="77777777" w:rsidR="00BA5F13" w:rsidRPr="00BA5F13" w:rsidRDefault="00BA5F13" w:rsidP="00BA5F13">
            <w:pPr>
              <w:spacing w:after="0" w:line="259" w:lineRule="auto"/>
              <w:ind w:left="0" w:right="72" w:firstLine="0"/>
              <w:jc w:val="right"/>
            </w:pPr>
            <w:r w:rsidRPr="00BA5F13">
              <w:t xml:space="preserve">0.310 </w:t>
            </w:r>
          </w:p>
        </w:tc>
      </w:tr>
      <w:tr w:rsidR="00BA5F13" w:rsidRPr="00BA5F13" w14:paraId="38417416" w14:textId="77777777" w:rsidTr="004C09BE">
        <w:trPr>
          <w:trHeight w:val="555"/>
        </w:trPr>
        <w:tc>
          <w:tcPr>
            <w:tcW w:w="2204" w:type="dxa"/>
            <w:tcBorders>
              <w:top w:val="single" w:sz="6" w:space="0" w:color="000000"/>
              <w:left w:val="single" w:sz="6" w:space="0" w:color="000000"/>
              <w:bottom w:val="single" w:sz="6" w:space="0" w:color="000000"/>
              <w:right w:val="single" w:sz="6" w:space="0" w:color="000000"/>
            </w:tcBorders>
          </w:tcPr>
          <w:p w14:paraId="5D00F897" w14:textId="77777777" w:rsidR="00BA5F13" w:rsidRPr="00BA5F13" w:rsidRDefault="00BA5F13" w:rsidP="00BA5F13">
            <w:pPr>
              <w:spacing w:after="0" w:line="259" w:lineRule="auto"/>
              <w:ind w:left="0" w:right="0" w:firstLine="0"/>
              <w:jc w:val="left"/>
            </w:pPr>
            <w:r w:rsidRPr="00BA5F13">
              <w:t xml:space="preserve">Road Traffic Collision Cutting Equipment </w:t>
            </w:r>
          </w:p>
        </w:tc>
        <w:tc>
          <w:tcPr>
            <w:tcW w:w="1189" w:type="dxa"/>
            <w:tcBorders>
              <w:top w:val="single" w:sz="6" w:space="0" w:color="000000"/>
              <w:left w:val="single" w:sz="6" w:space="0" w:color="000000"/>
              <w:bottom w:val="single" w:sz="6" w:space="0" w:color="000000"/>
              <w:right w:val="single" w:sz="6" w:space="0" w:color="000000"/>
            </w:tcBorders>
            <w:vAlign w:val="center"/>
          </w:tcPr>
          <w:p w14:paraId="094DA727" w14:textId="77777777" w:rsidR="00BA5F13" w:rsidRPr="00BA5F13" w:rsidRDefault="00BA5F13" w:rsidP="00BA5F13">
            <w:pPr>
              <w:spacing w:after="0" w:line="259" w:lineRule="auto"/>
              <w:ind w:left="0" w:right="79" w:firstLine="0"/>
              <w:jc w:val="right"/>
            </w:pPr>
            <w:r w:rsidRPr="00BA5F13">
              <w:t xml:space="preserve">0.750 </w:t>
            </w:r>
          </w:p>
        </w:tc>
        <w:tc>
          <w:tcPr>
            <w:tcW w:w="1180" w:type="dxa"/>
            <w:tcBorders>
              <w:top w:val="single" w:sz="6" w:space="0" w:color="000000"/>
              <w:left w:val="single" w:sz="6" w:space="0" w:color="000000"/>
              <w:bottom w:val="single" w:sz="6" w:space="0" w:color="000000"/>
              <w:right w:val="single" w:sz="6" w:space="0" w:color="000000"/>
            </w:tcBorders>
          </w:tcPr>
          <w:p w14:paraId="03124509"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EEF10C8"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6463B06F"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5F7472C1"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1634D8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9A2E23B"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68CDBA43"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76F8B76"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D45EFA7"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vAlign w:val="center"/>
          </w:tcPr>
          <w:p w14:paraId="0F07C5F1" w14:textId="77777777" w:rsidR="00BA5F13" w:rsidRPr="00BA5F13" w:rsidRDefault="00BA5F13" w:rsidP="00BA5F13">
            <w:pPr>
              <w:spacing w:after="0" w:line="259" w:lineRule="auto"/>
              <w:ind w:left="0" w:right="72" w:firstLine="0"/>
              <w:jc w:val="right"/>
            </w:pPr>
            <w:r w:rsidRPr="00BA5F13">
              <w:t xml:space="preserve">0.750 </w:t>
            </w:r>
          </w:p>
        </w:tc>
      </w:tr>
      <w:tr w:rsidR="00BA5F13" w:rsidRPr="00BA5F13" w14:paraId="52EF8DE7" w14:textId="77777777" w:rsidTr="004C09BE">
        <w:trPr>
          <w:trHeight w:val="286"/>
        </w:trPr>
        <w:tc>
          <w:tcPr>
            <w:tcW w:w="2204" w:type="dxa"/>
            <w:tcBorders>
              <w:top w:val="single" w:sz="6" w:space="0" w:color="000000"/>
              <w:left w:val="single" w:sz="6" w:space="0" w:color="000000"/>
              <w:bottom w:val="single" w:sz="6" w:space="0" w:color="000000"/>
              <w:right w:val="single" w:sz="6" w:space="0" w:color="000000"/>
            </w:tcBorders>
          </w:tcPr>
          <w:p w14:paraId="420F390C" w14:textId="77777777" w:rsidR="00BA5F13" w:rsidRPr="00BA5F13" w:rsidRDefault="00BA5F13" w:rsidP="00BA5F13">
            <w:pPr>
              <w:spacing w:after="0" w:line="259" w:lineRule="auto"/>
              <w:ind w:left="0" w:right="0" w:firstLine="0"/>
              <w:jc w:val="left"/>
            </w:pPr>
            <w:r w:rsidRPr="00BA5F13">
              <w:t xml:space="preserve">Ballistic Vest &amp; Helmet </w:t>
            </w:r>
          </w:p>
        </w:tc>
        <w:tc>
          <w:tcPr>
            <w:tcW w:w="1189" w:type="dxa"/>
            <w:tcBorders>
              <w:top w:val="single" w:sz="6" w:space="0" w:color="000000"/>
              <w:left w:val="single" w:sz="6" w:space="0" w:color="000000"/>
              <w:bottom w:val="single" w:sz="6" w:space="0" w:color="000000"/>
              <w:right w:val="single" w:sz="6" w:space="0" w:color="000000"/>
            </w:tcBorders>
          </w:tcPr>
          <w:p w14:paraId="5D0C5F05" w14:textId="77777777" w:rsidR="00BA5F13" w:rsidRPr="00BA5F13" w:rsidRDefault="00BA5F13" w:rsidP="00BA5F13">
            <w:pPr>
              <w:spacing w:after="0" w:line="259" w:lineRule="auto"/>
              <w:ind w:left="0" w:right="79" w:firstLine="0"/>
              <w:jc w:val="right"/>
            </w:pPr>
            <w:r w:rsidRPr="00BA5F13">
              <w:t xml:space="preserve">0.250 </w:t>
            </w:r>
          </w:p>
        </w:tc>
        <w:tc>
          <w:tcPr>
            <w:tcW w:w="1180" w:type="dxa"/>
            <w:tcBorders>
              <w:top w:val="single" w:sz="6" w:space="0" w:color="000000"/>
              <w:left w:val="single" w:sz="6" w:space="0" w:color="000000"/>
              <w:bottom w:val="single" w:sz="6" w:space="0" w:color="000000"/>
              <w:right w:val="single" w:sz="6" w:space="0" w:color="000000"/>
            </w:tcBorders>
          </w:tcPr>
          <w:p w14:paraId="3EA61E9B"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5F0E758"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05E7D5F1"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2A073028"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0CF2B72"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6C2A81A"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04B7D8AC"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BFFEF31"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487E0D3"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2BC8D712" w14:textId="77777777" w:rsidR="00BA5F13" w:rsidRPr="00BA5F13" w:rsidRDefault="00BA5F13" w:rsidP="00BA5F13">
            <w:pPr>
              <w:spacing w:after="0" w:line="259" w:lineRule="auto"/>
              <w:ind w:left="0" w:right="72" w:firstLine="0"/>
              <w:jc w:val="right"/>
            </w:pPr>
            <w:r w:rsidRPr="00BA5F13">
              <w:t xml:space="preserve">0.250 </w:t>
            </w:r>
          </w:p>
        </w:tc>
      </w:tr>
      <w:tr w:rsidR="00BA5F13" w:rsidRPr="00BA5F13" w14:paraId="775873F0" w14:textId="77777777" w:rsidTr="004C09BE">
        <w:trPr>
          <w:trHeight w:val="571"/>
        </w:trPr>
        <w:tc>
          <w:tcPr>
            <w:tcW w:w="2204" w:type="dxa"/>
            <w:tcBorders>
              <w:top w:val="single" w:sz="6" w:space="0" w:color="000000"/>
              <w:left w:val="single" w:sz="6" w:space="0" w:color="000000"/>
              <w:bottom w:val="single" w:sz="6" w:space="0" w:color="000000"/>
              <w:right w:val="single" w:sz="6" w:space="0" w:color="000000"/>
            </w:tcBorders>
          </w:tcPr>
          <w:p w14:paraId="4B23B1E1" w14:textId="77777777" w:rsidR="00BA5F13" w:rsidRPr="00BA5F13" w:rsidRDefault="00BA5F13" w:rsidP="00BA5F13">
            <w:pPr>
              <w:spacing w:after="0" w:line="259" w:lineRule="auto"/>
              <w:ind w:left="0" w:right="0" w:firstLine="0"/>
              <w:jc w:val="left"/>
            </w:pPr>
            <w:r w:rsidRPr="00BA5F13">
              <w:t xml:space="preserve">Flow Meters &amp; 22mm Hose Reels </w:t>
            </w:r>
          </w:p>
        </w:tc>
        <w:tc>
          <w:tcPr>
            <w:tcW w:w="1189" w:type="dxa"/>
            <w:tcBorders>
              <w:top w:val="single" w:sz="6" w:space="0" w:color="000000"/>
              <w:left w:val="single" w:sz="6" w:space="0" w:color="000000"/>
              <w:bottom w:val="single" w:sz="6" w:space="0" w:color="000000"/>
              <w:right w:val="single" w:sz="6" w:space="0" w:color="000000"/>
            </w:tcBorders>
            <w:vAlign w:val="center"/>
          </w:tcPr>
          <w:p w14:paraId="336BF236" w14:textId="77777777" w:rsidR="00BA5F13" w:rsidRPr="00BA5F13" w:rsidRDefault="00BA5F13" w:rsidP="00BA5F13">
            <w:pPr>
              <w:spacing w:after="0" w:line="259" w:lineRule="auto"/>
              <w:ind w:left="0" w:right="79" w:firstLine="0"/>
              <w:jc w:val="right"/>
            </w:pPr>
            <w:r w:rsidRPr="00BA5F13">
              <w:t xml:space="preserve">0.144 </w:t>
            </w:r>
          </w:p>
        </w:tc>
        <w:tc>
          <w:tcPr>
            <w:tcW w:w="1180" w:type="dxa"/>
            <w:tcBorders>
              <w:top w:val="single" w:sz="6" w:space="0" w:color="000000"/>
              <w:left w:val="single" w:sz="6" w:space="0" w:color="000000"/>
              <w:bottom w:val="single" w:sz="6" w:space="0" w:color="000000"/>
              <w:right w:val="single" w:sz="6" w:space="0" w:color="000000"/>
            </w:tcBorders>
          </w:tcPr>
          <w:p w14:paraId="4F37C38E"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955F26F"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6142499D"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470EFC34"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4EE2D82"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054AD2A"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2B841567"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535CE8A"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C41277F"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vAlign w:val="center"/>
          </w:tcPr>
          <w:p w14:paraId="6A952926" w14:textId="77777777" w:rsidR="00BA5F13" w:rsidRPr="00BA5F13" w:rsidRDefault="00BA5F13" w:rsidP="00BA5F13">
            <w:pPr>
              <w:spacing w:after="0" w:line="259" w:lineRule="auto"/>
              <w:ind w:left="0" w:right="72" w:firstLine="0"/>
              <w:jc w:val="right"/>
            </w:pPr>
            <w:r w:rsidRPr="00BA5F13">
              <w:t xml:space="preserve">0.144 </w:t>
            </w:r>
          </w:p>
        </w:tc>
      </w:tr>
      <w:tr w:rsidR="00BA5F13" w:rsidRPr="00BA5F13" w14:paraId="2202ACBF" w14:textId="77777777" w:rsidTr="004C09BE">
        <w:trPr>
          <w:trHeight w:val="285"/>
        </w:trPr>
        <w:tc>
          <w:tcPr>
            <w:tcW w:w="2204" w:type="dxa"/>
            <w:tcBorders>
              <w:top w:val="single" w:sz="6" w:space="0" w:color="000000"/>
              <w:left w:val="single" w:sz="6" w:space="0" w:color="000000"/>
              <w:bottom w:val="single" w:sz="6" w:space="0" w:color="000000"/>
              <w:right w:val="single" w:sz="6" w:space="0" w:color="000000"/>
            </w:tcBorders>
          </w:tcPr>
          <w:p w14:paraId="1764B5ED" w14:textId="77777777" w:rsidR="00BA5F13" w:rsidRPr="00BA5F13" w:rsidRDefault="00BA5F13" w:rsidP="00BA5F13">
            <w:pPr>
              <w:spacing w:after="0" w:line="259" w:lineRule="auto"/>
              <w:ind w:left="0" w:right="0" w:firstLine="0"/>
              <w:jc w:val="left"/>
            </w:pPr>
            <w:r w:rsidRPr="00BA5F13">
              <w:t xml:space="preserve">Drone </w:t>
            </w:r>
          </w:p>
        </w:tc>
        <w:tc>
          <w:tcPr>
            <w:tcW w:w="1189" w:type="dxa"/>
            <w:tcBorders>
              <w:top w:val="single" w:sz="6" w:space="0" w:color="000000"/>
              <w:left w:val="single" w:sz="6" w:space="0" w:color="000000"/>
              <w:bottom w:val="single" w:sz="6" w:space="0" w:color="000000"/>
              <w:right w:val="single" w:sz="6" w:space="0" w:color="000000"/>
            </w:tcBorders>
          </w:tcPr>
          <w:p w14:paraId="0DA402C4" w14:textId="77777777" w:rsidR="00BA5F13" w:rsidRPr="00BA5F13" w:rsidRDefault="00BA5F13" w:rsidP="00BA5F13">
            <w:pPr>
              <w:spacing w:after="0" w:line="259" w:lineRule="auto"/>
              <w:ind w:left="0" w:right="79" w:firstLine="0"/>
              <w:jc w:val="right"/>
            </w:pPr>
            <w:r w:rsidRPr="00BA5F13">
              <w:t xml:space="preserve">0.030 </w:t>
            </w:r>
          </w:p>
        </w:tc>
        <w:tc>
          <w:tcPr>
            <w:tcW w:w="1180" w:type="dxa"/>
            <w:tcBorders>
              <w:top w:val="single" w:sz="6" w:space="0" w:color="000000"/>
              <w:left w:val="single" w:sz="6" w:space="0" w:color="000000"/>
              <w:bottom w:val="single" w:sz="6" w:space="0" w:color="000000"/>
              <w:right w:val="single" w:sz="6" w:space="0" w:color="000000"/>
            </w:tcBorders>
          </w:tcPr>
          <w:p w14:paraId="680ADF7C"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42C806D"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3A478A0C" w14:textId="77777777" w:rsidR="00BA5F13" w:rsidRPr="00BA5F13" w:rsidRDefault="00BA5F13" w:rsidP="00BA5F13">
            <w:pPr>
              <w:spacing w:after="0" w:line="259" w:lineRule="auto"/>
              <w:ind w:left="0" w:right="85" w:firstLine="0"/>
              <w:jc w:val="right"/>
            </w:pPr>
            <w:r w:rsidRPr="00BA5F13">
              <w:t xml:space="preserve">0.030 </w:t>
            </w:r>
          </w:p>
        </w:tc>
        <w:tc>
          <w:tcPr>
            <w:tcW w:w="1244" w:type="dxa"/>
            <w:tcBorders>
              <w:top w:val="single" w:sz="6" w:space="0" w:color="000000"/>
              <w:left w:val="single" w:sz="6" w:space="0" w:color="000000"/>
              <w:bottom w:val="single" w:sz="6" w:space="0" w:color="000000"/>
              <w:right w:val="single" w:sz="6" w:space="0" w:color="000000"/>
            </w:tcBorders>
          </w:tcPr>
          <w:p w14:paraId="6587CDE4"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5F2945F"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632D39B" w14:textId="77777777" w:rsidR="00BA5F13" w:rsidRPr="00BA5F13" w:rsidRDefault="00BA5F13" w:rsidP="00BA5F13">
            <w:pPr>
              <w:spacing w:after="0" w:line="259" w:lineRule="auto"/>
              <w:ind w:left="0" w:right="70" w:firstLine="0"/>
              <w:jc w:val="right"/>
            </w:pPr>
            <w:r w:rsidRPr="00BA5F13">
              <w:t xml:space="preserve">0.030 </w:t>
            </w:r>
          </w:p>
        </w:tc>
        <w:tc>
          <w:tcPr>
            <w:tcW w:w="1189" w:type="dxa"/>
            <w:tcBorders>
              <w:top w:val="single" w:sz="6" w:space="0" w:color="000000"/>
              <w:left w:val="single" w:sz="6" w:space="0" w:color="000000"/>
              <w:bottom w:val="single" w:sz="6" w:space="0" w:color="000000"/>
              <w:right w:val="single" w:sz="6" w:space="0" w:color="000000"/>
            </w:tcBorders>
          </w:tcPr>
          <w:p w14:paraId="46ECCC02"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55B3562"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71B9D1D"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196710F8" w14:textId="77777777" w:rsidR="00BA5F13" w:rsidRPr="00BA5F13" w:rsidRDefault="00BA5F13" w:rsidP="00BA5F13">
            <w:pPr>
              <w:spacing w:after="0" w:line="259" w:lineRule="auto"/>
              <w:ind w:left="0" w:right="72" w:firstLine="0"/>
              <w:jc w:val="right"/>
            </w:pPr>
            <w:r w:rsidRPr="00BA5F13">
              <w:t xml:space="preserve">0.090 </w:t>
            </w:r>
          </w:p>
        </w:tc>
      </w:tr>
      <w:tr w:rsidR="00BA5F13" w:rsidRPr="00BA5F13" w14:paraId="6ED03AD0" w14:textId="77777777" w:rsidTr="004C09BE">
        <w:trPr>
          <w:trHeight w:val="286"/>
        </w:trPr>
        <w:tc>
          <w:tcPr>
            <w:tcW w:w="2204" w:type="dxa"/>
            <w:tcBorders>
              <w:top w:val="single" w:sz="6" w:space="0" w:color="000000"/>
              <w:left w:val="single" w:sz="6" w:space="0" w:color="000000"/>
              <w:bottom w:val="single" w:sz="6" w:space="0" w:color="000000"/>
              <w:right w:val="single" w:sz="6" w:space="0" w:color="000000"/>
            </w:tcBorders>
          </w:tcPr>
          <w:p w14:paraId="5BA9ED22" w14:textId="77777777" w:rsidR="00BA5F13" w:rsidRPr="00BA5F13" w:rsidRDefault="00BA5F13" w:rsidP="00BA5F13">
            <w:pPr>
              <w:spacing w:after="0" w:line="259" w:lineRule="auto"/>
              <w:ind w:left="0" w:right="0" w:firstLine="0"/>
              <w:jc w:val="left"/>
            </w:pPr>
            <w:r w:rsidRPr="00BA5F13">
              <w:t xml:space="preserve">General </w:t>
            </w:r>
          </w:p>
        </w:tc>
        <w:tc>
          <w:tcPr>
            <w:tcW w:w="1189" w:type="dxa"/>
            <w:tcBorders>
              <w:top w:val="single" w:sz="6" w:space="0" w:color="000000"/>
              <w:left w:val="single" w:sz="6" w:space="0" w:color="000000"/>
              <w:bottom w:val="single" w:sz="6" w:space="0" w:color="000000"/>
              <w:right w:val="single" w:sz="6" w:space="0" w:color="000000"/>
            </w:tcBorders>
          </w:tcPr>
          <w:p w14:paraId="20FB11B6"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AE33D38"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AB07FD5"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4024FD33"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661259C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90C0A3A" w14:textId="77777777" w:rsidR="00BA5F13" w:rsidRPr="00BA5F13" w:rsidRDefault="00BA5F13" w:rsidP="00BA5F13">
            <w:pPr>
              <w:spacing w:after="0" w:line="259" w:lineRule="auto"/>
              <w:ind w:left="0" w:right="70" w:firstLine="0"/>
              <w:jc w:val="right"/>
            </w:pPr>
            <w:r w:rsidRPr="00BA5F13">
              <w:t xml:space="preserve">0.250 </w:t>
            </w:r>
          </w:p>
        </w:tc>
        <w:tc>
          <w:tcPr>
            <w:tcW w:w="1180" w:type="dxa"/>
            <w:tcBorders>
              <w:top w:val="single" w:sz="6" w:space="0" w:color="000000"/>
              <w:left w:val="single" w:sz="6" w:space="0" w:color="000000"/>
              <w:bottom w:val="single" w:sz="6" w:space="0" w:color="000000"/>
              <w:right w:val="single" w:sz="6" w:space="0" w:color="000000"/>
            </w:tcBorders>
          </w:tcPr>
          <w:p w14:paraId="0DF13D79" w14:textId="77777777" w:rsidR="00BA5F13" w:rsidRPr="00BA5F13" w:rsidRDefault="00BA5F13" w:rsidP="00BA5F13">
            <w:pPr>
              <w:spacing w:after="0" w:line="259" w:lineRule="auto"/>
              <w:ind w:left="0" w:right="70" w:firstLine="0"/>
              <w:jc w:val="right"/>
            </w:pPr>
            <w:r w:rsidRPr="00BA5F13">
              <w:t xml:space="preserve">0.250 </w:t>
            </w:r>
          </w:p>
        </w:tc>
        <w:tc>
          <w:tcPr>
            <w:tcW w:w="1189" w:type="dxa"/>
            <w:tcBorders>
              <w:top w:val="single" w:sz="6" w:space="0" w:color="000000"/>
              <w:left w:val="single" w:sz="6" w:space="0" w:color="000000"/>
              <w:bottom w:val="single" w:sz="6" w:space="0" w:color="000000"/>
              <w:right w:val="single" w:sz="6" w:space="0" w:color="000000"/>
            </w:tcBorders>
          </w:tcPr>
          <w:p w14:paraId="7ACFFBBB" w14:textId="77777777" w:rsidR="00BA5F13" w:rsidRPr="00BA5F13" w:rsidRDefault="00BA5F13" w:rsidP="00BA5F13">
            <w:pPr>
              <w:spacing w:after="0" w:line="259" w:lineRule="auto"/>
              <w:ind w:left="0" w:right="79" w:firstLine="0"/>
              <w:jc w:val="right"/>
            </w:pPr>
            <w:r w:rsidRPr="00BA5F13">
              <w:t xml:space="preserve">0.250 </w:t>
            </w:r>
          </w:p>
        </w:tc>
        <w:tc>
          <w:tcPr>
            <w:tcW w:w="1180" w:type="dxa"/>
            <w:tcBorders>
              <w:top w:val="single" w:sz="6" w:space="0" w:color="000000"/>
              <w:left w:val="single" w:sz="6" w:space="0" w:color="000000"/>
              <w:bottom w:val="single" w:sz="6" w:space="0" w:color="000000"/>
              <w:right w:val="single" w:sz="6" w:space="0" w:color="000000"/>
            </w:tcBorders>
          </w:tcPr>
          <w:p w14:paraId="17F93EA8" w14:textId="77777777" w:rsidR="00BA5F13" w:rsidRPr="00BA5F13" w:rsidRDefault="00BA5F13" w:rsidP="00BA5F13">
            <w:pPr>
              <w:spacing w:after="0" w:line="259" w:lineRule="auto"/>
              <w:ind w:left="0" w:right="70" w:firstLine="0"/>
              <w:jc w:val="right"/>
            </w:pPr>
            <w:r w:rsidRPr="00BA5F13">
              <w:t xml:space="preserve">0.250 </w:t>
            </w:r>
          </w:p>
        </w:tc>
        <w:tc>
          <w:tcPr>
            <w:tcW w:w="1180" w:type="dxa"/>
            <w:tcBorders>
              <w:top w:val="single" w:sz="6" w:space="0" w:color="000000"/>
              <w:left w:val="single" w:sz="6" w:space="0" w:color="000000"/>
              <w:bottom w:val="single" w:sz="6" w:space="0" w:color="000000"/>
              <w:right w:val="single" w:sz="6" w:space="0" w:color="000000"/>
            </w:tcBorders>
          </w:tcPr>
          <w:p w14:paraId="4FE5611D" w14:textId="77777777" w:rsidR="00BA5F13" w:rsidRPr="00BA5F13" w:rsidRDefault="00BA5F13" w:rsidP="00BA5F13">
            <w:pPr>
              <w:spacing w:after="0" w:line="259" w:lineRule="auto"/>
              <w:ind w:left="0" w:right="70" w:firstLine="0"/>
              <w:jc w:val="right"/>
            </w:pPr>
            <w:r w:rsidRPr="00BA5F13">
              <w:t xml:space="preserve">0.250 </w:t>
            </w:r>
          </w:p>
        </w:tc>
        <w:tc>
          <w:tcPr>
            <w:tcW w:w="1283" w:type="dxa"/>
            <w:tcBorders>
              <w:top w:val="single" w:sz="6" w:space="0" w:color="000000"/>
              <w:left w:val="single" w:sz="6" w:space="0" w:color="000000"/>
              <w:bottom w:val="single" w:sz="6" w:space="0" w:color="000000"/>
              <w:right w:val="single" w:sz="6" w:space="0" w:color="000000"/>
            </w:tcBorders>
          </w:tcPr>
          <w:p w14:paraId="2DCB6436" w14:textId="77777777" w:rsidR="00BA5F13" w:rsidRPr="00BA5F13" w:rsidRDefault="00BA5F13" w:rsidP="00BA5F13">
            <w:pPr>
              <w:spacing w:after="0" w:line="259" w:lineRule="auto"/>
              <w:ind w:left="0" w:right="72" w:firstLine="0"/>
              <w:jc w:val="right"/>
            </w:pPr>
            <w:r w:rsidRPr="00BA5F13">
              <w:t xml:space="preserve">1.250 </w:t>
            </w:r>
          </w:p>
        </w:tc>
      </w:tr>
      <w:tr w:rsidR="00BA5F13" w:rsidRPr="00BA5F13" w14:paraId="6C31B5AE" w14:textId="77777777" w:rsidTr="004C09BE">
        <w:trPr>
          <w:trHeight w:val="377"/>
        </w:trPr>
        <w:tc>
          <w:tcPr>
            <w:tcW w:w="2204" w:type="dxa"/>
            <w:tcBorders>
              <w:top w:val="single" w:sz="6" w:space="0" w:color="000000"/>
              <w:left w:val="single" w:sz="6" w:space="0" w:color="000000"/>
              <w:bottom w:val="single" w:sz="6" w:space="0" w:color="000000"/>
              <w:right w:val="single" w:sz="6" w:space="0" w:color="000000"/>
            </w:tcBorders>
          </w:tcPr>
          <w:p w14:paraId="456D3D8A" w14:textId="77777777" w:rsidR="00BA5F13" w:rsidRPr="00BA5F13" w:rsidRDefault="00BA5F13" w:rsidP="00BA5F13">
            <w:pPr>
              <w:spacing w:after="0" w:line="259" w:lineRule="auto"/>
              <w:ind w:left="0" w:right="0" w:firstLine="0"/>
              <w:jc w:val="left"/>
            </w:pPr>
            <w:r w:rsidRPr="00BA5F13">
              <w:t>Disposable Gastight Suits</w:t>
            </w:r>
            <w:r w:rsidRPr="00BA5F13">
              <w:rPr>
                <w:b/>
              </w:rPr>
              <w:t xml:space="preserve"> </w:t>
            </w:r>
          </w:p>
        </w:tc>
        <w:tc>
          <w:tcPr>
            <w:tcW w:w="1189" w:type="dxa"/>
            <w:tcBorders>
              <w:top w:val="single" w:sz="6" w:space="0" w:color="000000"/>
              <w:left w:val="single" w:sz="6" w:space="0" w:color="000000"/>
              <w:bottom w:val="single" w:sz="6" w:space="0" w:color="000000"/>
              <w:right w:val="single" w:sz="6" w:space="0" w:color="000000"/>
            </w:tcBorders>
          </w:tcPr>
          <w:p w14:paraId="0ADEBA44" w14:textId="77777777" w:rsidR="00BA5F13" w:rsidRPr="00BA5F13" w:rsidRDefault="00BA5F13" w:rsidP="00BA5F13">
            <w:pPr>
              <w:spacing w:after="0" w:line="259" w:lineRule="auto"/>
              <w:ind w:left="0" w:right="79" w:firstLine="0"/>
              <w:jc w:val="right"/>
            </w:pPr>
            <w:r w:rsidRPr="00BA5F13">
              <w:t>0.042</w:t>
            </w:r>
            <w:r w:rsidRPr="00BA5F13">
              <w:rPr>
                <w:b/>
              </w:rPr>
              <w:t xml:space="preserve"> </w:t>
            </w:r>
          </w:p>
        </w:tc>
        <w:tc>
          <w:tcPr>
            <w:tcW w:w="1180" w:type="dxa"/>
            <w:tcBorders>
              <w:top w:val="single" w:sz="6" w:space="0" w:color="000000"/>
              <w:left w:val="single" w:sz="6" w:space="0" w:color="000000"/>
              <w:bottom w:val="single" w:sz="6" w:space="0" w:color="000000"/>
              <w:right w:val="single" w:sz="6" w:space="0" w:color="000000"/>
            </w:tcBorders>
          </w:tcPr>
          <w:p w14:paraId="1D9C8218"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8379FD3"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28FB119C"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42DF4ABD" w14:textId="77777777" w:rsidR="00BA5F13" w:rsidRPr="00BA5F13" w:rsidRDefault="00BA5F13" w:rsidP="00BA5F13">
            <w:pPr>
              <w:spacing w:after="0" w:line="259" w:lineRule="auto"/>
              <w:ind w:left="0" w:right="70" w:firstLine="0"/>
              <w:jc w:val="right"/>
            </w:pPr>
            <w:r w:rsidRPr="00BA5F13">
              <w:t>0.500</w:t>
            </w:r>
            <w:r w:rsidRPr="00BA5F13">
              <w:rPr>
                <w:b/>
              </w:rPr>
              <w:t xml:space="preserve"> </w:t>
            </w:r>
          </w:p>
        </w:tc>
        <w:tc>
          <w:tcPr>
            <w:tcW w:w="1180" w:type="dxa"/>
            <w:tcBorders>
              <w:top w:val="single" w:sz="6" w:space="0" w:color="000000"/>
              <w:left w:val="single" w:sz="6" w:space="0" w:color="000000"/>
              <w:bottom w:val="single" w:sz="6" w:space="0" w:color="000000"/>
              <w:right w:val="single" w:sz="6" w:space="0" w:color="000000"/>
            </w:tcBorders>
          </w:tcPr>
          <w:p w14:paraId="0B430FE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6C6B3B7"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2FE94B4C"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3FA77F4"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AD8A135"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43AD58BA" w14:textId="77777777" w:rsidR="00BA5F13" w:rsidRPr="00BA5F13" w:rsidRDefault="00BA5F13" w:rsidP="00BA5F13">
            <w:pPr>
              <w:spacing w:after="0" w:line="259" w:lineRule="auto"/>
              <w:ind w:left="0" w:right="72" w:firstLine="0"/>
              <w:jc w:val="right"/>
            </w:pPr>
            <w:r w:rsidRPr="00BA5F13">
              <w:t>0.542</w:t>
            </w:r>
            <w:r w:rsidRPr="00BA5F13">
              <w:rPr>
                <w:b/>
              </w:rPr>
              <w:t xml:space="preserve"> </w:t>
            </w:r>
          </w:p>
        </w:tc>
      </w:tr>
      <w:tr w:rsidR="00BA5F13" w:rsidRPr="00BA5F13" w14:paraId="00E99704" w14:textId="77777777" w:rsidTr="004C09BE">
        <w:trPr>
          <w:trHeight w:val="282"/>
        </w:trPr>
        <w:tc>
          <w:tcPr>
            <w:tcW w:w="2204" w:type="dxa"/>
            <w:tcBorders>
              <w:top w:val="single" w:sz="6" w:space="0" w:color="000000"/>
              <w:left w:val="single" w:sz="6" w:space="0" w:color="000000"/>
              <w:bottom w:val="single" w:sz="6" w:space="0" w:color="000000"/>
              <w:right w:val="single" w:sz="6" w:space="0" w:color="000000"/>
            </w:tcBorders>
          </w:tcPr>
          <w:p w14:paraId="4A13B372" w14:textId="77777777" w:rsidR="00BA5F13" w:rsidRPr="00BA5F13" w:rsidRDefault="00BA5F13" w:rsidP="00BA5F13">
            <w:pPr>
              <w:spacing w:after="0" w:line="259" w:lineRule="auto"/>
              <w:ind w:left="0" w:right="0" w:firstLine="0"/>
              <w:jc w:val="left"/>
            </w:pPr>
            <w:r w:rsidRPr="00BA5F13">
              <w:rPr>
                <w:b/>
              </w:rPr>
              <w:t xml:space="preserve">Subtotal </w:t>
            </w:r>
          </w:p>
        </w:tc>
        <w:tc>
          <w:tcPr>
            <w:tcW w:w="1189" w:type="dxa"/>
            <w:tcBorders>
              <w:top w:val="single" w:sz="6" w:space="0" w:color="000000"/>
              <w:left w:val="single" w:sz="6" w:space="0" w:color="000000"/>
              <w:bottom w:val="single" w:sz="6" w:space="0" w:color="000000"/>
              <w:right w:val="single" w:sz="6" w:space="0" w:color="000000"/>
            </w:tcBorders>
            <w:shd w:val="clear" w:color="auto" w:fill="F2F2F2"/>
          </w:tcPr>
          <w:p w14:paraId="70D7F128" w14:textId="77777777" w:rsidR="00BA5F13" w:rsidRPr="00BA5F13" w:rsidRDefault="00BA5F13" w:rsidP="00BA5F13">
            <w:pPr>
              <w:spacing w:after="0" w:line="259" w:lineRule="auto"/>
              <w:ind w:left="0" w:right="79" w:firstLine="0"/>
              <w:jc w:val="right"/>
            </w:pPr>
            <w:r w:rsidRPr="00BA5F13">
              <w:rPr>
                <w:b/>
              </w:rPr>
              <w:t xml:space="preserve">1.269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274B7615" w14:textId="77777777" w:rsidR="00BA5F13" w:rsidRPr="00BA5F13" w:rsidRDefault="00BA5F13" w:rsidP="00BA5F13">
            <w:pPr>
              <w:spacing w:after="0" w:line="259" w:lineRule="auto"/>
              <w:ind w:left="0" w:right="70" w:firstLine="0"/>
              <w:jc w:val="right"/>
            </w:pPr>
            <w:r w:rsidRPr="00BA5F13">
              <w:rPr>
                <w:b/>
              </w:rPr>
              <w:t xml:space="preserve">1.018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14FDC27F" w14:textId="77777777" w:rsidR="00BA5F13" w:rsidRPr="00BA5F13" w:rsidRDefault="00BA5F13" w:rsidP="00BA5F13">
            <w:pPr>
              <w:spacing w:after="0" w:line="259" w:lineRule="auto"/>
              <w:ind w:left="0" w:right="70" w:firstLine="0"/>
              <w:jc w:val="right"/>
            </w:pPr>
            <w:r w:rsidRPr="00BA5F13">
              <w:rPr>
                <w:b/>
              </w:rPr>
              <w:t xml:space="preserve">0.900 </w:t>
            </w:r>
          </w:p>
        </w:tc>
        <w:tc>
          <w:tcPr>
            <w:tcW w:w="1195" w:type="dxa"/>
            <w:tcBorders>
              <w:top w:val="single" w:sz="6" w:space="0" w:color="000000"/>
              <w:left w:val="single" w:sz="6" w:space="0" w:color="000000"/>
              <w:bottom w:val="single" w:sz="6" w:space="0" w:color="000000"/>
              <w:right w:val="single" w:sz="6" w:space="0" w:color="000000"/>
            </w:tcBorders>
            <w:shd w:val="clear" w:color="auto" w:fill="F2F2F2"/>
          </w:tcPr>
          <w:p w14:paraId="661B44D2" w14:textId="77777777" w:rsidR="00BA5F13" w:rsidRPr="00BA5F13" w:rsidRDefault="00BA5F13" w:rsidP="00BA5F13">
            <w:pPr>
              <w:spacing w:after="0" w:line="259" w:lineRule="auto"/>
              <w:ind w:left="0" w:right="85" w:firstLine="0"/>
              <w:jc w:val="right"/>
            </w:pPr>
            <w:r w:rsidRPr="00BA5F13">
              <w:rPr>
                <w:b/>
              </w:rPr>
              <w:t xml:space="preserve">0.368 </w:t>
            </w:r>
          </w:p>
        </w:tc>
        <w:tc>
          <w:tcPr>
            <w:tcW w:w="1244" w:type="dxa"/>
            <w:tcBorders>
              <w:top w:val="single" w:sz="6" w:space="0" w:color="000000"/>
              <w:left w:val="single" w:sz="6" w:space="0" w:color="000000"/>
              <w:bottom w:val="single" w:sz="6" w:space="0" w:color="000000"/>
              <w:right w:val="single" w:sz="6" w:space="0" w:color="000000"/>
            </w:tcBorders>
            <w:shd w:val="clear" w:color="auto" w:fill="F2F2F2"/>
          </w:tcPr>
          <w:p w14:paraId="3F2C1F74" w14:textId="77777777" w:rsidR="00BA5F13" w:rsidRPr="00BA5F13" w:rsidRDefault="00BA5F13" w:rsidP="00BA5F13">
            <w:pPr>
              <w:spacing w:after="0" w:line="259" w:lineRule="auto"/>
              <w:ind w:left="0" w:right="70" w:firstLine="0"/>
              <w:jc w:val="right"/>
            </w:pPr>
            <w:r w:rsidRPr="00BA5F13">
              <w:rPr>
                <w:b/>
              </w:rPr>
              <w:t xml:space="preserve">0.553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1ABF85F3" w14:textId="77777777" w:rsidR="00BA5F13" w:rsidRPr="00BA5F13" w:rsidRDefault="00BA5F13" w:rsidP="00BA5F13">
            <w:pPr>
              <w:spacing w:after="0" w:line="259" w:lineRule="auto"/>
              <w:ind w:left="0" w:right="70" w:firstLine="0"/>
              <w:jc w:val="right"/>
            </w:pPr>
            <w:r w:rsidRPr="00BA5F13">
              <w:rPr>
                <w:b/>
              </w:rPr>
              <w:t xml:space="preserve">0.313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408288D4" w14:textId="77777777" w:rsidR="00BA5F13" w:rsidRPr="00BA5F13" w:rsidRDefault="00BA5F13" w:rsidP="00BA5F13">
            <w:pPr>
              <w:spacing w:after="0" w:line="259" w:lineRule="auto"/>
              <w:ind w:left="0" w:right="70" w:firstLine="0"/>
              <w:jc w:val="right"/>
            </w:pPr>
            <w:r w:rsidRPr="00BA5F13">
              <w:rPr>
                <w:b/>
              </w:rPr>
              <w:t xml:space="preserve">0.298 </w:t>
            </w:r>
          </w:p>
        </w:tc>
        <w:tc>
          <w:tcPr>
            <w:tcW w:w="1189" w:type="dxa"/>
            <w:tcBorders>
              <w:top w:val="single" w:sz="6" w:space="0" w:color="000000"/>
              <w:left w:val="single" w:sz="6" w:space="0" w:color="000000"/>
              <w:bottom w:val="single" w:sz="6" w:space="0" w:color="000000"/>
              <w:right w:val="single" w:sz="6" w:space="0" w:color="000000"/>
            </w:tcBorders>
            <w:shd w:val="clear" w:color="auto" w:fill="F2F2F2"/>
          </w:tcPr>
          <w:p w14:paraId="6AC806C7" w14:textId="77777777" w:rsidR="00BA5F13" w:rsidRPr="00BA5F13" w:rsidRDefault="00BA5F13" w:rsidP="00BA5F13">
            <w:pPr>
              <w:spacing w:after="0" w:line="259" w:lineRule="auto"/>
              <w:ind w:left="0" w:right="79" w:firstLine="0"/>
              <w:jc w:val="right"/>
            </w:pPr>
            <w:r w:rsidRPr="00BA5F13">
              <w:rPr>
                <w:b/>
              </w:rPr>
              <w:t xml:space="preserve">0.321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16B8F15D" w14:textId="77777777" w:rsidR="00BA5F13" w:rsidRPr="00BA5F13" w:rsidRDefault="00BA5F13" w:rsidP="00BA5F13">
            <w:pPr>
              <w:spacing w:after="0" w:line="259" w:lineRule="auto"/>
              <w:ind w:left="0" w:right="70" w:firstLine="0"/>
              <w:jc w:val="right"/>
            </w:pPr>
            <w:r w:rsidRPr="00BA5F13">
              <w:rPr>
                <w:b/>
              </w:rPr>
              <w:t xml:space="preserve">0.268 </w:t>
            </w:r>
          </w:p>
        </w:tc>
        <w:tc>
          <w:tcPr>
            <w:tcW w:w="1180" w:type="dxa"/>
            <w:tcBorders>
              <w:top w:val="single" w:sz="6" w:space="0" w:color="000000"/>
              <w:left w:val="single" w:sz="6" w:space="0" w:color="000000"/>
              <w:bottom w:val="single" w:sz="6" w:space="0" w:color="000000"/>
              <w:right w:val="single" w:sz="6" w:space="0" w:color="000000"/>
            </w:tcBorders>
            <w:shd w:val="clear" w:color="auto" w:fill="F2F2F2"/>
          </w:tcPr>
          <w:p w14:paraId="50103402" w14:textId="77777777" w:rsidR="00BA5F13" w:rsidRPr="00BA5F13" w:rsidRDefault="00BA5F13" w:rsidP="00BA5F13">
            <w:pPr>
              <w:spacing w:after="0" w:line="259" w:lineRule="auto"/>
              <w:ind w:left="0" w:right="70" w:firstLine="0"/>
              <w:jc w:val="right"/>
            </w:pPr>
            <w:r w:rsidRPr="00BA5F13">
              <w:rPr>
                <w:b/>
              </w:rPr>
              <w:t xml:space="preserve">0.250 </w:t>
            </w:r>
          </w:p>
        </w:tc>
        <w:tc>
          <w:tcPr>
            <w:tcW w:w="1283" w:type="dxa"/>
            <w:tcBorders>
              <w:top w:val="single" w:sz="6" w:space="0" w:color="000000"/>
              <w:left w:val="single" w:sz="6" w:space="0" w:color="000000"/>
              <w:bottom w:val="single" w:sz="6" w:space="0" w:color="000000"/>
              <w:right w:val="single" w:sz="6" w:space="0" w:color="000000"/>
            </w:tcBorders>
            <w:shd w:val="clear" w:color="auto" w:fill="F2F2F2"/>
          </w:tcPr>
          <w:p w14:paraId="18A8058C" w14:textId="77777777" w:rsidR="00BA5F13" w:rsidRPr="00BA5F13" w:rsidRDefault="00BA5F13" w:rsidP="00BA5F13">
            <w:pPr>
              <w:spacing w:after="0" w:line="259" w:lineRule="auto"/>
              <w:ind w:left="0" w:right="72" w:firstLine="0"/>
              <w:jc w:val="right"/>
            </w:pPr>
            <w:r w:rsidRPr="00BA5F13">
              <w:rPr>
                <w:b/>
              </w:rPr>
              <w:t xml:space="preserve">5.556 </w:t>
            </w:r>
          </w:p>
        </w:tc>
      </w:tr>
      <w:tr w:rsidR="00BA5F13" w:rsidRPr="00BA5F13" w14:paraId="02DDA5EA" w14:textId="77777777" w:rsidTr="004C09BE">
        <w:trPr>
          <w:trHeight w:val="287"/>
        </w:trPr>
        <w:tc>
          <w:tcPr>
            <w:tcW w:w="2204" w:type="dxa"/>
            <w:tcBorders>
              <w:top w:val="single" w:sz="6" w:space="0" w:color="000000"/>
              <w:left w:val="single" w:sz="6" w:space="0" w:color="000000"/>
              <w:bottom w:val="single" w:sz="6" w:space="0" w:color="000000"/>
              <w:right w:val="single" w:sz="6" w:space="0" w:color="000000"/>
            </w:tcBorders>
          </w:tcPr>
          <w:p w14:paraId="1C532F0D" w14:textId="77777777" w:rsidR="00BA5F13" w:rsidRPr="00BA5F13" w:rsidRDefault="00BA5F13" w:rsidP="00BA5F13">
            <w:pPr>
              <w:spacing w:after="0" w:line="259" w:lineRule="auto"/>
              <w:ind w:left="0" w:right="0" w:firstLine="0"/>
              <w:jc w:val="left"/>
            </w:pPr>
            <w:r w:rsidRPr="00BA5F13">
              <w:rPr>
                <w:b/>
              </w:rPr>
              <w:t>Buildings</w:t>
            </w:r>
            <w:r w:rsidRPr="00BA5F13">
              <w:t xml:space="preserve"> </w:t>
            </w:r>
          </w:p>
        </w:tc>
        <w:tc>
          <w:tcPr>
            <w:tcW w:w="1189" w:type="dxa"/>
            <w:tcBorders>
              <w:top w:val="single" w:sz="6" w:space="0" w:color="000000"/>
              <w:left w:val="single" w:sz="6" w:space="0" w:color="000000"/>
              <w:bottom w:val="single" w:sz="6" w:space="0" w:color="000000"/>
              <w:right w:val="single" w:sz="6" w:space="0" w:color="000000"/>
            </w:tcBorders>
          </w:tcPr>
          <w:p w14:paraId="3E40BAD9"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44CF3DB"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733F2A0"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0EEFA458"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1A806AA2"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B879833"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BE6C414"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4EFD0E27"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D14D4AB"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32F908C"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52C8F7F7" w14:textId="77777777" w:rsidR="00BA5F13" w:rsidRPr="00BA5F13" w:rsidRDefault="00BA5F13" w:rsidP="00BA5F13">
            <w:pPr>
              <w:spacing w:after="0" w:line="259" w:lineRule="auto"/>
              <w:ind w:left="0" w:right="2" w:firstLine="0"/>
              <w:jc w:val="right"/>
            </w:pPr>
          </w:p>
        </w:tc>
      </w:tr>
      <w:tr w:rsidR="00BA5F13" w:rsidRPr="00BA5F13" w14:paraId="65F75490" w14:textId="77777777" w:rsidTr="004C09BE">
        <w:trPr>
          <w:trHeight w:val="300"/>
        </w:trPr>
        <w:tc>
          <w:tcPr>
            <w:tcW w:w="2204" w:type="dxa"/>
            <w:tcBorders>
              <w:top w:val="single" w:sz="6" w:space="0" w:color="000000"/>
              <w:left w:val="single" w:sz="6" w:space="0" w:color="000000"/>
              <w:bottom w:val="single" w:sz="6" w:space="0" w:color="000000"/>
              <w:right w:val="single" w:sz="6" w:space="0" w:color="000000"/>
            </w:tcBorders>
          </w:tcPr>
          <w:p w14:paraId="0C32AAB3" w14:textId="77777777" w:rsidR="00BA5F13" w:rsidRPr="00BA5F13" w:rsidRDefault="00BA5F13" w:rsidP="00BA5F13">
            <w:pPr>
              <w:spacing w:after="0" w:line="259" w:lineRule="auto"/>
              <w:ind w:left="0" w:right="0" w:firstLine="0"/>
              <w:jc w:val="left"/>
            </w:pPr>
            <w:r w:rsidRPr="00BA5F13">
              <w:t xml:space="preserve">Wylfa Training Prop </w:t>
            </w:r>
          </w:p>
        </w:tc>
        <w:tc>
          <w:tcPr>
            <w:tcW w:w="1189" w:type="dxa"/>
            <w:tcBorders>
              <w:top w:val="single" w:sz="6" w:space="0" w:color="000000"/>
              <w:left w:val="single" w:sz="6" w:space="0" w:color="000000"/>
              <w:bottom w:val="single" w:sz="6" w:space="0" w:color="000000"/>
              <w:right w:val="single" w:sz="6" w:space="0" w:color="000000"/>
            </w:tcBorders>
          </w:tcPr>
          <w:p w14:paraId="0ECB3A59" w14:textId="77777777" w:rsidR="00BA5F13" w:rsidRPr="00BA5F13" w:rsidRDefault="00BA5F13" w:rsidP="00BA5F13">
            <w:pPr>
              <w:spacing w:after="0" w:line="259" w:lineRule="auto"/>
              <w:ind w:left="0" w:right="79" w:firstLine="0"/>
              <w:jc w:val="right"/>
            </w:pPr>
            <w:r w:rsidRPr="00BA5F13">
              <w:t xml:space="preserve">0.125 </w:t>
            </w:r>
          </w:p>
        </w:tc>
        <w:tc>
          <w:tcPr>
            <w:tcW w:w="1180" w:type="dxa"/>
            <w:tcBorders>
              <w:top w:val="single" w:sz="6" w:space="0" w:color="000000"/>
              <w:left w:val="single" w:sz="6" w:space="0" w:color="000000"/>
              <w:bottom w:val="single" w:sz="6" w:space="0" w:color="000000"/>
              <w:right w:val="single" w:sz="6" w:space="0" w:color="000000"/>
            </w:tcBorders>
          </w:tcPr>
          <w:p w14:paraId="258A1DF9"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EACA626"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006EC2FB"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343AD7C6" w14:textId="77777777" w:rsidR="00BA5F13" w:rsidRPr="00BA5F13" w:rsidRDefault="00BA5F13" w:rsidP="00BA5F13">
            <w:pPr>
              <w:spacing w:after="0" w:line="259" w:lineRule="auto"/>
              <w:ind w:left="0" w:right="70" w:firstLine="0"/>
              <w:jc w:val="right"/>
            </w:pPr>
            <w:r w:rsidRPr="00BA5F13">
              <w:t xml:space="preserve">0.500 </w:t>
            </w:r>
          </w:p>
        </w:tc>
        <w:tc>
          <w:tcPr>
            <w:tcW w:w="1180" w:type="dxa"/>
            <w:tcBorders>
              <w:top w:val="single" w:sz="6" w:space="0" w:color="000000"/>
              <w:left w:val="single" w:sz="6" w:space="0" w:color="000000"/>
              <w:bottom w:val="single" w:sz="6" w:space="0" w:color="000000"/>
              <w:right w:val="single" w:sz="6" w:space="0" w:color="000000"/>
            </w:tcBorders>
          </w:tcPr>
          <w:p w14:paraId="5074906F"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2D5DEEF"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01D64880"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4A80987"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D824E46"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5B018FD2" w14:textId="77777777" w:rsidR="00BA5F13" w:rsidRPr="00BA5F13" w:rsidRDefault="00BA5F13" w:rsidP="00BA5F13">
            <w:pPr>
              <w:spacing w:after="0" w:line="259" w:lineRule="auto"/>
              <w:ind w:left="0" w:right="72" w:firstLine="0"/>
              <w:jc w:val="right"/>
            </w:pPr>
            <w:r w:rsidRPr="00BA5F13">
              <w:t xml:space="preserve">0.625 </w:t>
            </w:r>
          </w:p>
        </w:tc>
      </w:tr>
      <w:tr w:rsidR="00BA5F13" w:rsidRPr="00BA5F13" w14:paraId="1C383BF2" w14:textId="77777777" w:rsidTr="004C09BE">
        <w:trPr>
          <w:trHeight w:val="285"/>
        </w:trPr>
        <w:tc>
          <w:tcPr>
            <w:tcW w:w="2204" w:type="dxa"/>
            <w:tcBorders>
              <w:top w:val="single" w:sz="6" w:space="0" w:color="000000"/>
              <w:left w:val="single" w:sz="6" w:space="0" w:color="000000"/>
              <w:bottom w:val="single" w:sz="6" w:space="0" w:color="000000"/>
              <w:right w:val="single" w:sz="6" w:space="0" w:color="000000"/>
            </w:tcBorders>
          </w:tcPr>
          <w:p w14:paraId="5C73FA05" w14:textId="77777777" w:rsidR="00BA5F13" w:rsidRPr="00BA5F13" w:rsidRDefault="00BA5F13" w:rsidP="00BA5F13">
            <w:pPr>
              <w:spacing w:after="0" w:line="259" w:lineRule="auto"/>
              <w:ind w:left="0" w:right="0" w:firstLine="0"/>
              <w:jc w:val="left"/>
            </w:pPr>
            <w:r w:rsidRPr="00BA5F13">
              <w:lastRenderedPageBreak/>
              <w:t xml:space="preserve">Blackpool Dormitory </w:t>
            </w:r>
          </w:p>
        </w:tc>
        <w:tc>
          <w:tcPr>
            <w:tcW w:w="1189" w:type="dxa"/>
            <w:tcBorders>
              <w:top w:val="single" w:sz="6" w:space="0" w:color="000000"/>
              <w:left w:val="single" w:sz="6" w:space="0" w:color="000000"/>
              <w:bottom w:val="single" w:sz="6" w:space="0" w:color="000000"/>
              <w:right w:val="single" w:sz="6" w:space="0" w:color="000000"/>
            </w:tcBorders>
          </w:tcPr>
          <w:p w14:paraId="684B6642" w14:textId="77777777" w:rsidR="00BA5F13" w:rsidRPr="00BA5F13" w:rsidRDefault="00BA5F13" w:rsidP="00BA5F13">
            <w:pPr>
              <w:spacing w:after="0" w:line="259" w:lineRule="auto"/>
              <w:ind w:left="0" w:right="79" w:firstLine="0"/>
              <w:jc w:val="right"/>
            </w:pPr>
            <w:r w:rsidRPr="00BA5F13">
              <w:t xml:space="preserve">0.835 </w:t>
            </w:r>
          </w:p>
        </w:tc>
        <w:tc>
          <w:tcPr>
            <w:tcW w:w="1180" w:type="dxa"/>
            <w:tcBorders>
              <w:top w:val="single" w:sz="6" w:space="0" w:color="000000"/>
              <w:left w:val="single" w:sz="6" w:space="0" w:color="000000"/>
              <w:bottom w:val="single" w:sz="6" w:space="0" w:color="000000"/>
              <w:right w:val="single" w:sz="6" w:space="0" w:color="000000"/>
            </w:tcBorders>
          </w:tcPr>
          <w:p w14:paraId="2F9EE704"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E1153A6"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79C30747"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49FB3849"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5AB2E59"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31DE067"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3C36A19D"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6E2E7D8"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9E4FAD9"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00782536" w14:textId="77777777" w:rsidR="00BA5F13" w:rsidRPr="00BA5F13" w:rsidRDefault="00BA5F13" w:rsidP="00BA5F13">
            <w:pPr>
              <w:spacing w:after="0" w:line="259" w:lineRule="auto"/>
              <w:ind w:left="0" w:right="72" w:firstLine="0"/>
              <w:jc w:val="right"/>
            </w:pPr>
            <w:r w:rsidRPr="00BA5F13">
              <w:t xml:space="preserve">0.835 </w:t>
            </w:r>
          </w:p>
        </w:tc>
      </w:tr>
      <w:tr w:rsidR="00BA5F13" w:rsidRPr="00BA5F13" w14:paraId="4DCF6AA8" w14:textId="77777777" w:rsidTr="004C09BE">
        <w:trPr>
          <w:trHeight w:val="285"/>
        </w:trPr>
        <w:tc>
          <w:tcPr>
            <w:tcW w:w="2204" w:type="dxa"/>
            <w:tcBorders>
              <w:top w:val="single" w:sz="6" w:space="0" w:color="000000"/>
              <w:left w:val="single" w:sz="6" w:space="0" w:color="000000"/>
              <w:bottom w:val="single" w:sz="6" w:space="0" w:color="000000"/>
              <w:right w:val="single" w:sz="6" w:space="0" w:color="000000"/>
            </w:tcBorders>
          </w:tcPr>
          <w:p w14:paraId="346076A7" w14:textId="77777777" w:rsidR="00BA5F13" w:rsidRPr="00BA5F13" w:rsidRDefault="00BA5F13" w:rsidP="00BA5F13">
            <w:pPr>
              <w:spacing w:after="0" w:line="259" w:lineRule="auto"/>
              <w:ind w:left="0" w:right="0" w:firstLine="0"/>
              <w:jc w:val="left"/>
            </w:pPr>
            <w:r w:rsidRPr="00BA5F13">
              <w:t xml:space="preserve">Drill tower replacements </w:t>
            </w:r>
          </w:p>
        </w:tc>
        <w:tc>
          <w:tcPr>
            <w:tcW w:w="1189" w:type="dxa"/>
            <w:tcBorders>
              <w:top w:val="single" w:sz="6" w:space="0" w:color="000000"/>
              <w:left w:val="single" w:sz="6" w:space="0" w:color="000000"/>
              <w:bottom w:val="single" w:sz="6" w:space="0" w:color="000000"/>
              <w:right w:val="single" w:sz="6" w:space="0" w:color="000000"/>
            </w:tcBorders>
          </w:tcPr>
          <w:p w14:paraId="73B4AB6F" w14:textId="77777777" w:rsidR="00BA5F13" w:rsidRPr="00BA5F13" w:rsidRDefault="00BA5F13" w:rsidP="00BA5F13">
            <w:pPr>
              <w:spacing w:after="0" w:line="259" w:lineRule="auto"/>
              <w:ind w:left="0" w:right="79" w:firstLine="0"/>
              <w:jc w:val="right"/>
            </w:pPr>
            <w:r w:rsidRPr="00BA5F13">
              <w:t>1.155</w:t>
            </w:r>
            <w:r w:rsidRPr="00BA5F13">
              <w:rPr>
                <w:b/>
              </w:rPr>
              <w:t xml:space="preserve"> </w:t>
            </w:r>
          </w:p>
        </w:tc>
        <w:tc>
          <w:tcPr>
            <w:tcW w:w="1180" w:type="dxa"/>
            <w:tcBorders>
              <w:top w:val="single" w:sz="6" w:space="0" w:color="000000"/>
              <w:left w:val="single" w:sz="6" w:space="0" w:color="000000"/>
              <w:bottom w:val="single" w:sz="6" w:space="0" w:color="000000"/>
              <w:right w:val="single" w:sz="6" w:space="0" w:color="000000"/>
            </w:tcBorders>
          </w:tcPr>
          <w:p w14:paraId="7521C3CF" w14:textId="77777777" w:rsidR="00BA5F13" w:rsidRPr="00BA5F13" w:rsidRDefault="00BA5F13" w:rsidP="00BA5F13">
            <w:pPr>
              <w:spacing w:after="0" w:line="259" w:lineRule="auto"/>
              <w:ind w:left="0" w:right="70" w:firstLine="0"/>
              <w:jc w:val="right"/>
            </w:pPr>
            <w:r w:rsidRPr="00BA5F13">
              <w:t>0.600</w:t>
            </w:r>
            <w:r w:rsidRPr="00BA5F13">
              <w:rPr>
                <w:b/>
              </w:rPr>
              <w:t xml:space="preserve"> </w:t>
            </w:r>
          </w:p>
        </w:tc>
        <w:tc>
          <w:tcPr>
            <w:tcW w:w="1180" w:type="dxa"/>
            <w:tcBorders>
              <w:top w:val="single" w:sz="6" w:space="0" w:color="000000"/>
              <w:left w:val="single" w:sz="6" w:space="0" w:color="000000"/>
              <w:bottom w:val="single" w:sz="6" w:space="0" w:color="000000"/>
              <w:right w:val="single" w:sz="6" w:space="0" w:color="000000"/>
            </w:tcBorders>
          </w:tcPr>
          <w:p w14:paraId="2B61D5CF" w14:textId="77777777" w:rsidR="00BA5F13" w:rsidRPr="00BA5F13" w:rsidRDefault="00BA5F13" w:rsidP="00BA5F13">
            <w:pPr>
              <w:spacing w:after="0" w:line="259" w:lineRule="auto"/>
              <w:ind w:left="0" w:right="70" w:firstLine="0"/>
              <w:jc w:val="right"/>
            </w:pPr>
            <w:r w:rsidRPr="00BA5F13">
              <w:t>0.600</w:t>
            </w:r>
            <w:r w:rsidRPr="00BA5F13">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14:paraId="6354388B" w14:textId="77777777" w:rsidR="00BA5F13" w:rsidRPr="00BA5F13" w:rsidRDefault="00BA5F13" w:rsidP="00BA5F13">
            <w:pPr>
              <w:spacing w:after="0" w:line="259" w:lineRule="auto"/>
              <w:ind w:left="0" w:right="85" w:firstLine="0"/>
              <w:jc w:val="right"/>
            </w:pPr>
            <w:r w:rsidRPr="00BA5F13">
              <w:t>0.600</w:t>
            </w:r>
            <w:r w:rsidRPr="00BA5F13">
              <w:rPr>
                <w:b/>
              </w:rPr>
              <w:t xml:space="preserve"> </w:t>
            </w:r>
          </w:p>
        </w:tc>
        <w:tc>
          <w:tcPr>
            <w:tcW w:w="1244" w:type="dxa"/>
            <w:tcBorders>
              <w:top w:val="single" w:sz="6" w:space="0" w:color="000000"/>
              <w:left w:val="single" w:sz="6" w:space="0" w:color="000000"/>
              <w:bottom w:val="single" w:sz="6" w:space="0" w:color="000000"/>
              <w:right w:val="single" w:sz="6" w:space="0" w:color="000000"/>
            </w:tcBorders>
          </w:tcPr>
          <w:p w14:paraId="310A1E3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C36D9A8"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F48F786"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7D4C7BF5"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A3C739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C2C59EC"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4C82B7BB" w14:textId="77777777" w:rsidR="00BA5F13" w:rsidRPr="00BA5F13" w:rsidRDefault="00BA5F13" w:rsidP="00BA5F13">
            <w:pPr>
              <w:spacing w:after="0" w:line="259" w:lineRule="auto"/>
              <w:ind w:left="0" w:right="72" w:firstLine="0"/>
              <w:jc w:val="right"/>
            </w:pPr>
            <w:r w:rsidRPr="00BA5F13">
              <w:t>2.955</w:t>
            </w:r>
            <w:r w:rsidRPr="00BA5F13">
              <w:rPr>
                <w:b/>
              </w:rPr>
              <w:t xml:space="preserve"> </w:t>
            </w:r>
          </w:p>
        </w:tc>
      </w:tr>
      <w:tr w:rsidR="00BA5F13" w:rsidRPr="00BA5F13" w14:paraId="088A2350" w14:textId="77777777" w:rsidTr="004C09BE">
        <w:trPr>
          <w:trHeight w:val="556"/>
        </w:trPr>
        <w:tc>
          <w:tcPr>
            <w:tcW w:w="2204" w:type="dxa"/>
            <w:tcBorders>
              <w:top w:val="single" w:sz="6" w:space="0" w:color="000000"/>
              <w:left w:val="single" w:sz="6" w:space="0" w:color="000000"/>
              <w:bottom w:val="single" w:sz="6" w:space="0" w:color="000000"/>
              <w:right w:val="single" w:sz="6" w:space="0" w:color="000000"/>
            </w:tcBorders>
          </w:tcPr>
          <w:p w14:paraId="293B9430" w14:textId="77777777" w:rsidR="00BA5F13" w:rsidRPr="00BA5F13" w:rsidRDefault="00BA5F13" w:rsidP="00BA5F13">
            <w:pPr>
              <w:spacing w:after="0" w:line="259" w:lineRule="auto"/>
              <w:ind w:left="0" w:right="0" w:firstLine="0"/>
              <w:jc w:val="left"/>
            </w:pPr>
            <w:r w:rsidRPr="00BA5F13">
              <w:t>Estate Improvement Provision</w:t>
            </w:r>
            <w:r w:rsidRPr="00BA5F13">
              <w:rPr>
                <w:b/>
              </w:rPr>
              <w:t xml:space="preserve"> </w:t>
            </w:r>
          </w:p>
        </w:tc>
        <w:tc>
          <w:tcPr>
            <w:tcW w:w="1189" w:type="dxa"/>
            <w:tcBorders>
              <w:top w:val="single" w:sz="6" w:space="0" w:color="000000"/>
              <w:left w:val="single" w:sz="6" w:space="0" w:color="000000"/>
              <w:bottom w:val="single" w:sz="6" w:space="0" w:color="000000"/>
              <w:right w:val="single" w:sz="6" w:space="0" w:color="000000"/>
            </w:tcBorders>
            <w:vAlign w:val="center"/>
          </w:tcPr>
          <w:p w14:paraId="6DB0B127" w14:textId="77777777" w:rsidR="00BA5F13" w:rsidRPr="00BA5F13" w:rsidRDefault="00BA5F13" w:rsidP="00BA5F13">
            <w:pPr>
              <w:spacing w:after="0" w:line="259" w:lineRule="auto"/>
              <w:ind w:left="0" w:right="79" w:firstLine="0"/>
              <w:jc w:val="right"/>
            </w:pPr>
            <w:r w:rsidRPr="00BA5F13">
              <w:t>0.349</w:t>
            </w:r>
            <w:r w:rsidRPr="00BA5F13">
              <w:rPr>
                <w:b/>
              </w:rPr>
              <w:t xml:space="preserve"> </w:t>
            </w:r>
          </w:p>
        </w:tc>
        <w:tc>
          <w:tcPr>
            <w:tcW w:w="1180" w:type="dxa"/>
            <w:tcBorders>
              <w:top w:val="single" w:sz="6" w:space="0" w:color="000000"/>
              <w:left w:val="single" w:sz="6" w:space="0" w:color="000000"/>
              <w:bottom w:val="single" w:sz="6" w:space="0" w:color="000000"/>
              <w:right w:val="single" w:sz="6" w:space="0" w:color="000000"/>
            </w:tcBorders>
            <w:vAlign w:val="center"/>
          </w:tcPr>
          <w:p w14:paraId="2E891C75" w14:textId="77777777" w:rsidR="00BA5F13" w:rsidRPr="00BA5F13" w:rsidRDefault="00BA5F13" w:rsidP="00BA5F13">
            <w:pPr>
              <w:spacing w:after="0" w:line="259" w:lineRule="auto"/>
              <w:ind w:left="0" w:right="70" w:firstLine="0"/>
              <w:jc w:val="right"/>
            </w:pPr>
            <w:r w:rsidRPr="00BA5F13">
              <w:t xml:space="preserve">0.250 </w:t>
            </w:r>
          </w:p>
        </w:tc>
        <w:tc>
          <w:tcPr>
            <w:tcW w:w="1180" w:type="dxa"/>
            <w:tcBorders>
              <w:top w:val="single" w:sz="6" w:space="0" w:color="000000"/>
              <w:left w:val="single" w:sz="6" w:space="0" w:color="000000"/>
              <w:bottom w:val="single" w:sz="6" w:space="0" w:color="000000"/>
              <w:right w:val="single" w:sz="6" w:space="0" w:color="000000"/>
            </w:tcBorders>
            <w:vAlign w:val="center"/>
          </w:tcPr>
          <w:p w14:paraId="5D156E92" w14:textId="77777777" w:rsidR="00BA5F13" w:rsidRPr="00BA5F13" w:rsidRDefault="00BA5F13" w:rsidP="00BA5F13">
            <w:pPr>
              <w:spacing w:after="0" w:line="259" w:lineRule="auto"/>
              <w:ind w:left="0" w:right="70" w:firstLine="0"/>
              <w:jc w:val="right"/>
            </w:pPr>
            <w:r w:rsidRPr="00BA5F13">
              <w:t xml:space="preserve">0.250 </w:t>
            </w:r>
          </w:p>
        </w:tc>
        <w:tc>
          <w:tcPr>
            <w:tcW w:w="1195" w:type="dxa"/>
            <w:tcBorders>
              <w:top w:val="single" w:sz="6" w:space="0" w:color="000000"/>
              <w:left w:val="single" w:sz="6" w:space="0" w:color="000000"/>
              <w:bottom w:val="single" w:sz="6" w:space="0" w:color="000000"/>
              <w:right w:val="single" w:sz="6" w:space="0" w:color="000000"/>
            </w:tcBorders>
            <w:vAlign w:val="center"/>
          </w:tcPr>
          <w:p w14:paraId="1A3FCE7A" w14:textId="77777777" w:rsidR="00BA5F13" w:rsidRPr="00BA5F13" w:rsidRDefault="00BA5F13" w:rsidP="00BA5F13">
            <w:pPr>
              <w:spacing w:after="0" w:line="259" w:lineRule="auto"/>
              <w:ind w:left="0" w:right="85" w:firstLine="0"/>
              <w:jc w:val="right"/>
            </w:pPr>
            <w:r w:rsidRPr="00BA5F13">
              <w:t xml:space="preserve">0.250 </w:t>
            </w:r>
          </w:p>
        </w:tc>
        <w:tc>
          <w:tcPr>
            <w:tcW w:w="1244" w:type="dxa"/>
            <w:tcBorders>
              <w:top w:val="single" w:sz="6" w:space="0" w:color="000000"/>
              <w:left w:val="single" w:sz="6" w:space="0" w:color="000000"/>
              <w:bottom w:val="single" w:sz="6" w:space="0" w:color="000000"/>
              <w:right w:val="single" w:sz="6" w:space="0" w:color="000000"/>
            </w:tcBorders>
            <w:vAlign w:val="center"/>
          </w:tcPr>
          <w:p w14:paraId="1CE0E654" w14:textId="77777777" w:rsidR="00BA5F13" w:rsidRPr="00BA5F13" w:rsidRDefault="00BA5F13" w:rsidP="00BA5F13">
            <w:pPr>
              <w:spacing w:after="0" w:line="259" w:lineRule="auto"/>
              <w:ind w:left="0" w:right="70" w:firstLine="0"/>
              <w:jc w:val="right"/>
            </w:pPr>
            <w:r w:rsidRPr="00BA5F13">
              <w:t xml:space="preserve">0.250 </w:t>
            </w:r>
          </w:p>
        </w:tc>
        <w:tc>
          <w:tcPr>
            <w:tcW w:w="1180" w:type="dxa"/>
            <w:tcBorders>
              <w:top w:val="single" w:sz="6" w:space="0" w:color="000000"/>
              <w:left w:val="single" w:sz="6" w:space="0" w:color="000000"/>
              <w:bottom w:val="single" w:sz="6" w:space="0" w:color="000000"/>
              <w:right w:val="single" w:sz="6" w:space="0" w:color="000000"/>
            </w:tcBorders>
            <w:vAlign w:val="center"/>
          </w:tcPr>
          <w:p w14:paraId="7AF0ED58" w14:textId="77777777" w:rsidR="00BA5F13" w:rsidRPr="00BA5F13" w:rsidRDefault="00BA5F13" w:rsidP="00BA5F13">
            <w:pPr>
              <w:spacing w:after="0" w:line="259" w:lineRule="auto"/>
              <w:ind w:left="0" w:right="70" w:firstLine="0"/>
              <w:jc w:val="right"/>
            </w:pPr>
            <w:r w:rsidRPr="00BA5F13">
              <w:t xml:space="preserve">0.250 </w:t>
            </w:r>
          </w:p>
        </w:tc>
        <w:tc>
          <w:tcPr>
            <w:tcW w:w="1180" w:type="dxa"/>
            <w:tcBorders>
              <w:top w:val="single" w:sz="6" w:space="0" w:color="000000"/>
              <w:left w:val="single" w:sz="6" w:space="0" w:color="000000"/>
              <w:bottom w:val="single" w:sz="6" w:space="0" w:color="000000"/>
              <w:right w:val="single" w:sz="6" w:space="0" w:color="000000"/>
            </w:tcBorders>
            <w:vAlign w:val="center"/>
          </w:tcPr>
          <w:p w14:paraId="07CE3817" w14:textId="77777777" w:rsidR="00BA5F13" w:rsidRPr="00BA5F13" w:rsidRDefault="00BA5F13" w:rsidP="00BA5F13">
            <w:pPr>
              <w:spacing w:after="0" w:line="259" w:lineRule="auto"/>
              <w:ind w:left="0" w:right="70" w:firstLine="0"/>
              <w:jc w:val="right"/>
            </w:pPr>
            <w:r w:rsidRPr="00BA5F13">
              <w:t xml:space="preserve">0.250 </w:t>
            </w:r>
          </w:p>
        </w:tc>
        <w:tc>
          <w:tcPr>
            <w:tcW w:w="1189" w:type="dxa"/>
            <w:tcBorders>
              <w:top w:val="single" w:sz="6" w:space="0" w:color="000000"/>
              <w:left w:val="single" w:sz="6" w:space="0" w:color="000000"/>
              <w:bottom w:val="single" w:sz="6" w:space="0" w:color="000000"/>
              <w:right w:val="single" w:sz="6" w:space="0" w:color="000000"/>
            </w:tcBorders>
            <w:vAlign w:val="center"/>
          </w:tcPr>
          <w:p w14:paraId="0D4A8C39" w14:textId="77777777" w:rsidR="00BA5F13" w:rsidRPr="00BA5F13" w:rsidRDefault="00BA5F13" w:rsidP="00BA5F13">
            <w:pPr>
              <w:spacing w:after="0" w:line="259" w:lineRule="auto"/>
              <w:ind w:left="0" w:right="79" w:firstLine="0"/>
              <w:jc w:val="right"/>
            </w:pPr>
            <w:r w:rsidRPr="00BA5F13">
              <w:t xml:space="preserve">0.250 </w:t>
            </w:r>
          </w:p>
        </w:tc>
        <w:tc>
          <w:tcPr>
            <w:tcW w:w="1180" w:type="dxa"/>
            <w:tcBorders>
              <w:top w:val="single" w:sz="6" w:space="0" w:color="000000"/>
              <w:left w:val="single" w:sz="6" w:space="0" w:color="000000"/>
              <w:bottom w:val="single" w:sz="6" w:space="0" w:color="000000"/>
              <w:right w:val="single" w:sz="6" w:space="0" w:color="000000"/>
            </w:tcBorders>
            <w:vAlign w:val="center"/>
          </w:tcPr>
          <w:p w14:paraId="7FF20D37" w14:textId="77777777" w:rsidR="00BA5F13" w:rsidRPr="00BA5F13" w:rsidRDefault="00BA5F13" w:rsidP="00BA5F13">
            <w:pPr>
              <w:spacing w:after="0" w:line="259" w:lineRule="auto"/>
              <w:ind w:left="0" w:right="70" w:firstLine="0"/>
              <w:jc w:val="right"/>
            </w:pPr>
            <w:r w:rsidRPr="00BA5F13">
              <w:t xml:space="preserve">0.250 </w:t>
            </w:r>
          </w:p>
        </w:tc>
        <w:tc>
          <w:tcPr>
            <w:tcW w:w="1180" w:type="dxa"/>
            <w:tcBorders>
              <w:top w:val="single" w:sz="6" w:space="0" w:color="000000"/>
              <w:left w:val="single" w:sz="6" w:space="0" w:color="000000"/>
              <w:bottom w:val="single" w:sz="6" w:space="0" w:color="000000"/>
              <w:right w:val="single" w:sz="6" w:space="0" w:color="000000"/>
            </w:tcBorders>
            <w:vAlign w:val="center"/>
          </w:tcPr>
          <w:p w14:paraId="03F20520" w14:textId="77777777" w:rsidR="00BA5F13" w:rsidRPr="00BA5F13" w:rsidRDefault="00BA5F13" w:rsidP="00BA5F13">
            <w:pPr>
              <w:spacing w:after="0" w:line="259" w:lineRule="auto"/>
              <w:ind w:left="0" w:right="70" w:firstLine="0"/>
              <w:jc w:val="right"/>
            </w:pPr>
            <w:r w:rsidRPr="00BA5F13">
              <w:t xml:space="preserve">0.250 </w:t>
            </w:r>
          </w:p>
        </w:tc>
        <w:tc>
          <w:tcPr>
            <w:tcW w:w="1283" w:type="dxa"/>
            <w:tcBorders>
              <w:top w:val="single" w:sz="6" w:space="0" w:color="000000"/>
              <w:left w:val="single" w:sz="6" w:space="0" w:color="000000"/>
              <w:bottom w:val="single" w:sz="6" w:space="0" w:color="000000"/>
              <w:right w:val="single" w:sz="6" w:space="0" w:color="000000"/>
            </w:tcBorders>
            <w:vAlign w:val="center"/>
          </w:tcPr>
          <w:p w14:paraId="76BB3FC3" w14:textId="77777777" w:rsidR="00BA5F13" w:rsidRPr="00BA5F13" w:rsidRDefault="00BA5F13" w:rsidP="00BA5F13">
            <w:pPr>
              <w:spacing w:after="0" w:line="259" w:lineRule="auto"/>
              <w:ind w:left="0" w:right="72" w:firstLine="0"/>
              <w:jc w:val="right"/>
            </w:pPr>
            <w:r w:rsidRPr="00BA5F13">
              <w:t xml:space="preserve">2.599 </w:t>
            </w:r>
          </w:p>
        </w:tc>
      </w:tr>
      <w:tr w:rsidR="00BA5F13" w:rsidRPr="00BA5F13" w14:paraId="3F4BC310" w14:textId="77777777" w:rsidTr="004C09BE">
        <w:trPr>
          <w:trHeight w:val="285"/>
        </w:trPr>
        <w:tc>
          <w:tcPr>
            <w:tcW w:w="2204" w:type="dxa"/>
            <w:tcBorders>
              <w:top w:val="single" w:sz="6" w:space="0" w:color="000000"/>
              <w:left w:val="single" w:sz="6" w:space="0" w:color="000000"/>
              <w:bottom w:val="single" w:sz="6" w:space="0" w:color="000000"/>
              <w:right w:val="single" w:sz="6" w:space="0" w:color="000000"/>
            </w:tcBorders>
          </w:tcPr>
          <w:p w14:paraId="36797720" w14:textId="77777777" w:rsidR="00BA5F13" w:rsidRPr="00BA5F13" w:rsidRDefault="00BA5F13" w:rsidP="00BA5F13">
            <w:pPr>
              <w:spacing w:after="0" w:line="259" w:lineRule="auto"/>
              <w:ind w:left="0" w:right="0" w:firstLine="0"/>
              <w:jc w:val="left"/>
            </w:pPr>
            <w:r w:rsidRPr="00BA5F13">
              <w:t xml:space="preserve">Upgrade Preston facilities </w:t>
            </w:r>
          </w:p>
        </w:tc>
        <w:tc>
          <w:tcPr>
            <w:tcW w:w="1189" w:type="dxa"/>
            <w:tcBorders>
              <w:top w:val="single" w:sz="6" w:space="0" w:color="000000"/>
              <w:left w:val="single" w:sz="6" w:space="0" w:color="000000"/>
              <w:bottom w:val="single" w:sz="6" w:space="0" w:color="000000"/>
              <w:right w:val="single" w:sz="6" w:space="0" w:color="000000"/>
            </w:tcBorders>
          </w:tcPr>
          <w:p w14:paraId="6CDBCFE7" w14:textId="77777777" w:rsidR="00BA5F13" w:rsidRPr="00BA5F13" w:rsidRDefault="00BA5F13" w:rsidP="00BA5F13">
            <w:pPr>
              <w:spacing w:after="0" w:line="259" w:lineRule="auto"/>
              <w:ind w:left="0" w:right="79" w:firstLine="0"/>
              <w:jc w:val="right"/>
            </w:pPr>
            <w:r w:rsidRPr="00BA5F13">
              <w:t xml:space="preserve">0.500 </w:t>
            </w:r>
          </w:p>
        </w:tc>
        <w:tc>
          <w:tcPr>
            <w:tcW w:w="1180" w:type="dxa"/>
            <w:tcBorders>
              <w:top w:val="single" w:sz="6" w:space="0" w:color="000000"/>
              <w:left w:val="single" w:sz="6" w:space="0" w:color="000000"/>
              <w:bottom w:val="single" w:sz="6" w:space="0" w:color="000000"/>
              <w:right w:val="single" w:sz="6" w:space="0" w:color="000000"/>
            </w:tcBorders>
          </w:tcPr>
          <w:p w14:paraId="47C3C37C"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C2F3B8C"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7B0C38FB"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1EF2EE32"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8A8B520"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B3978F9"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56E2B4F5"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245064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D0F9602"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19FAA2FF" w14:textId="77777777" w:rsidR="00BA5F13" w:rsidRPr="00BA5F13" w:rsidRDefault="00BA5F13" w:rsidP="00BA5F13">
            <w:pPr>
              <w:spacing w:after="0" w:line="259" w:lineRule="auto"/>
              <w:ind w:left="0" w:right="72" w:firstLine="0"/>
              <w:jc w:val="right"/>
            </w:pPr>
            <w:r w:rsidRPr="00BA5F13">
              <w:t xml:space="preserve">0.500 </w:t>
            </w:r>
          </w:p>
        </w:tc>
      </w:tr>
      <w:tr w:rsidR="00BA5F13" w:rsidRPr="00BA5F13" w14:paraId="5CEC8A24" w14:textId="77777777" w:rsidTr="004C09BE">
        <w:trPr>
          <w:trHeight w:val="571"/>
        </w:trPr>
        <w:tc>
          <w:tcPr>
            <w:tcW w:w="2204" w:type="dxa"/>
            <w:tcBorders>
              <w:top w:val="single" w:sz="6" w:space="0" w:color="000000"/>
              <w:left w:val="single" w:sz="6" w:space="0" w:color="000000"/>
              <w:bottom w:val="single" w:sz="6" w:space="0" w:color="000000"/>
              <w:right w:val="single" w:sz="6" w:space="0" w:color="000000"/>
            </w:tcBorders>
          </w:tcPr>
          <w:p w14:paraId="58872004" w14:textId="77777777" w:rsidR="00BA5F13" w:rsidRPr="00BA5F13" w:rsidRDefault="00BA5F13" w:rsidP="00BA5F13">
            <w:pPr>
              <w:spacing w:after="0" w:line="259" w:lineRule="auto"/>
              <w:ind w:left="0" w:right="0" w:firstLine="0"/>
              <w:jc w:val="left"/>
            </w:pPr>
            <w:r w:rsidRPr="00BA5F13">
              <w:t xml:space="preserve">Replacement Preston Station </w:t>
            </w:r>
          </w:p>
        </w:tc>
        <w:tc>
          <w:tcPr>
            <w:tcW w:w="1189" w:type="dxa"/>
            <w:tcBorders>
              <w:top w:val="single" w:sz="6" w:space="0" w:color="000000"/>
              <w:left w:val="single" w:sz="6" w:space="0" w:color="000000"/>
              <w:bottom w:val="single" w:sz="6" w:space="0" w:color="000000"/>
              <w:right w:val="single" w:sz="6" w:space="0" w:color="000000"/>
            </w:tcBorders>
          </w:tcPr>
          <w:p w14:paraId="52E4262C"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5995555"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66B4E35"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4DA42729"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vAlign w:val="center"/>
          </w:tcPr>
          <w:p w14:paraId="2D7F3CEB" w14:textId="77777777" w:rsidR="00BA5F13" w:rsidRPr="00BA5F13" w:rsidRDefault="00BA5F13" w:rsidP="00BA5F13">
            <w:pPr>
              <w:spacing w:after="0" w:line="259" w:lineRule="auto"/>
              <w:ind w:left="0" w:right="0" w:firstLine="0"/>
              <w:jc w:val="left"/>
            </w:pPr>
            <w:r w:rsidRPr="00BA5F13">
              <w:t xml:space="preserve">10.000 </w:t>
            </w:r>
          </w:p>
        </w:tc>
        <w:tc>
          <w:tcPr>
            <w:tcW w:w="1180" w:type="dxa"/>
            <w:tcBorders>
              <w:top w:val="single" w:sz="6" w:space="0" w:color="000000"/>
              <w:left w:val="single" w:sz="6" w:space="0" w:color="000000"/>
              <w:bottom w:val="single" w:sz="6" w:space="0" w:color="000000"/>
              <w:right w:val="single" w:sz="6" w:space="0" w:color="000000"/>
            </w:tcBorders>
          </w:tcPr>
          <w:p w14:paraId="0550C1D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62A017F"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1488202F"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454763A5"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EC69019"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vAlign w:val="center"/>
          </w:tcPr>
          <w:p w14:paraId="02930326" w14:textId="77777777" w:rsidR="00BA5F13" w:rsidRPr="00BA5F13" w:rsidRDefault="00BA5F13" w:rsidP="00BA5F13">
            <w:pPr>
              <w:spacing w:after="0" w:line="259" w:lineRule="auto"/>
              <w:ind w:left="0" w:right="0" w:firstLine="0"/>
              <w:jc w:val="left"/>
            </w:pPr>
            <w:r w:rsidRPr="00BA5F13">
              <w:t xml:space="preserve">10.000 </w:t>
            </w:r>
          </w:p>
        </w:tc>
      </w:tr>
      <w:tr w:rsidR="00BA5F13" w:rsidRPr="00BA5F13" w14:paraId="7153564C" w14:textId="77777777" w:rsidTr="004C09BE">
        <w:trPr>
          <w:trHeight w:val="285"/>
        </w:trPr>
        <w:tc>
          <w:tcPr>
            <w:tcW w:w="2204" w:type="dxa"/>
            <w:tcBorders>
              <w:top w:val="single" w:sz="6" w:space="0" w:color="000000"/>
              <w:left w:val="single" w:sz="6" w:space="0" w:color="000000"/>
              <w:bottom w:val="single" w:sz="6" w:space="0" w:color="000000"/>
              <w:right w:val="single" w:sz="6" w:space="0" w:color="000000"/>
            </w:tcBorders>
          </w:tcPr>
          <w:p w14:paraId="797C6FE7" w14:textId="77777777" w:rsidR="00BA5F13" w:rsidRPr="00BA5F13" w:rsidRDefault="00BA5F13" w:rsidP="00BA5F13">
            <w:pPr>
              <w:spacing w:after="0" w:line="259" w:lineRule="auto"/>
              <w:ind w:left="0" w:right="0" w:firstLine="0"/>
              <w:jc w:val="left"/>
            </w:pPr>
            <w:r w:rsidRPr="00BA5F13">
              <w:t xml:space="preserve">Headquarters relocation </w:t>
            </w:r>
          </w:p>
        </w:tc>
        <w:tc>
          <w:tcPr>
            <w:tcW w:w="1189" w:type="dxa"/>
            <w:tcBorders>
              <w:top w:val="single" w:sz="6" w:space="0" w:color="000000"/>
              <w:left w:val="single" w:sz="6" w:space="0" w:color="000000"/>
              <w:bottom w:val="single" w:sz="6" w:space="0" w:color="000000"/>
              <w:right w:val="single" w:sz="6" w:space="0" w:color="000000"/>
            </w:tcBorders>
          </w:tcPr>
          <w:p w14:paraId="35DDE62F"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CD456E4" w14:textId="77777777" w:rsidR="00BA5F13" w:rsidRPr="00BA5F13" w:rsidRDefault="00BA5F13" w:rsidP="00BA5F13">
            <w:pPr>
              <w:spacing w:after="0" w:line="259" w:lineRule="auto"/>
              <w:ind w:left="0" w:right="70" w:firstLine="0"/>
              <w:jc w:val="right"/>
            </w:pPr>
            <w:r w:rsidRPr="00BA5F13">
              <w:t xml:space="preserve">9.000 </w:t>
            </w:r>
          </w:p>
        </w:tc>
        <w:tc>
          <w:tcPr>
            <w:tcW w:w="1180" w:type="dxa"/>
            <w:tcBorders>
              <w:top w:val="single" w:sz="6" w:space="0" w:color="000000"/>
              <w:left w:val="single" w:sz="6" w:space="0" w:color="000000"/>
              <w:bottom w:val="single" w:sz="6" w:space="0" w:color="000000"/>
              <w:right w:val="single" w:sz="6" w:space="0" w:color="000000"/>
            </w:tcBorders>
          </w:tcPr>
          <w:p w14:paraId="19163D0D" w14:textId="77777777" w:rsidR="00BA5F13" w:rsidRPr="00BA5F13" w:rsidRDefault="00BA5F13" w:rsidP="00BA5F13">
            <w:pPr>
              <w:spacing w:after="0" w:line="259" w:lineRule="auto"/>
              <w:ind w:left="0" w:right="70" w:firstLine="0"/>
              <w:jc w:val="right"/>
            </w:pPr>
            <w:r w:rsidRPr="00BA5F13">
              <w:t xml:space="preserve">9.000 </w:t>
            </w:r>
          </w:p>
        </w:tc>
        <w:tc>
          <w:tcPr>
            <w:tcW w:w="1195" w:type="dxa"/>
            <w:tcBorders>
              <w:top w:val="single" w:sz="6" w:space="0" w:color="000000"/>
              <w:left w:val="single" w:sz="6" w:space="0" w:color="000000"/>
              <w:bottom w:val="single" w:sz="6" w:space="0" w:color="000000"/>
              <w:right w:val="single" w:sz="6" w:space="0" w:color="000000"/>
            </w:tcBorders>
          </w:tcPr>
          <w:p w14:paraId="0530D57F"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3D7B1E56"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747A1BC"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21470A1"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7531A754"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CED2F5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23EC15B"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3C8C66DF" w14:textId="77777777" w:rsidR="00BA5F13" w:rsidRPr="00BA5F13" w:rsidRDefault="00BA5F13" w:rsidP="00BA5F13">
            <w:pPr>
              <w:spacing w:after="0" w:line="259" w:lineRule="auto"/>
              <w:ind w:left="0" w:right="0" w:firstLine="0"/>
              <w:jc w:val="left"/>
            </w:pPr>
            <w:r w:rsidRPr="00BA5F13">
              <w:t xml:space="preserve">18.000 </w:t>
            </w:r>
          </w:p>
        </w:tc>
      </w:tr>
      <w:tr w:rsidR="00BA5F13" w:rsidRPr="00BA5F13" w14:paraId="0EFBA324" w14:textId="77777777" w:rsidTr="004C09BE">
        <w:trPr>
          <w:trHeight w:val="285"/>
        </w:trPr>
        <w:tc>
          <w:tcPr>
            <w:tcW w:w="2204" w:type="dxa"/>
            <w:tcBorders>
              <w:top w:val="single" w:sz="6" w:space="0" w:color="000000"/>
              <w:left w:val="single" w:sz="6" w:space="0" w:color="000000"/>
              <w:bottom w:val="single" w:sz="6" w:space="0" w:color="000000"/>
              <w:right w:val="single" w:sz="6" w:space="0" w:color="000000"/>
            </w:tcBorders>
          </w:tcPr>
          <w:p w14:paraId="252297EC" w14:textId="77777777" w:rsidR="00BA5F13" w:rsidRPr="00BA5F13" w:rsidRDefault="00BA5F13" w:rsidP="00BA5F13">
            <w:pPr>
              <w:spacing w:after="0" w:line="259" w:lineRule="auto"/>
              <w:ind w:left="0" w:right="0" w:firstLine="0"/>
              <w:jc w:val="left"/>
            </w:pPr>
            <w:r w:rsidRPr="00BA5F13">
              <w:t xml:space="preserve">Fulwood replacement </w:t>
            </w:r>
          </w:p>
        </w:tc>
        <w:tc>
          <w:tcPr>
            <w:tcW w:w="1189" w:type="dxa"/>
            <w:tcBorders>
              <w:top w:val="single" w:sz="6" w:space="0" w:color="000000"/>
              <w:left w:val="single" w:sz="6" w:space="0" w:color="000000"/>
              <w:bottom w:val="single" w:sz="6" w:space="0" w:color="000000"/>
              <w:right w:val="single" w:sz="6" w:space="0" w:color="000000"/>
            </w:tcBorders>
          </w:tcPr>
          <w:p w14:paraId="3B2B0B62"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D606F7C"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77A1F3C9"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1B125D15" w14:textId="77777777" w:rsidR="00BA5F13" w:rsidRPr="00BA5F13" w:rsidRDefault="00BA5F13" w:rsidP="00BA5F13">
            <w:pPr>
              <w:spacing w:after="0" w:line="259" w:lineRule="auto"/>
              <w:ind w:left="0" w:right="85" w:firstLine="0"/>
              <w:jc w:val="right"/>
            </w:pPr>
            <w:r w:rsidRPr="00BA5F13">
              <w:t xml:space="preserve">7.000 </w:t>
            </w:r>
          </w:p>
        </w:tc>
        <w:tc>
          <w:tcPr>
            <w:tcW w:w="1244" w:type="dxa"/>
            <w:tcBorders>
              <w:top w:val="single" w:sz="6" w:space="0" w:color="000000"/>
              <w:left w:val="single" w:sz="6" w:space="0" w:color="000000"/>
              <w:bottom w:val="single" w:sz="6" w:space="0" w:color="000000"/>
              <w:right w:val="single" w:sz="6" w:space="0" w:color="000000"/>
            </w:tcBorders>
          </w:tcPr>
          <w:p w14:paraId="2A89BA3C"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0BA4DD7"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648F3DF"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37C05F6C"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A19740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D86120D"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4B6F7C2D" w14:textId="77777777" w:rsidR="00BA5F13" w:rsidRPr="00BA5F13" w:rsidRDefault="00BA5F13" w:rsidP="00BA5F13">
            <w:pPr>
              <w:spacing w:after="0" w:line="259" w:lineRule="auto"/>
              <w:ind w:left="0" w:right="72" w:firstLine="0"/>
              <w:jc w:val="right"/>
            </w:pPr>
            <w:r w:rsidRPr="00BA5F13">
              <w:t xml:space="preserve">7.000 </w:t>
            </w:r>
          </w:p>
        </w:tc>
      </w:tr>
      <w:tr w:rsidR="00BA5F13" w:rsidRPr="00BA5F13" w14:paraId="39ECD61C" w14:textId="77777777" w:rsidTr="004C09BE">
        <w:trPr>
          <w:trHeight w:val="285"/>
        </w:trPr>
        <w:tc>
          <w:tcPr>
            <w:tcW w:w="2204" w:type="dxa"/>
            <w:tcBorders>
              <w:top w:val="single" w:sz="6" w:space="0" w:color="000000"/>
              <w:left w:val="single" w:sz="6" w:space="0" w:color="000000"/>
              <w:bottom w:val="single" w:sz="6" w:space="0" w:color="000000"/>
              <w:right w:val="single" w:sz="6" w:space="0" w:color="000000"/>
            </w:tcBorders>
          </w:tcPr>
          <w:p w14:paraId="66AE58EB" w14:textId="77777777" w:rsidR="00BA5F13" w:rsidRPr="00BA5F13" w:rsidRDefault="00BA5F13" w:rsidP="00BA5F13">
            <w:pPr>
              <w:spacing w:after="0" w:line="259" w:lineRule="auto"/>
              <w:ind w:left="0" w:right="0" w:firstLine="0"/>
              <w:jc w:val="left"/>
            </w:pPr>
            <w:r w:rsidRPr="00BA5F13">
              <w:t xml:space="preserve">Training Centre Props </w:t>
            </w:r>
          </w:p>
        </w:tc>
        <w:tc>
          <w:tcPr>
            <w:tcW w:w="1189" w:type="dxa"/>
            <w:tcBorders>
              <w:top w:val="single" w:sz="6" w:space="0" w:color="000000"/>
              <w:left w:val="single" w:sz="6" w:space="0" w:color="000000"/>
              <w:bottom w:val="single" w:sz="6" w:space="0" w:color="000000"/>
              <w:right w:val="single" w:sz="6" w:space="0" w:color="000000"/>
            </w:tcBorders>
          </w:tcPr>
          <w:p w14:paraId="49961C17"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EC08DB4" w14:textId="77777777" w:rsidR="00BA5F13" w:rsidRPr="00BA5F13" w:rsidRDefault="00BA5F13" w:rsidP="00BA5F13">
            <w:pPr>
              <w:spacing w:after="0" w:line="259" w:lineRule="auto"/>
              <w:ind w:left="0" w:right="70" w:firstLine="0"/>
              <w:jc w:val="right"/>
            </w:pPr>
            <w:r w:rsidRPr="00BA5F13">
              <w:t xml:space="preserve">5.000 </w:t>
            </w:r>
          </w:p>
        </w:tc>
        <w:tc>
          <w:tcPr>
            <w:tcW w:w="1180" w:type="dxa"/>
            <w:tcBorders>
              <w:top w:val="single" w:sz="6" w:space="0" w:color="000000"/>
              <w:left w:val="single" w:sz="6" w:space="0" w:color="000000"/>
              <w:bottom w:val="single" w:sz="6" w:space="0" w:color="000000"/>
              <w:right w:val="single" w:sz="6" w:space="0" w:color="000000"/>
            </w:tcBorders>
          </w:tcPr>
          <w:p w14:paraId="5C08E2B8" w14:textId="77777777" w:rsidR="00BA5F13" w:rsidRPr="00BA5F13" w:rsidRDefault="00BA5F13" w:rsidP="00BA5F13">
            <w:pPr>
              <w:spacing w:after="0" w:line="259" w:lineRule="auto"/>
              <w:ind w:left="0" w:right="70" w:firstLine="0"/>
              <w:jc w:val="right"/>
            </w:pPr>
            <w:r w:rsidRPr="00BA5F13">
              <w:t xml:space="preserve">5.000 </w:t>
            </w:r>
          </w:p>
        </w:tc>
        <w:tc>
          <w:tcPr>
            <w:tcW w:w="1195" w:type="dxa"/>
            <w:tcBorders>
              <w:top w:val="single" w:sz="6" w:space="0" w:color="000000"/>
              <w:left w:val="single" w:sz="6" w:space="0" w:color="000000"/>
              <w:bottom w:val="single" w:sz="6" w:space="0" w:color="000000"/>
              <w:right w:val="single" w:sz="6" w:space="0" w:color="000000"/>
            </w:tcBorders>
          </w:tcPr>
          <w:p w14:paraId="5BEE8CC0"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699A8EC5"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964006B"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3C70F571"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5484D175"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6645471"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2082BD8"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tcPr>
          <w:p w14:paraId="1E86F189" w14:textId="77777777" w:rsidR="00BA5F13" w:rsidRPr="00BA5F13" w:rsidRDefault="00BA5F13" w:rsidP="00BA5F13">
            <w:pPr>
              <w:spacing w:after="0" w:line="259" w:lineRule="auto"/>
              <w:ind w:left="0" w:right="0" w:firstLine="0"/>
              <w:jc w:val="left"/>
            </w:pPr>
            <w:r w:rsidRPr="00BA5F13">
              <w:t xml:space="preserve">10.000 </w:t>
            </w:r>
          </w:p>
        </w:tc>
      </w:tr>
      <w:tr w:rsidR="00BA5F13" w:rsidRPr="00BA5F13" w14:paraId="17297C21" w14:textId="77777777" w:rsidTr="004C09BE">
        <w:trPr>
          <w:trHeight w:val="556"/>
        </w:trPr>
        <w:tc>
          <w:tcPr>
            <w:tcW w:w="2204" w:type="dxa"/>
            <w:tcBorders>
              <w:top w:val="single" w:sz="6" w:space="0" w:color="000000"/>
              <w:left w:val="single" w:sz="6" w:space="0" w:color="000000"/>
              <w:bottom w:val="single" w:sz="6" w:space="0" w:color="000000"/>
              <w:right w:val="single" w:sz="6" w:space="0" w:color="000000"/>
            </w:tcBorders>
          </w:tcPr>
          <w:p w14:paraId="4DDEB2A2" w14:textId="77777777" w:rsidR="00BA5F13" w:rsidRPr="00BA5F13" w:rsidRDefault="00BA5F13" w:rsidP="00BA5F13">
            <w:pPr>
              <w:spacing w:after="0" w:line="259" w:lineRule="auto"/>
              <w:ind w:left="0" w:right="0" w:firstLine="0"/>
            </w:pPr>
            <w:r w:rsidRPr="00BA5F13">
              <w:t xml:space="preserve">Stock condition and decarbonisation surveys </w:t>
            </w:r>
          </w:p>
        </w:tc>
        <w:tc>
          <w:tcPr>
            <w:tcW w:w="1189" w:type="dxa"/>
            <w:tcBorders>
              <w:top w:val="single" w:sz="6" w:space="0" w:color="000000"/>
              <w:left w:val="single" w:sz="6" w:space="0" w:color="000000"/>
              <w:bottom w:val="single" w:sz="6" w:space="0" w:color="000000"/>
              <w:right w:val="single" w:sz="6" w:space="0" w:color="000000"/>
            </w:tcBorders>
            <w:vAlign w:val="center"/>
          </w:tcPr>
          <w:p w14:paraId="7377CF1C" w14:textId="77777777" w:rsidR="00BA5F13" w:rsidRPr="00BA5F13" w:rsidRDefault="00BA5F13" w:rsidP="00BA5F13">
            <w:pPr>
              <w:spacing w:after="0" w:line="259" w:lineRule="auto"/>
              <w:ind w:left="0" w:right="79" w:firstLine="0"/>
              <w:jc w:val="right"/>
            </w:pPr>
            <w:r w:rsidRPr="00BA5F13">
              <w:t xml:space="preserve">0.130 </w:t>
            </w:r>
          </w:p>
        </w:tc>
        <w:tc>
          <w:tcPr>
            <w:tcW w:w="1180" w:type="dxa"/>
            <w:tcBorders>
              <w:top w:val="single" w:sz="6" w:space="0" w:color="000000"/>
              <w:left w:val="single" w:sz="6" w:space="0" w:color="000000"/>
              <w:bottom w:val="single" w:sz="6" w:space="0" w:color="000000"/>
              <w:right w:val="single" w:sz="6" w:space="0" w:color="000000"/>
            </w:tcBorders>
          </w:tcPr>
          <w:p w14:paraId="56515257"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8D0C679"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4C5AD4E4"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53A60CD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448528D"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0593C404"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10D38A4C"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1E6D4BF8"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2083212"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vAlign w:val="center"/>
          </w:tcPr>
          <w:p w14:paraId="6F75D998" w14:textId="77777777" w:rsidR="00BA5F13" w:rsidRPr="00BA5F13" w:rsidRDefault="00BA5F13" w:rsidP="00BA5F13">
            <w:pPr>
              <w:spacing w:after="0" w:line="259" w:lineRule="auto"/>
              <w:ind w:left="0" w:right="72" w:firstLine="0"/>
              <w:jc w:val="right"/>
            </w:pPr>
            <w:r w:rsidRPr="00BA5F13">
              <w:t xml:space="preserve">0.130 </w:t>
            </w:r>
          </w:p>
        </w:tc>
      </w:tr>
      <w:tr w:rsidR="00BA5F13" w:rsidRPr="00BA5F13" w14:paraId="3D0EA528" w14:textId="77777777" w:rsidTr="004C09BE">
        <w:trPr>
          <w:trHeight w:val="841"/>
        </w:trPr>
        <w:tc>
          <w:tcPr>
            <w:tcW w:w="2204" w:type="dxa"/>
            <w:tcBorders>
              <w:top w:val="single" w:sz="6" w:space="0" w:color="000000"/>
              <w:left w:val="single" w:sz="6" w:space="0" w:color="000000"/>
              <w:bottom w:val="single" w:sz="6" w:space="0" w:color="000000"/>
              <w:right w:val="single" w:sz="6" w:space="0" w:color="000000"/>
            </w:tcBorders>
          </w:tcPr>
          <w:p w14:paraId="2D8BC4A6" w14:textId="77777777" w:rsidR="00BA5F13" w:rsidRPr="00BA5F13" w:rsidRDefault="00BA5F13" w:rsidP="00BA5F13">
            <w:pPr>
              <w:spacing w:after="0" w:line="259" w:lineRule="auto"/>
              <w:ind w:left="0" w:right="0" w:firstLine="0"/>
              <w:jc w:val="left"/>
            </w:pPr>
            <w:r w:rsidRPr="00BA5F13">
              <w:t xml:space="preserve">Wider Estate Planned </w:t>
            </w:r>
          </w:p>
          <w:p w14:paraId="6603D2CB" w14:textId="77777777" w:rsidR="00BA5F13" w:rsidRPr="00BA5F13" w:rsidRDefault="00BA5F13" w:rsidP="00BA5F13">
            <w:pPr>
              <w:spacing w:after="0" w:line="259" w:lineRule="auto"/>
              <w:ind w:left="0" w:right="0" w:firstLine="0"/>
              <w:jc w:val="left"/>
            </w:pPr>
            <w:r w:rsidRPr="00BA5F13">
              <w:t xml:space="preserve">Maintenance &amp; </w:t>
            </w:r>
          </w:p>
          <w:p w14:paraId="3BBAA251" w14:textId="77777777" w:rsidR="00BA5F13" w:rsidRPr="00BA5F13" w:rsidRDefault="00BA5F13" w:rsidP="00BA5F13">
            <w:pPr>
              <w:spacing w:after="0" w:line="259" w:lineRule="auto"/>
              <w:ind w:left="0" w:right="0" w:firstLine="0"/>
              <w:jc w:val="left"/>
            </w:pPr>
            <w:r w:rsidRPr="00BA5F13">
              <w:t xml:space="preserve">Improvement Works </w:t>
            </w:r>
          </w:p>
        </w:tc>
        <w:tc>
          <w:tcPr>
            <w:tcW w:w="1189" w:type="dxa"/>
            <w:tcBorders>
              <w:top w:val="single" w:sz="6" w:space="0" w:color="000000"/>
              <w:left w:val="single" w:sz="6" w:space="0" w:color="000000"/>
              <w:bottom w:val="single" w:sz="6" w:space="0" w:color="000000"/>
              <w:right w:val="single" w:sz="6" w:space="0" w:color="000000"/>
            </w:tcBorders>
            <w:vAlign w:val="center"/>
          </w:tcPr>
          <w:p w14:paraId="01F1DED6" w14:textId="77777777" w:rsidR="00BA5F13" w:rsidRPr="00BA5F13" w:rsidRDefault="00BA5F13" w:rsidP="00BA5F13">
            <w:pPr>
              <w:spacing w:after="0" w:line="259" w:lineRule="auto"/>
              <w:ind w:left="0" w:right="79" w:firstLine="0"/>
              <w:jc w:val="right"/>
            </w:pPr>
            <w:r w:rsidRPr="00BA5F13">
              <w:t xml:space="preserve">0.100 </w:t>
            </w:r>
          </w:p>
        </w:tc>
        <w:tc>
          <w:tcPr>
            <w:tcW w:w="1180" w:type="dxa"/>
            <w:tcBorders>
              <w:top w:val="single" w:sz="6" w:space="0" w:color="000000"/>
              <w:left w:val="single" w:sz="6" w:space="0" w:color="000000"/>
              <w:bottom w:val="single" w:sz="6" w:space="0" w:color="000000"/>
              <w:right w:val="single" w:sz="6" w:space="0" w:color="000000"/>
            </w:tcBorders>
          </w:tcPr>
          <w:p w14:paraId="36FE7050" w14:textId="77777777" w:rsidR="00BA5F13" w:rsidRPr="00BA5F13" w:rsidRDefault="00BA5F13" w:rsidP="00BA5F13">
            <w:pPr>
              <w:spacing w:after="0" w:line="259" w:lineRule="auto"/>
              <w:ind w:left="0" w:right="1"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A278C39" w14:textId="77777777" w:rsidR="00BA5F13" w:rsidRPr="00BA5F13" w:rsidRDefault="00BA5F13" w:rsidP="00BA5F13">
            <w:pPr>
              <w:spacing w:after="0" w:line="259" w:lineRule="auto"/>
              <w:ind w:left="0" w:right="0" w:firstLine="0"/>
              <w:jc w:val="right"/>
            </w:pPr>
          </w:p>
        </w:tc>
        <w:tc>
          <w:tcPr>
            <w:tcW w:w="1195" w:type="dxa"/>
            <w:tcBorders>
              <w:top w:val="single" w:sz="6" w:space="0" w:color="000000"/>
              <w:left w:val="single" w:sz="6" w:space="0" w:color="000000"/>
              <w:bottom w:val="single" w:sz="6" w:space="0" w:color="000000"/>
              <w:right w:val="single" w:sz="6" w:space="0" w:color="000000"/>
            </w:tcBorders>
          </w:tcPr>
          <w:p w14:paraId="3A3B4B69"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0FC8D9C8"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vAlign w:val="center"/>
          </w:tcPr>
          <w:p w14:paraId="275790F2" w14:textId="77777777" w:rsidR="00BA5F13" w:rsidRPr="00BA5F13" w:rsidRDefault="00BA5F13" w:rsidP="00BA5F13">
            <w:pPr>
              <w:spacing w:after="0" w:line="259" w:lineRule="auto"/>
              <w:ind w:left="0" w:right="70" w:firstLine="0"/>
              <w:jc w:val="right"/>
            </w:pPr>
            <w:r w:rsidRPr="00BA5F13">
              <w:t xml:space="preserve">1.646 </w:t>
            </w:r>
          </w:p>
        </w:tc>
        <w:tc>
          <w:tcPr>
            <w:tcW w:w="1180" w:type="dxa"/>
            <w:tcBorders>
              <w:top w:val="single" w:sz="6" w:space="0" w:color="000000"/>
              <w:left w:val="single" w:sz="6" w:space="0" w:color="000000"/>
              <w:bottom w:val="single" w:sz="6" w:space="0" w:color="000000"/>
              <w:right w:val="single" w:sz="6" w:space="0" w:color="000000"/>
            </w:tcBorders>
            <w:vAlign w:val="center"/>
          </w:tcPr>
          <w:p w14:paraId="65604BBC" w14:textId="77777777" w:rsidR="00BA5F13" w:rsidRPr="00BA5F13" w:rsidRDefault="00BA5F13" w:rsidP="00BA5F13">
            <w:pPr>
              <w:spacing w:after="0" w:line="259" w:lineRule="auto"/>
              <w:ind w:left="0" w:right="70" w:firstLine="0"/>
              <w:jc w:val="right"/>
            </w:pPr>
            <w:r w:rsidRPr="00BA5F13">
              <w:t xml:space="preserve">1.158 </w:t>
            </w:r>
          </w:p>
        </w:tc>
        <w:tc>
          <w:tcPr>
            <w:tcW w:w="1189" w:type="dxa"/>
            <w:tcBorders>
              <w:top w:val="single" w:sz="6" w:space="0" w:color="000000"/>
              <w:left w:val="single" w:sz="6" w:space="0" w:color="000000"/>
              <w:bottom w:val="single" w:sz="6" w:space="0" w:color="000000"/>
              <w:right w:val="single" w:sz="6" w:space="0" w:color="000000"/>
            </w:tcBorders>
            <w:vAlign w:val="center"/>
          </w:tcPr>
          <w:p w14:paraId="3A465180" w14:textId="77777777" w:rsidR="00BA5F13" w:rsidRPr="00BA5F13" w:rsidRDefault="00BA5F13" w:rsidP="00BA5F13">
            <w:pPr>
              <w:spacing w:after="0" w:line="259" w:lineRule="auto"/>
              <w:ind w:left="0" w:right="79" w:firstLine="0"/>
              <w:jc w:val="right"/>
            </w:pPr>
            <w:r w:rsidRPr="00BA5F13">
              <w:t xml:space="preserve">2.049 </w:t>
            </w:r>
          </w:p>
        </w:tc>
        <w:tc>
          <w:tcPr>
            <w:tcW w:w="1180" w:type="dxa"/>
            <w:tcBorders>
              <w:top w:val="single" w:sz="6" w:space="0" w:color="000000"/>
              <w:left w:val="single" w:sz="6" w:space="0" w:color="000000"/>
              <w:bottom w:val="single" w:sz="6" w:space="0" w:color="000000"/>
              <w:right w:val="single" w:sz="6" w:space="0" w:color="000000"/>
            </w:tcBorders>
            <w:vAlign w:val="center"/>
          </w:tcPr>
          <w:p w14:paraId="36B16C0C" w14:textId="77777777" w:rsidR="00BA5F13" w:rsidRPr="00BA5F13" w:rsidRDefault="00BA5F13" w:rsidP="00BA5F13">
            <w:pPr>
              <w:spacing w:after="0" w:line="259" w:lineRule="auto"/>
              <w:ind w:left="0" w:right="70" w:firstLine="0"/>
              <w:jc w:val="right"/>
            </w:pPr>
            <w:r w:rsidRPr="00BA5F13">
              <w:t xml:space="preserve">2.542 </w:t>
            </w:r>
          </w:p>
        </w:tc>
        <w:tc>
          <w:tcPr>
            <w:tcW w:w="1180" w:type="dxa"/>
            <w:tcBorders>
              <w:top w:val="single" w:sz="6" w:space="0" w:color="000000"/>
              <w:left w:val="single" w:sz="6" w:space="0" w:color="000000"/>
              <w:bottom w:val="single" w:sz="6" w:space="0" w:color="000000"/>
              <w:right w:val="single" w:sz="6" w:space="0" w:color="000000"/>
            </w:tcBorders>
            <w:vAlign w:val="center"/>
          </w:tcPr>
          <w:p w14:paraId="4F8AEC50" w14:textId="77777777" w:rsidR="00BA5F13" w:rsidRPr="00BA5F13" w:rsidRDefault="00BA5F13" w:rsidP="00BA5F13">
            <w:pPr>
              <w:spacing w:after="0" w:line="259" w:lineRule="auto"/>
              <w:ind w:left="0" w:right="70" w:firstLine="0"/>
              <w:jc w:val="right"/>
            </w:pPr>
            <w:r w:rsidRPr="00BA5F13">
              <w:t xml:space="preserve">2.000 </w:t>
            </w:r>
          </w:p>
        </w:tc>
        <w:tc>
          <w:tcPr>
            <w:tcW w:w="1283" w:type="dxa"/>
            <w:tcBorders>
              <w:top w:val="single" w:sz="6" w:space="0" w:color="000000"/>
              <w:left w:val="single" w:sz="6" w:space="0" w:color="000000"/>
              <w:bottom w:val="single" w:sz="6" w:space="0" w:color="000000"/>
              <w:right w:val="single" w:sz="6" w:space="0" w:color="000000"/>
            </w:tcBorders>
            <w:vAlign w:val="center"/>
          </w:tcPr>
          <w:p w14:paraId="1F989EBE" w14:textId="77777777" w:rsidR="00BA5F13" w:rsidRPr="00BA5F13" w:rsidRDefault="00BA5F13" w:rsidP="00BA5F13">
            <w:pPr>
              <w:spacing w:after="0" w:line="259" w:lineRule="auto"/>
              <w:ind w:left="0" w:right="72" w:firstLine="0"/>
              <w:jc w:val="right"/>
            </w:pPr>
            <w:r w:rsidRPr="00BA5F13">
              <w:t xml:space="preserve">9.495 </w:t>
            </w:r>
          </w:p>
        </w:tc>
      </w:tr>
      <w:tr w:rsidR="00BA5F13" w:rsidRPr="00BA5F13" w14:paraId="251A4ECD" w14:textId="77777777" w:rsidTr="004C09BE">
        <w:trPr>
          <w:trHeight w:val="555"/>
        </w:trPr>
        <w:tc>
          <w:tcPr>
            <w:tcW w:w="2204" w:type="dxa"/>
            <w:tcBorders>
              <w:top w:val="single" w:sz="6" w:space="0" w:color="000000"/>
              <w:left w:val="single" w:sz="6" w:space="0" w:color="000000"/>
              <w:bottom w:val="single" w:sz="6" w:space="0" w:color="000000"/>
              <w:right w:val="single" w:sz="6" w:space="0" w:color="000000"/>
            </w:tcBorders>
          </w:tcPr>
          <w:p w14:paraId="75E2C9F7" w14:textId="77777777" w:rsidR="00BA5F13" w:rsidRPr="00BA5F13" w:rsidRDefault="00BA5F13" w:rsidP="00BA5F13">
            <w:pPr>
              <w:spacing w:after="0" w:line="259" w:lineRule="auto"/>
              <w:ind w:left="0" w:right="0" w:firstLine="0"/>
              <w:jc w:val="left"/>
            </w:pPr>
            <w:r w:rsidRPr="00BA5F13">
              <w:t xml:space="preserve">Development &amp; Land Acquisition </w:t>
            </w:r>
            <w:r w:rsidRPr="00BA5F13">
              <w:rPr>
                <w:b/>
              </w:rPr>
              <w:t xml:space="preserve"> </w:t>
            </w:r>
          </w:p>
        </w:tc>
        <w:tc>
          <w:tcPr>
            <w:tcW w:w="1189" w:type="dxa"/>
            <w:tcBorders>
              <w:top w:val="single" w:sz="6" w:space="0" w:color="000000"/>
              <w:left w:val="single" w:sz="6" w:space="0" w:color="000000"/>
              <w:bottom w:val="single" w:sz="6" w:space="0" w:color="000000"/>
              <w:right w:val="single" w:sz="6" w:space="0" w:color="000000"/>
            </w:tcBorders>
            <w:vAlign w:val="center"/>
          </w:tcPr>
          <w:p w14:paraId="186B1227" w14:textId="77777777" w:rsidR="00BA5F13" w:rsidRPr="00BA5F13" w:rsidRDefault="00BA5F13" w:rsidP="00BA5F13">
            <w:pPr>
              <w:spacing w:after="0" w:line="259" w:lineRule="auto"/>
              <w:ind w:left="0" w:right="79" w:firstLine="0"/>
              <w:jc w:val="right"/>
            </w:pPr>
            <w:r w:rsidRPr="00BA5F13">
              <w:t>0.340</w:t>
            </w:r>
            <w:r w:rsidRPr="00BA5F13">
              <w:rPr>
                <w:b/>
              </w:rPr>
              <w:t xml:space="preserve"> </w:t>
            </w:r>
          </w:p>
        </w:tc>
        <w:tc>
          <w:tcPr>
            <w:tcW w:w="1180" w:type="dxa"/>
            <w:tcBorders>
              <w:top w:val="single" w:sz="6" w:space="0" w:color="000000"/>
              <w:left w:val="single" w:sz="6" w:space="0" w:color="000000"/>
              <w:bottom w:val="single" w:sz="6" w:space="0" w:color="000000"/>
              <w:right w:val="single" w:sz="6" w:space="0" w:color="000000"/>
            </w:tcBorders>
            <w:vAlign w:val="center"/>
          </w:tcPr>
          <w:p w14:paraId="5EA41ABD" w14:textId="77777777" w:rsidR="00BA5F13" w:rsidRPr="00BA5F13" w:rsidRDefault="00BA5F13" w:rsidP="00BA5F13">
            <w:pPr>
              <w:spacing w:after="0" w:line="259" w:lineRule="auto"/>
              <w:ind w:left="0" w:right="70" w:firstLine="0"/>
              <w:jc w:val="right"/>
            </w:pPr>
            <w:r w:rsidRPr="00BA5F13">
              <w:t>0.500</w:t>
            </w:r>
            <w:r w:rsidRPr="00BA5F13">
              <w:rPr>
                <w:b/>
              </w:rPr>
              <w:t xml:space="preserve"> </w:t>
            </w:r>
          </w:p>
        </w:tc>
        <w:tc>
          <w:tcPr>
            <w:tcW w:w="1180" w:type="dxa"/>
            <w:tcBorders>
              <w:top w:val="single" w:sz="6" w:space="0" w:color="000000"/>
              <w:left w:val="single" w:sz="6" w:space="0" w:color="000000"/>
              <w:bottom w:val="single" w:sz="6" w:space="0" w:color="000000"/>
              <w:right w:val="single" w:sz="6" w:space="0" w:color="000000"/>
            </w:tcBorders>
            <w:vAlign w:val="center"/>
          </w:tcPr>
          <w:p w14:paraId="58A2A3D1" w14:textId="77777777" w:rsidR="00BA5F13" w:rsidRPr="00BA5F13" w:rsidRDefault="00BA5F13" w:rsidP="00BA5F13">
            <w:pPr>
              <w:spacing w:after="0" w:line="259" w:lineRule="auto"/>
              <w:ind w:left="0" w:right="70" w:firstLine="0"/>
              <w:jc w:val="right"/>
            </w:pPr>
            <w:r w:rsidRPr="00BA5F13">
              <w:t>0.500</w:t>
            </w:r>
            <w:r w:rsidRPr="00BA5F13">
              <w:rPr>
                <w:b/>
              </w:rPr>
              <w:t xml:space="preserve"> </w:t>
            </w:r>
          </w:p>
        </w:tc>
        <w:tc>
          <w:tcPr>
            <w:tcW w:w="1195" w:type="dxa"/>
            <w:tcBorders>
              <w:top w:val="single" w:sz="6" w:space="0" w:color="000000"/>
              <w:left w:val="single" w:sz="6" w:space="0" w:color="000000"/>
              <w:bottom w:val="single" w:sz="6" w:space="0" w:color="000000"/>
              <w:right w:val="single" w:sz="6" w:space="0" w:color="000000"/>
            </w:tcBorders>
          </w:tcPr>
          <w:p w14:paraId="72737CFD" w14:textId="77777777" w:rsidR="00BA5F13" w:rsidRPr="00BA5F13" w:rsidRDefault="00BA5F13" w:rsidP="00BA5F13">
            <w:pPr>
              <w:spacing w:after="0" w:line="259" w:lineRule="auto"/>
              <w:ind w:left="0" w:right="15" w:firstLine="0"/>
              <w:jc w:val="right"/>
            </w:pPr>
          </w:p>
        </w:tc>
        <w:tc>
          <w:tcPr>
            <w:tcW w:w="1244" w:type="dxa"/>
            <w:tcBorders>
              <w:top w:val="single" w:sz="6" w:space="0" w:color="000000"/>
              <w:left w:val="single" w:sz="6" w:space="0" w:color="000000"/>
              <w:bottom w:val="single" w:sz="6" w:space="0" w:color="000000"/>
              <w:right w:val="single" w:sz="6" w:space="0" w:color="000000"/>
            </w:tcBorders>
          </w:tcPr>
          <w:p w14:paraId="538EDD9C"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2AD89280"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178F065" w14:textId="77777777" w:rsidR="00BA5F13" w:rsidRPr="00BA5F13" w:rsidRDefault="00BA5F13" w:rsidP="00BA5F13">
            <w:pPr>
              <w:spacing w:after="0" w:line="259" w:lineRule="auto"/>
              <w:ind w:left="0" w:right="0" w:firstLine="0"/>
              <w:jc w:val="right"/>
            </w:pPr>
          </w:p>
        </w:tc>
        <w:tc>
          <w:tcPr>
            <w:tcW w:w="1189" w:type="dxa"/>
            <w:tcBorders>
              <w:top w:val="single" w:sz="6" w:space="0" w:color="000000"/>
              <w:left w:val="single" w:sz="6" w:space="0" w:color="000000"/>
              <w:bottom w:val="single" w:sz="6" w:space="0" w:color="000000"/>
              <w:right w:val="single" w:sz="6" w:space="0" w:color="000000"/>
            </w:tcBorders>
          </w:tcPr>
          <w:p w14:paraId="27AB3FDD" w14:textId="77777777" w:rsidR="00BA5F13" w:rsidRPr="00BA5F13" w:rsidRDefault="00BA5F13" w:rsidP="00BA5F13">
            <w:pPr>
              <w:spacing w:after="0" w:line="259" w:lineRule="auto"/>
              <w:ind w:left="0" w:right="9"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6FBDCDB6" w14:textId="77777777" w:rsidR="00BA5F13" w:rsidRPr="00BA5F13" w:rsidRDefault="00BA5F13" w:rsidP="00BA5F13">
            <w:pPr>
              <w:spacing w:after="0" w:line="259" w:lineRule="auto"/>
              <w:ind w:left="0" w:right="0" w:firstLine="0"/>
              <w:jc w:val="right"/>
            </w:pPr>
          </w:p>
        </w:tc>
        <w:tc>
          <w:tcPr>
            <w:tcW w:w="1180" w:type="dxa"/>
            <w:tcBorders>
              <w:top w:val="single" w:sz="6" w:space="0" w:color="000000"/>
              <w:left w:val="single" w:sz="6" w:space="0" w:color="000000"/>
              <w:bottom w:val="single" w:sz="6" w:space="0" w:color="000000"/>
              <w:right w:val="single" w:sz="6" w:space="0" w:color="000000"/>
            </w:tcBorders>
          </w:tcPr>
          <w:p w14:paraId="5F89A372" w14:textId="77777777" w:rsidR="00BA5F13" w:rsidRPr="00BA5F13" w:rsidRDefault="00BA5F13" w:rsidP="00BA5F13">
            <w:pPr>
              <w:spacing w:after="0" w:line="259" w:lineRule="auto"/>
              <w:ind w:left="0" w:right="0" w:firstLine="0"/>
              <w:jc w:val="right"/>
            </w:pPr>
          </w:p>
        </w:tc>
        <w:tc>
          <w:tcPr>
            <w:tcW w:w="1283" w:type="dxa"/>
            <w:tcBorders>
              <w:top w:val="single" w:sz="6" w:space="0" w:color="000000"/>
              <w:left w:val="single" w:sz="6" w:space="0" w:color="000000"/>
              <w:bottom w:val="single" w:sz="6" w:space="0" w:color="000000"/>
              <w:right w:val="single" w:sz="6" w:space="0" w:color="000000"/>
            </w:tcBorders>
            <w:vAlign w:val="center"/>
          </w:tcPr>
          <w:p w14:paraId="3E502EA5" w14:textId="77777777" w:rsidR="00BA5F13" w:rsidRPr="00BA5F13" w:rsidRDefault="00BA5F13" w:rsidP="00BA5F13">
            <w:pPr>
              <w:spacing w:after="0" w:line="259" w:lineRule="auto"/>
              <w:ind w:left="0" w:right="72" w:firstLine="0"/>
              <w:jc w:val="right"/>
            </w:pPr>
            <w:r w:rsidRPr="00BA5F13">
              <w:t>1.340</w:t>
            </w:r>
            <w:r w:rsidRPr="00BA5F13">
              <w:rPr>
                <w:b/>
              </w:rPr>
              <w:t xml:space="preserve"> </w:t>
            </w:r>
          </w:p>
        </w:tc>
      </w:tr>
    </w:tbl>
    <w:p w14:paraId="7D4DE6A9" w14:textId="77777777" w:rsidR="00BA5F13" w:rsidRPr="00BA5F13" w:rsidRDefault="00BA5F13" w:rsidP="00BA5F13">
      <w:pPr>
        <w:spacing w:after="0" w:line="259" w:lineRule="auto"/>
        <w:ind w:left="0" w:right="15" w:firstLine="0"/>
        <w:jc w:val="left"/>
      </w:pPr>
    </w:p>
    <w:tbl>
      <w:tblPr>
        <w:tblStyle w:val="TableGrid"/>
        <w:tblW w:w="15862" w:type="dxa"/>
        <w:tblInd w:w="-859" w:type="dxa"/>
        <w:tblCellMar>
          <w:top w:w="0" w:type="dxa"/>
          <w:left w:w="103" w:type="dxa"/>
          <w:bottom w:w="0" w:type="dxa"/>
          <w:right w:w="31" w:type="dxa"/>
        </w:tblCellMar>
        <w:tblLook w:val="04A0" w:firstRow="1" w:lastRow="0" w:firstColumn="1" w:lastColumn="0" w:noHBand="0" w:noVBand="1"/>
      </w:tblPr>
      <w:tblGrid>
        <w:gridCol w:w="2615"/>
        <w:gridCol w:w="1229"/>
        <w:gridCol w:w="1229"/>
        <w:gridCol w:w="1229"/>
        <w:gridCol w:w="1229"/>
        <w:gridCol w:w="1229"/>
        <w:gridCol w:w="1165"/>
        <w:gridCol w:w="1165"/>
        <w:gridCol w:w="1174"/>
        <w:gridCol w:w="1165"/>
        <w:gridCol w:w="1165"/>
        <w:gridCol w:w="1268"/>
      </w:tblGrid>
      <w:tr w:rsidR="00BA5F13" w:rsidRPr="00BA5F13" w14:paraId="661F73AD" w14:textId="77777777" w:rsidTr="004C09BE">
        <w:trPr>
          <w:trHeight w:val="283"/>
        </w:trPr>
        <w:tc>
          <w:tcPr>
            <w:tcW w:w="2615" w:type="dxa"/>
            <w:tcBorders>
              <w:top w:val="single" w:sz="6" w:space="0" w:color="000000"/>
              <w:left w:val="single" w:sz="6" w:space="0" w:color="000000"/>
              <w:bottom w:val="single" w:sz="6" w:space="0" w:color="000000"/>
              <w:right w:val="single" w:sz="6" w:space="0" w:color="000000"/>
            </w:tcBorders>
            <w:shd w:val="clear" w:color="auto" w:fill="D9D9D9"/>
          </w:tcPr>
          <w:p w14:paraId="3096D995" w14:textId="77777777" w:rsidR="00BA5F13" w:rsidRPr="00BA5F13" w:rsidRDefault="00BA5F13" w:rsidP="00BA5F13">
            <w:pPr>
              <w:spacing w:after="0" w:line="259" w:lineRule="auto"/>
              <w:ind w:left="0" w:right="73" w:firstLine="0"/>
              <w:jc w:val="center"/>
            </w:pPr>
            <w:r w:rsidRPr="00BA5F13">
              <w:rPr>
                <w:b/>
              </w:rPr>
              <w:lastRenderedPageBreak/>
              <w:t xml:space="preserve">£'m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tcPr>
          <w:p w14:paraId="2625EA18" w14:textId="77777777" w:rsidR="00BA5F13" w:rsidRPr="00BA5F13" w:rsidRDefault="00BA5F13" w:rsidP="00BA5F13">
            <w:pPr>
              <w:spacing w:after="0" w:line="259" w:lineRule="auto"/>
              <w:ind w:left="0" w:right="0" w:firstLine="0"/>
              <w:jc w:val="left"/>
            </w:pPr>
            <w:r w:rsidRPr="00BA5F13">
              <w:rPr>
                <w:b/>
              </w:rPr>
              <w:t xml:space="preserve">24/25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tcPr>
          <w:p w14:paraId="179260B4" w14:textId="77777777" w:rsidR="00BA5F13" w:rsidRPr="00BA5F13" w:rsidRDefault="00BA5F13" w:rsidP="00BA5F13">
            <w:pPr>
              <w:spacing w:after="0" w:line="259" w:lineRule="auto"/>
              <w:ind w:left="0" w:right="0" w:firstLine="0"/>
              <w:jc w:val="left"/>
            </w:pPr>
            <w:r w:rsidRPr="00BA5F13">
              <w:rPr>
                <w:b/>
              </w:rPr>
              <w:t xml:space="preserve">25/26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tcPr>
          <w:p w14:paraId="6594A5E4" w14:textId="77777777" w:rsidR="00BA5F13" w:rsidRPr="00BA5F13" w:rsidRDefault="00BA5F13" w:rsidP="00BA5F13">
            <w:pPr>
              <w:spacing w:after="0" w:line="259" w:lineRule="auto"/>
              <w:ind w:left="0" w:right="0" w:firstLine="0"/>
              <w:jc w:val="left"/>
            </w:pPr>
            <w:r w:rsidRPr="00BA5F13">
              <w:rPr>
                <w:b/>
              </w:rPr>
              <w:t xml:space="preserve">26/27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tcPr>
          <w:p w14:paraId="12AD0721" w14:textId="77777777" w:rsidR="00BA5F13" w:rsidRPr="00BA5F13" w:rsidRDefault="00BA5F13" w:rsidP="00BA5F13">
            <w:pPr>
              <w:spacing w:after="0" w:line="259" w:lineRule="auto"/>
              <w:ind w:left="0" w:right="0" w:firstLine="0"/>
              <w:jc w:val="left"/>
            </w:pPr>
            <w:r w:rsidRPr="00BA5F13">
              <w:rPr>
                <w:b/>
              </w:rPr>
              <w:t xml:space="preserve">27/28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tcPr>
          <w:p w14:paraId="12F734AA" w14:textId="77777777" w:rsidR="00BA5F13" w:rsidRPr="00BA5F13" w:rsidRDefault="00BA5F13" w:rsidP="00BA5F13">
            <w:pPr>
              <w:spacing w:after="0" w:line="259" w:lineRule="auto"/>
              <w:ind w:left="0" w:right="0" w:firstLine="0"/>
              <w:jc w:val="left"/>
            </w:pPr>
            <w:r w:rsidRPr="00BA5F13">
              <w:rPr>
                <w:b/>
              </w:rPr>
              <w:t xml:space="preserve">28/29 </w:t>
            </w:r>
          </w:p>
        </w:tc>
        <w:tc>
          <w:tcPr>
            <w:tcW w:w="1165" w:type="dxa"/>
            <w:tcBorders>
              <w:top w:val="single" w:sz="6" w:space="0" w:color="000000"/>
              <w:left w:val="single" w:sz="6" w:space="0" w:color="000000"/>
              <w:bottom w:val="single" w:sz="6" w:space="0" w:color="000000"/>
              <w:right w:val="single" w:sz="6" w:space="0" w:color="000000"/>
            </w:tcBorders>
            <w:shd w:val="clear" w:color="auto" w:fill="D9D9D9"/>
          </w:tcPr>
          <w:p w14:paraId="30AC0FA9" w14:textId="77777777" w:rsidR="00BA5F13" w:rsidRPr="00BA5F13" w:rsidRDefault="00BA5F13" w:rsidP="00BA5F13">
            <w:pPr>
              <w:spacing w:after="0" w:line="259" w:lineRule="auto"/>
              <w:ind w:left="0" w:right="0" w:firstLine="0"/>
              <w:jc w:val="left"/>
            </w:pPr>
            <w:r w:rsidRPr="00BA5F13">
              <w:rPr>
                <w:b/>
              </w:rPr>
              <w:t xml:space="preserve">29/30 </w:t>
            </w:r>
          </w:p>
        </w:tc>
        <w:tc>
          <w:tcPr>
            <w:tcW w:w="1165" w:type="dxa"/>
            <w:tcBorders>
              <w:top w:val="single" w:sz="6" w:space="0" w:color="000000"/>
              <w:left w:val="single" w:sz="6" w:space="0" w:color="000000"/>
              <w:bottom w:val="single" w:sz="6" w:space="0" w:color="000000"/>
              <w:right w:val="single" w:sz="6" w:space="0" w:color="000000"/>
            </w:tcBorders>
            <w:shd w:val="clear" w:color="auto" w:fill="D9D9D9"/>
          </w:tcPr>
          <w:p w14:paraId="53E19F2F" w14:textId="77777777" w:rsidR="00BA5F13" w:rsidRPr="00BA5F13" w:rsidRDefault="00BA5F13" w:rsidP="00BA5F13">
            <w:pPr>
              <w:spacing w:after="0" w:line="259" w:lineRule="auto"/>
              <w:ind w:left="0" w:right="0" w:firstLine="0"/>
              <w:jc w:val="left"/>
            </w:pPr>
            <w:r w:rsidRPr="00BA5F13">
              <w:rPr>
                <w:b/>
              </w:rPr>
              <w:t xml:space="preserve">30/31 </w:t>
            </w:r>
          </w:p>
        </w:tc>
        <w:tc>
          <w:tcPr>
            <w:tcW w:w="1174" w:type="dxa"/>
            <w:tcBorders>
              <w:top w:val="single" w:sz="6" w:space="0" w:color="000000"/>
              <w:left w:val="single" w:sz="6" w:space="0" w:color="000000"/>
              <w:bottom w:val="single" w:sz="6" w:space="0" w:color="000000"/>
              <w:right w:val="single" w:sz="6" w:space="0" w:color="000000"/>
            </w:tcBorders>
            <w:shd w:val="clear" w:color="auto" w:fill="D9D9D9"/>
          </w:tcPr>
          <w:p w14:paraId="11A4B148" w14:textId="77777777" w:rsidR="00BA5F13" w:rsidRPr="00BA5F13" w:rsidRDefault="00BA5F13" w:rsidP="00BA5F13">
            <w:pPr>
              <w:spacing w:after="0" w:line="259" w:lineRule="auto"/>
              <w:ind w:left="0" w:right="0" w:firstLine="0"/>
              <w:jc w:val="left"/>
            </w:pPr>
            <w:r w:rsidRPr="00BA5F13">
              <w:rPr>
                <w:b/>
              </w:rPr>
              <w:t xml:space="preserve">31/32 </w:t>
            </w:r>
          </w:p>
        </w:tc>
        <w:tc>
          <w:tcPr>
            <w:tcW w:w="1165" w:type="dxa"/>
            <w:tcBorders>
              <w:top w:val="single" w:sz="6" w:space="0" w:color="000000"/>
              <w:left w:val="single" w:sz="6" w:space="0" w:color="000000"/>
              <w:bottom w:val="single" w:sz="6" w:space="0" w:color="000000"/>
              <w:right w:val="single" w:sz="6" w:space="0" w:color="000000"/>
            </w:tcBorders>
            <w:shd w:val="clear" w:color="auto" w:fill="D9D9D9"/>
          </w:tcPr>
          <w:p w14:paraId="7631DD83" w14:textId="77777777" w:rsidR="00BA5F13" w:rsidRPr="00BA5F13" w:rsidRDefault="00BA5F13" w:rsidP="00BA5F13">
            <w:pPr>
              <w:spacing w:after="0" w:line="259" w:lineRule="auto"/>
              <w:ind w:left="0" w:right="0" w:firstLine="0"/>
              <w:jc w:val="left"/>
            </w:pPr>
            <w:r w:rsidRPr="00BA5F13">
              <w:rPr>
                <w:b/>
              </w:rPr>
              <w:t xml:space="preserve">32/33 </w:t>
            </w:r>
          </w:p>
        </w:tc>
        <w:tc>
          <w:tcPr>
            <w:tcW w:w="1165" w:type="dxa"/>
            <w:tcBorders>
              <w:top w:val="single" w:sz="6" w:space="0" w:color="000000"/>
              <w:left w:val="single" w:sz="6" w:space="0" w:color="000000"/>
              <w:bottom w:val="single" w:sz="6" w:space="0" w:color="000000"/>
              <w:right w:val="single" w:sz="6" w:space="0" w:color="000000"/>
            </w:tcBorders>
            <w:shd w:val="clear" w:color="auto" w:fill="D9D9D9"/>
          </w:tcPr>
          <w:p w14:paraId="720BD9EE" w14:textId="77777777" w:rsidR="00BA5F13" w:rsidRPr="00BA5F13" w:rsidRDefault="00BA5F13" w:rsidP="00BA5F13">
            <w:pPr>
              <w:spacing w:after="0" w:line="259" w:lineRule="auto"/>
              <w:ind w:left="0" w:right="0" w:firstLine="0"/>
              <w:jc w:val="left"/>
            </w:pPr>
            <w:r w:rsidRPr="00BA5F13">
              <w:rPr>
                <w:b/>
              </w:rPr>
              <w:t xml:space="preserve">33/34 </w:t>
            </w:r>
          </w:p>
        </w:tc>
        <w:tc>
          <w:tcPr>
            <w:tcW w:w="1268" w:type="dxa"/>
            <w:tcBorders>
              <w:top w:val="single" w:sz="6" w:space="0" w:color="000000"/>
              <w:left w:val="single" w:sz="6" w:space="0" w:color="000000"/>
              <w:bottom w:val="single" w:sz="6" w:space="0" w:color="000000"/>
              <w:right w:val="single" w:sz="6" w:space="0" w:color="000000"/>
            </w:tcBorders>
            <w:shd w:val="clear" w:color="auto" w:fill="D9D9D9"/>
          </w:tcPr>
          <w:p w14:paraId="4BB47CAA" w14:textId="77777777" w:rsidR="00BA5F13" w:rsidRPr="00BA5F13" w:rsidRDefault="00BA5F13" w:rsidP="00BA5F13">
            <w:pPr>
              <w:spacing w:after="0" w:line="259" w:lineRule="auto"/>
              <w:ind w:left="0" w:right="0" w:firstLine="0"/>
              <w:jc w:val="left"/>
            </w:pPr>
            <w:r w:rsidRPr="00BA5F13">
              <w:rPr>
                <w:b/>
              </w:rPr>
              <w:t xml:space="preserve">TOTAL </w:t>
            </w:r>
          </w:p>
        </w:tc>
      </w:tr>
      <w:tr w:rsidR="00110406" w:rsidRPr="00BA5F13" w14:paraId="71F35CE1" w14:textId="77777777" w:rsidTr="004C09BE">
        <w:trPr>
          <w:trHeight w:val="284"/>
        </w:trPr>
        <w:tc>
          <w:tcPr>
            <w:tcW w:w="2615" w:type="dxa"/>
            <w:tcBorders>
              <w:top w:val="single" w:sz="6" w:space="0" w:color="000000"/>
              <w:left w:val="single" w:sz="6" w:space="0" w:color="000000"/>
              <w:bottom w:val="single" w:sz="6" w:space="0" w:color="000000"/>
              <w:right w:val="single" w:sz="6" w:space="0" w:color="000000"/>
            </w:tcBorders>
          </w:tcPr>
          <w:p w14:paraId="5FA59F98" w14:textId="77777777" w:rsidR="00BA5F13" w:rsidRPr="00BA5F13" w:rsidRDefault="00BA5F13" w:rsidP="00BA5F13">
            <w:pPr>
              <w:spacing w:after="0" w:line="259" w:lineRule="auto"/>
              <w:ind w:left="0" w:right="0" w:firstLine="0"/>
              <w:jc w:val="left"/>
            </w:pPr>
            <w:r w:rsidRPr="00BA5F13">
              <w:rPr>
                <w:b/>
              </w:rPr>
              <w:t>Subtotal</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shd w:val="clear" w:color="auto" w:fill="F2F2F2"/>
          </w:tcPr>
          <w:p w14:paraId="6FE86BB3" w14:textId="77777777" w:rsidR="00BA5F13" w:rsidRPr="00BA5F13" w:rsidRDefault="00BA5F13" w:rsidP="00BA5F13">
            <w:pPr>
              <w:spacing w:after="0" w:line="259" w:lineRule="auto"/>
              <w:ind w:left="0" w:right="79" w:firstLine="0"/>
              <w:jc w:val="right"/>
            </w:pPr>
            <w:r w:rsidRPr="00BA5F13">
              <w:rPr>
                <w:b/>
              </w:rPr>
              <w:t>3.533</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shd w:val="clear" w:color="auto" w:fill="F2F2F2"/>
          </w:tcPr>
          <w:p w14:paraId="427897EE" w14:textId="77777777" w:rsidR="00BA5F13" w:rsidRPr="00BA5F13" w:rsidRDefault="00BA5F13" w:rsidP="00BA5F13">
            <w:pPr>
              <w:spacing w:after="0" w:line="259" w:lineRule="auto"/>
              <w:ind w:left="0" w:right="0" w:firstLine="0"/>
              <w:jc w:val="left"/>
            </w:pPr>
            <w:r w:rsidRPr="00BA5F13">
              <w:rPr>
                <w:b/>
              </w:rPr>
              <w:t>15.350</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shd w:val="clear" w:color="auto" w:fill="F2F2F2"/>
          </w:tcPr>
          <w:p w14:paraId="27696080" w14:textId="77777777" w:rsidR="00BA5F13" w:rsidRPr="00BA5F13" w:rsidRDefault="00BA5F13" w:rsidP="00BA5F13">
            <w:pPr>
              <w:spacing w:after="0" w:line="259" w:lineRule="auto"/>
              <w:ind w:left="0" w:right="0" w:firstLine="0"/>
              <w:jc w:val="left"/>
            </w:pPr>
            <w:r w:rsidRPr="00BA5F13">
              <w:rPr>
                <w:b/>
              </w:rPr>
              <w:t>15.350</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shd w:val="clear" w:color="auto" w:fill="F2F2F2"/>
          </w:tcPr>
          <w:p w14:paraId="10A7DC94" w14:textId="77777777" w:rsidR="00BA5F13" w:rsidRPr="00BA5F13" w:rsidRDefault="00BA5F13" w:rsidP="00BA5F13">
            <w:pPr>
              <w:spacing w:after="0" w:line="259" w:lineRule="auto"/>
              <w:ind w:left="0" w:right="85" w:firstLine="0"/>
              <w:jc w:val="right"/>
            </w:pPr>
            <w:r w:rsidRPr="00BA5F13">
              <w:rPr>
                <w:b/>
              </w:rPr>
              <w:t>7.850</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shd w:val="clear" w:color="auto" w:fill="F2F2F2"/>
          </w:tcPr>
          <w:p w14:paraId="12C5D796" w14:textId="77777777" w:rsidR="00BA5F13" w:rsidRPr="00BA5F13" w:rsidRDefault="00BA5F13" w:rsidP="00BA5F13">
            <w:pPr>
              <w:spacing w:after="0" w:line="259" w:lineRule="auto"/>
              <w:ind w:left="0" w:right="0" w:firstLine="0"/>
              <w:jc w:val="left"/>
            </w:pPr>
            <w:r w:rsidRPr="00BA5F13">
              <w:rPr>
                <w:b/>
              </w:rPr>
              <w:t>10.750</w:t>
            </w:r>
            <w:r w:rsidRPr="00BA5F13">
              <w:t xml:space="preserve"> </w:t>
            </w:r>
          </w:p>
        </w:tc>
        <w:tc>
          <w:tcPr>
            <w:tcW w:w="1165" w:type="dxa"/>
            <w:tcBorders>
              <w:top w:val="single" w:sz="6" w:space="0" w:color="000000"/>
              <w:left w:val="single" w:sz="6" w:space="0" w:color="000000"/>
              <w:bottom w:val="single" w:sz="6" w:space="0" w:color="000000"/>
              <w:right w:val="single" w:sz="6" w:space="0" w:color="000000"/>
            </w:tcBorders>
            <w:shd w:val="clear" w:color="auto" w:fill="F2F2F2"/>
          </w:tcPr>
          <w:p w14:paraId="4AEC4359" w14:textId="77777777" w:rsidR="00BA5F13" w:rsidRPr="00BA5F13" w:rsidRDefault="00BA5F13" w:rsidP="00BA5F13">
            <w:pPr>
              <w:spacing w:after="0" w:line="259" w:lineRule="auto"/>
              <w:ind w:left="0" w:right="70" w:firstLine="0"/>
              <w:jc w:val="right"/>
            </w:pPr>
            <w:r w:rsidRPr="00BA5F13">
              <w:rPr>
                <w:b/>
              </w:rPr>
              <w:t>1.896</w:t>
            </w:r>
            <w:r w:rsidRPr="00BA5F13">
              <w:t xml:space="preserve"> </w:t>
            </w:r>
          </w:p>
        </w:tc>
        <w:tc>
          <w:tcPr>
            <w:tcW w:w="1165" w:type="dxa"/>
            <w:tcBorders>
              <w:top w:val="single" w:sz="6" w:space="0" w:color="000000"/>
              <w:left w:val="single" w:sz="6" w:space="0" w:color="000000"/>
              <w:bottom w:val="single" w:sz="6" w:space="0" w:color="000000"/>
              <w:right w:val="single" w:sz="6" w:space="0" w:color="000000"/>
            </w:tcBorders>
            <w:shd w:val="clear" w:color="auto" w:fill="F2F2F2"/>
          </w:tcPr>
          <w:p w14:paraId="64E08D77" w14:textId="77777777" w:rsidR="00BA5F13" w:rsidRPr="00BA5F13" w:rsidRDefault="00BA5F13" w:rsidP="00BA5F13">
            <w:pPr>
              <w:spacing w:after="0" w:line="259" w:lineRule="auto"/>
              <w:ind w:left="0" w:right="70" w:firstLine="0"/>
              <w:jc w:val="right"/>
            </w:pPr>
            <w:r w:rsidRPr="00BA5F13">
              <w:rPr>
                <w:b/>
              </w:rPr>
              <w:t>1.408</w:t>
            </w:r>
            <w:r w:rsidRPr="00BA5F13">
              <w:t xml:space="preserve"> </w:t>
            </w:r>
          </w:p>
        </w:tc>
        <w:tc>
          <w:tcPr>
            <w:tcW w:w="1174" w:type="dxa"/>
            <w:tcBorders>
              <w:top w:val="single" w:sz="6" w:space="0" w:color="000000"/>
              <w:left w:val="single" w:sz="6" w:space="0" w:color="000000"/>
              <w:bottom w:val="single" w:sz="6" w:space="0" w:color="000000"/>
              <w:right w:val="single" w:sz="6" w:space="0" w:color="000000"/>
            </w:tcBorders>
            <w:shd w:val="clear" w:color="auto" w:fill="F2F2F2"/>
          </w:tcPr>
          <w:p w14:paraId="159FE9CC" w14:textId="77777777" w:rsidR="00BA5F13" w:rsidRPr="00BA5F13" w:rsidRDefault="00BA5F13" w:rsidP="00BA5F13">
            <w:pPr>
              <w:spacing w:after="0" w:line="259" w:lineRule="auto"/>
              <w:ind w:left="0" w:right="79" w:firstLine="0"/>
              <w:jc w:val="right"/>
            </w:pPr>
            <w:r w:rsidRPr="00BA5F13">
              <w:rPr>
                <w:b/>
              </w:rPr>
              <w:t>2.299</w:t>
            </w:r>
            <w:r w:rsidRPr="00BA5F13">
              <w:t xml:space="preserve"> </w:t>
            </w:r>
          </w:p>
        </w:tc>
        <w:tc>
          <w:tcPr>
            <w:tcW w:w="1165" w:type="dxa"/>
            <w:tcBorders>
              <w:top w:val="single" w:sz="6" w:space="0" w:color="000000"/>
              <w:left w:val="single" w:sz="6" w:space="0" w:color="000000"/>
              <w:bottom w:val="single" w:sz="6" w:space="0" w:color="000000"/>
              <w:right w:val="single" w:sz="6" w:space="0" w:color="000000"/>
            </w:tcBorders>
            <w:shd w:val="clear" w:color="auto" w:fill="F2F2F2"/>
          </w:tcPr>
          <w:p w14:paraId="32D8E93D" w14:textId="77777777" w:rsidR="00BA5F13" w:rsidRPr="00BA5F13" w:rsidRDefault="00BA5F13" w:rsidP="00BA5F13">
            <w:pPr>
              <w:spacing w:after="0" w:line="259" w:lineRule="auto"/>
              <w:ind w:left="0" w:right="70" w:firstLine="0"/>
              <w:jc w:val="right"/>
            </w:pPr>
            <w:r w:rsidRPr="00BA5F13">
              <w:rPr>
                <w:b/>
              </w:rPr>
              <w:t>2.792</w:t>
            </w:r>
            <w:r w:rsidRPr="00BA5F13">
              <w:t xml:space="preserve"> </w:t>
            </w:r>
          </w:p>
        </w:tc>
        <w:tc>
          <w:tcPr>
            <w:tcW w:w="1165" w:type="dxa"/>
            <w:tcBorders>
              <w:top w:val="single" w:sz="6" w:space="0" w:color="000000"/>
              <w:left w:val="single" w:sz="6" w:space="0" w:color="000000"/>
              <w:bottom w:val="single" w:sz="6" w:space="0" w:color="000000"/>
              <w:right w:val="single" w:sz="6" w:space="0" w:color="000000"/>
            </w:tcBorders>
            <w:shd w:val="clear" w:color="auto" w:fill="F2F2F2"/>
          </w:tcPr>
          <w:p w14:paraId="4678907E" w14:textId="77777777" w:rsidR="00BA5F13" w:rsidRPr="00BA5F13" w:rsidRDefault="00BA5F13" w:rsidP="00BA5F13">
            <w:pPr>
              <w:spacing w:after="0" w:line="259" w:lineRule="auto"/>
              <w:ind w:left="0" w:right="70" w:firstLine="0"/>
              <w:jc w:val="right"/>
            </w:pPr>
            <w:r w:rsidRPr="00BA5F13">
              <w:rPr>
                <w:b/>
              </w:rPr>
              <w:t>2.250</w:t>
            </w:r>
            <w:r w:rsidRPr="00BA5F13">
              <w:t xml:space="preserve"> </w:t>
            </w:r>
          </w:p>
        </w:tc>
        <w:tc>
          <w:tcPr>
            <w:tcW w:w="1268" w:type="dxa"/>
            <w:tcBorders>
              <w:top w:val="single" w:sz="6" w:space="0" w:color="000000"/>
              <w:left w:val="single" w:sz="6" w:space="0" w:color="000000"/>
              <w:bottom w:val="single" w:sz="6" w:space="0" w:color="000000"/>
              <w:right w:val="single" w:sz="6" w:space="0" w:color="000000"/>
            </w:tcBorders>
            <w:shd w:val="clear" w:color="auto" w:fill="F2F2F2"/>
          </w:tcPr>
          <w:p w14:paraId="1A4C089E" w14:textId="77777777" w:rsidR="00BA5F13" w:rsidRPr="00BA5F13" w:rsidRDefault="00BA5F13" w:rsidP="00BA5F13">
            <w:pPr>
              <w:spacing w:after="0" w:line="259" w:lineRule="auto"/>
              <w:ind w:left="0" w:right="0" w:firstLine="0"/>
              <w:jc w:val="left"/>
            </w:pPr>
            <w:r w:rsidRPr="00BA5F13">
              <w:rPr>
                <w:b/>
              </w:rPr>
              <w:t>63.478</w:t>
            </w:r>
            <w:r w:rsidRPr="00BA5F13">
              <w:t xml:space="preserve"> </w:t>
            </w:r>
          </w:p>
        </w:tc>
      </w:tr>
      <w:tr w:rsidR="00BA5F13" w:rsidRPr="00BA5F13" w14:paraId="617BF226" w14:textId="77777777" w:rsidTr="004C09BE">
        <w:trPr>
          <w:trHeight w:val="843"/>
        </w:trPr>
        <w:tc>
          <w:tcPr>
            <w:tcW w:w="2615" w:type="dxa"/>
            <w:tcBorders>
              <w:top w:val="single" w:sz="6" w:space="0" w:color="000000"/>
              <w:left w:val="single" w:sz="6" w:space="0" w:color="000000"/>
              <w:bottom w:val="single" w:sz="6" w:space="0" w:color="000000"/>
              <w:right w:val="single" w:sz="6" w:space="0" w:color="000000"/>
            </w:tcBorders>
          </w:tcPr>
          <w:p w14:paraId="203F0885" w14:textId="77777777" w:rsidR="00BA5F13" w:rsidRPr="00BA5F13" w:rsidRDefault="00BA5F13" w:rsidP="00BA5F13">
            <w:pPr>
              <w:spacing w:after="0" w:line="259" w:lineRule="auto"/>
              <w:ind w:left="0" w:right="0" w:firstLine="0"/>
              <w:jc w:val="left"/>
            </w:pPr>
            <w:r w:rsidRPr="00BA5F13">
              <w:rPr>
                <w:b/>
              </w:rPr>
              <w:t xml:space="preserve">Information and </w:t>
            </w:r>
          </w:p>
          <w:p w14:paraId="2D3695A2" w14:textId="77777777" w:rsidR="00BA5F13" w:rsidRPr="00BA5F13" w:rsidRDefault="00BA5F13" w:rsidP="00BA5F13">
            <w:pPr>
              <w:spacing w:after="0" w:line="259" w:lineRule="auto"/>
              <w:ind w:left="0" w:right="0" w:firstLine="0"/>
              <w:jc w:val="left"/>
            </w:pPr>
            <w:r w:rsidRPr="00BA5F13">
              <w:rPr>
                <w:b/>
              </w:rPr>
              <w:t xml:space="preserve">Communication </w:t>
            </w:r>
          </w:p>
          <w:p w14:paraId="22172DFD" w14:textId="77777777" w:rsidR="00BA5F13" w:rsidRPr="00BA5F13" w:rsidRDefault="00BA5F13" w:rsidP="00BA5F13">
            <w:pPr>
              <w:spacing w:after="0" w:line="259" w:lineRule="auto"/>
              <w:ind w:left="0" w:right="0" w:firstLine="0"/>
              <w:jc w:val="left"/>
            </w:pPr>
            <w:r w:rsidRPr="00BA5F13">
              <w:rPr>
                <w:b/>
              </w:rPr>
              <w:t>Technology (ICT)</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tcPr>
          <w:p w14:paraId="6E4BF6FC" w14:textId="77777777" w:rsidR="00BA5F13" w:rsidRPr="00BA5F13" w:rsidRDefault="00BA5F13" w:rsidP="00BA5F13">
            <w:pPr>
              <w:spacing w:after="0" w:line="259" w:lineRule="auto"/>
              <w:ind w:left="0" w:right="9"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734F0499"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97066E1"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2827A4F9"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13F0B921"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14FAE435"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78118816"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539EB518"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A96325D"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F16C8B1"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tcPr>
          <w:p w14:paraId="681DFCE6" w14:textId="77777777" w:rsidR="00BA5F13" w:rsidRPr="00BA5F13" w:rsidRDefault="00BA5F13" w:rsidP="00BA5F13">
            <w:pPr>
              <w:spacing w:after="0" w:line="259" w:lineRule="auto"/>
              <w:ind w:left="0" w:right="2" w:firstLine="0"/>
              <w:jc w:val="right"/>
            </w:pPr>
          </w:p>
        </w:tc>
      </w:tr>
      <w:tr w:rsidR="00BA5F13" w:rsidRPr="00BA5F13" w14:paraId="506F0D1B" w14:textId="77777777" w:rsidTr="004C09BE">
        <w:trPr>
          <w:trHeight w:val="781"/>
        </w:trPr>
        <w:tc>
          <w:tcPr>
            <w:tcW w:w="2615" w:type="dxa"/>
            <w:tcBorders>
              <w:top w:val="single" w:sz="6" w:space="0" w:color="000000"/>
              <w:left w:val="single" w:sz="6" w:space="0" w:color="000000"/>
              <w:bottom w:val="single" w:sz="6" w:space="0" w:color="000000"/>
              <w:right w:val="single" w:sz="6" w:space="0" w:color="000000"/>
            </w:tcBorders>
            <w:vAlign w:val="center"/>
          </w:tcPr>
          <w:p w14:paraId="6B05798A" w14:textId="77777777" w:rsidR="00BA5F13" w:rsidRPr="00BA5F13" w:rsidRDefault="00BA5F13" w:rsidP="00BA5F13">
            <w:pPr>
              <w:spacing w:after="0" w:line="259" w:lineRule="auto"/>
              <w:ind w:left="0" w:right="0" w:firstLine="0"/>
              <w:jc w:val="left"/>
            </w:pPr>
            <w:r w:rsidRPr="00BA5F13">
              <w:t xml:space="preserve">Performance Management System </w:t>
            </w:r>
          </w:p>
        </w:tc>
        <w:tc>
          <w:tcPr>
            <w:tcW w:w="1229" w:type="dxa"/>
            <w:tcBorders>
              <w:top w:val="single" w:sz="6" w:space="0" w:color="000000"/>
              <w:left w:val="single" w:sz="6" w:space="0" w:color="000000"/>
              <w:bottom w:val="single" w:sz="6" w:space="0" w:color="000000"/>
              <w:right w:val="single" w:sz="6" w:space="0" w:color="000000"/>
            </w:tcBorders>
          </w:tcPr>
          <w:p w14:paraId="4C1485E3" w14:textId="77777777" w:rsidR="00BA5F13" w:rsidRPr="00BA5F13" w:rsidRDefault="00BA5F13" w:rsidP="00BA5F13">
            <w:pPr>
              <w:spacing w:after="0" w:line="259" w:lineRule="auto"/>
              <w:ind w:left="0" w:right="9"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4A613EE3"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FB67A1C"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6677505F"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vAlign w:val="center"/>
          </w:tcPr>
          <w:p w14:paraId="0A53424D" w14:textId="77777777" w:rsidR="00BA5F13" w:rsidRPr="00BA5F13" w:rsidRDefault="00BA5F13" w:rsidP="00BA5F13">
            <w:pPr>
              <w:spacing w:after="0" w:line="259" w:lineRule="auto"/>
              <w:ind w:left="0" w:right="70" w:firstLine="0"/>
              <w:jc w:val="right"/>
            </w:pPr>
            <w:r w:rsidRPr="00BA5F13">
              <w:t xml:space="preserve">0.500 </w:t>
            </w:r>
          </w:p>
        </w:tc>
        <w:tc>
          <w:tcPr>
            <w:tcW w:w="1165" w:type="dxa"/>
            <w:tcBorders>
              <w:top w:val="single" w:sz="6" w:space="0" w:color="000000"/>
              <w:left w:val="single" w:sz="6" w:space="0" w:color="000000"/>
              <w:bottom w:val="single" w:sz="6" w:space="0" w:color="000000"/>
              <w:right w:val="single" w:sz="6" w:space="0" w:color="000000"/>
            </w:tcBorders>
          </w:tcPr>
          <w:p w14:paraId="37234C21"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602C64C1"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222226FE"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133EA0D0"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64AC0A6D"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3718E0A6" w14:textId="77777777" w:rsidR="00BA5F13" w:rsidRPr="00BA5F13" w:rsidRDefault="00BA5F13" w:rsidP="00BA5F13">
            <w:pPr>
              <w:spacing w:after="0" w:line="259" w:lineRule="auto"/>
              <w:ind w:left="0" w:right="72" w:firstLine="0"/>
              <w:jc w:val="right"/>
            </w:pPr>
            <w:r w:rsidRPr="00BA5F13">
              <w:t xml:space="preserve">0.500 </w:t>
            </w:r>
          </w:p>
        </w:tc>
      </w:tr>
      <w:tr w:rsidR="00BA5F13" w:rsidRPr="00BA5F13" w14:paraId="5DA5AF5E" w14:textId="77777777" w:rsidTr="004C09BE">
        <w:trPr>
          <w:trHeight w:val="841"/>
        </w:trPr>
        <w:tc>
          <w:tcPr>
            <w:tcW w:w="2615" w:type="dxa"/>
            <w:tcBorders>
              <w:top w:val="single" w:sz="6" w:space="0" w:color="000000"/>
              <w:left w:val="single" w:sz="6" w:space="0" w:color="000000"/>
              <w:bottom w:val="single" w:sz="6" w:space="0" w:color="000000"/>
              <w:right w:val="single" w:sz="6" w:space="0" w:color="000000"/>
            </w:tcBorders>
          </w:tcPr>
          <w:p w14:paraId="4F56A59E" w14:textId="77777777" w:rsidR="00BA5F13" w:rsidRPr="00BA5F13" w:rsidRDefault="00BA5F13" w:rsidP="00BA5F13">
            <w:pPr>
              <w:spacing w:after="0" w:line="259" w:lineRule="auto"/>
              <w:ind w:left="0" w:right="0" w:firstLine="0"/>
              <w:jc w:val="left"/>
            </w:pPr>
            <w:r w:rsidRPr="00BA5F13">
              <w:t xml:space="preserve">Personal Protective </w:t>
            </w:r>
          </w:p>
          <w:p w14:paraId="4A1C6BF3" w14:textId="77777777" w:rsidR="00BA5F13" w:rsidRPr="00BA5F13" w:rsidRDefault="00BA5F13" w:rsidP="00BA5F13">
            <w:pPr>
              <w:spacing w:after="0" w:line="259" w:lineRule="auto"/>
              <w:ind w:left="0" w:right="0" w:firstLine="0"/>
              <w:jc w:val="left"/>
            </w:pPr>
            <w:r w:rsidRPr="00BA5F13">
              <w:t xml:space="preserve">Equipment asset tracking System </w:t>
            </w:r>
          </w:p>
        </w:tc>
        <w:tc>
          <w:tcPr>
            <w:tcW w:w="1229" w:type="dxa"/>
            <w:tcBorders>
              <w:top w:val="single" w:sz="6" w:space="0" w:color="000000"/>
              <w:left w:val="single" w:sz="6" w:space="0" w:color="000000"/>
              <w:bottom w:val="single" w:sz="6" w:space="0" w:color="000000"/>
              <w:right w:val="single" w:sz="6" w:space="0" w:color="000000"/>
            </w:tcBorders>
            <w:vAlign w:val="center"/>
          </w:tcPr>
          <w:p w14:paraId="3F66230B" w14:textId="77777777" w:rsidR="00BA5F13" w:rsidRPr="00BA5F13" w:rsidRDefault="00BA5F13" w:rsidP="00BA5F13">
            <w:pPr>
              <w:spacing w:after="0" w:line="259" w:lineRule="auto"/>
              <w:ind w:left="0" w:right="79" w:firstLine="0"/>
              <w:jc w:val="right"/>
            </w:pPr>
            <w:r w:rsidRPr="00BA5F13">
              <w:t>0.200</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tcPr>
          <w:p w14:paraId="4C5B27B3"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600EDB89"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5090AFC"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6F734D2"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44B23CDF"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4D61606"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2417A3F2"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9F9447F"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2AC57DDA"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7579D322" w14:textId="77777777" w:rsidR="00BA5F13" w:rsidRPr="00BA5F13" w:rsidRDefault="00BA5F13" w:rsidP="00BA5F13">
            <w:pPr>
              <w:spacing w:after="0" w:line="259" w:lineRule="auto"/>
              <w:ind w:left="0" w:right="72" w:firstLine="0"/>
              <w:jc w:val="right"/>
            </w:pPr>
            <w:r w:rsidRPr="00BA5F13">
              <w:t>0.200</w:t>
            </w:r>
            <w:r w:rsidRPr="00BA5F13">
              <w:rPr>
                <w:b/>
              </w:rPr>
              <w:t xml:space="preserve"> </w:t>
            </w:r>
          </w:p>
        </w:tc>
      </w:tr>
      <w:tr w:rsidR="00BA5F13" w:rsidRPr="00BA5F13" w14:paraId="35F8DE38" w14:textId="77777777" w:rsidTr="004C09BE">
        <w:trPr>
          <w:trHeight w:val="285"/>
        </w:trPr>
        <w:tc>
          <w:tcPr>
            <w:tcW w:w="2615" w:type="dxa"/>
            <w:tcBorders>
              <w:top w:val="single" w:sz="6" w:space="0" w:color="000000"/>
              <w:left w:val="single" w:sz="6" w:space="0" w:color="000000"/>
              <w:bottom w:val="single" w:sz="6" w:space="0" w:color="000000"/>
              <w:right w:val="single" w:sz="6" w:space="0" w:color="000000"/>
            </w:tcBorders>
          </w:tcPr>
          <w:p w14:paraId="38459845" w14:textId="77777777" w:rsidR="00BA5F13" w:rsidRPr="00BA5F13" w:rsidRDefault="00BA5F13" w:rsidP="00BA5F13">
            <w:pPr>
              <w:spacing w:after="0" w:line="259" w:lineRule="auto"/>
              <w:ind w:left="0" w:right="0" w:firstLine="0"/>
              <w:jc w:val="left"/>
            </w:pPr>
            <w:r w:rsidRPr="00BA5F13">
              <w:t>Stock System</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tcPr>
          <w:p w14:paraId="60EF50DA" w14:textId="77777777" w:rsidR="00BA5F13" w:rsidRPr="00BA5F13" w:rsidRDefault="00BA5F13" w:rsidP="00BA5F13">
            <w:pPr>
              <w:spacing w:after="0" w:line="259" w:lineRule="auto"/>
              <w:ind w:left="0" w:right="79" w:firstLine="0"/>
              <w:jc w:val="right"/>
            </w:pPr>
            <w:r w:rsidRPr="00BA5F13">
              <w:t>0.200</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tcPr>
          <w:p w14:paraId="57FDA777"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90E6C21"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7956F70A"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18503EA9"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59808EF8"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3F99510"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08D85FE8"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6FE3F9A1"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17EC9817"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tcPr>
          <w:p w14:paraId="6A9374E8" w14:textId="77777777" w:rsidR="00BA5F13" w:rsidRPr="00BA5F13" w:rsidRDefault="00BA5F13" w:rsidP="00BA5F13">
            <w:pPr>
              <w:spacing w:after="0" w:line="259" w:lineRule="auto"/>
              <w:ind w:left="0" w:right="72" w:firstLine="0"/>
              <w:jc w:val="right"/>
            </w:pPr>
            <w:r w:rsidRPr="00BA5F13">
              <w:t xml:space="preserve">0.200 </w:t>
            </w:r>
          </w:p>
        </w:tc>
      </w:tr>
      <w:tr w:rsidR="00BA5F13" w:rsidRPr="00BA5F13" w14:paraId="01DEEED4" w14:textId="77777777" w:rsidTr="004C09BE">
        <w:trPr>
          <w:trHeight w:val="556"/>
        </w:trPr>
        <w:tc>
          <w:tcPr>
            <w:tcW w:w="2615" w:type="dxa"/>
            <w:tcBorders>
              <w:top w:val="single" w:sz="6" w:space="0" w:color="000000"/>
              <w:left w:val="single" w:sz="6" w:space="0" w:color="000000"/>
              <w:bottom w:val="single" w:sz="6" w:space="0" w:color="000000"/>
              <w:right w:val="single" w:sz="6" w:space="0" w:color="000000"/>
            </w:tcBorders>
          </w:tcPr>
          <w:p w14:paraId="2771E070" w14:textId="77777777" w:rsidR="00BA5F13" w:rsidRPr="00BA5F13" w:rsidRDefault="00BA5F13" w:rsidP="00BA5F13">
            <w:pPr>
              <w:spacing w:after="0" w:line="259" w:lineRule="auto"/>
              <w:ind w:left="0" w:right="0" w:firstLine="0"/>
            </w:pPr>
            <w:r w:rsidRPr="00BA5F13">
              <w:t xml:space="preserve">Asset Management (Tranman) upgrade </w:t>
            </w:r>
          </w:p>
        </w:tc>
        <w:tc>
          <w:tcPr>
            <w:tcW w:w="1229" w:type="dxa"/>
            <w:tcBorders>
              <w:top w:val="single" w:sz="6" w:space="0" w:color="000000"/>
              <w:left w:val="single" w:sz="6" w:space="0" w:color="000000"/>
              <w:bottom w:val="single" w:sz="6" w:space="0" w:color="000000"/>
              <w:right w:val="single" w:sz="6" w:space="0" w:color="000000"/>
            </w:tcBorders>
            <w:vAlign w:val="center"/>
          </w:tcPr>
          <w:p w14:paraId="56BBF736" w14:textId="77777777" w:rsidR="00BA5F13" w:rsidRPr="00BA5F13" w:rsidRDefault="00BA5F13" w:rsidP="00BA5F13">
            <w:pPr>
              <w:spacing w:after="0" w:line="259" w:lineRule="auto"/>
              <w:ind w:left="0" w:right="79" w:firstLine="0"/>
              <w:jc w:val="right"/>
            </w:pPr>
            <w:r w:rsidRPr="00BA5F13">
              <w:t xml:space="preserve">0.100 </w:t>
            </w:r>
          </w:p>
        </w:tc>
        <w:tc>
          <w:tcPr>
            <w:tcW w:w="1229" w:type="dxa"/>
            <w:tcBorders>
              <w:top w:val="single" w:sz="6" w:space="0" w:color="000000"/>
              <w:left w:val="single" w:sz="6" w:space="0" w:color="000000"/>
              <w:bottom w:val="single" w:sz="6" w:space="0" w:color="000000"/>
              <w:right w:val="single" w:sz="6" w:space="0" w:color="000000"/>
            </w:tcBorders>
          </w:tcPr>
          <w:p w14:paraId="0407BA3F"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780BE61"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6114719E"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6857A731"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5B5F91E"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122A01B"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18650C18"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778DB7DA"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12D31CCF"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4804F95B" w14:textId="77777777" w:rsidR="00BA5F13" w:rsidRPr="00BA5F13" w:rsidRDefault="00BA5F13" w:rsidP="00BA5F13">
            <w:pPr>
              <w:spacing w:after="0" w:line="259" w:lineRule="auto"/>
              <w:ind w:left="0" w:right="72" w:firstLine="0"/>
              <w:jc w:val="right"/>
            </w:pPr>
            <w:r w:rsidRPr="00BA5F13">
              <w:t xml:space="preserve">0.100 </w:t>
            </w:r>
          </w:p>
        </w:tc>
      </w:tr>
      <w:tr w:rsidR="00BA5F13" w:rsidRPr="00BA5F13" w14:paraId="50311EAC" w14:textId="77777777" w:rsidTr="004C09BE">
        <w:trPr>
          <w:trHeight w:val="841"/>
        </w:trPr>
        <w:tc>
          <w:tcPr>
            <w:tcW w:w="2615" w:type="dxa"/>
            <w:tcBorders>
              <w:top w:val="single" w:sz="6" w:space="0" w:color="000000"/>
              <w:left w:val="single" w:sz="6" w:space="0" w:color="000000"/>
              <w:bottom w:val="single" w:sz="6" w:space="0" w:color="000000"/>
              <w:right w:val="single" w:sz="6" w:space="0" w:color="000000"/>
            </w:tcBorders>
          </w:tcPr>
          <w:p w14:paraId="607CFB87" w14:textId="77777777" w:rsidR="00BA5F13" w:rsidRPr="00BA5F13" w:rsidRDefault="00BA5F13" w:rsidP="00BA5F13">
            <w:pPr>
              <w:spacing w:after="0" w:line="259" w:lineRule="auto"/>
              <w:ind w:left="0" w:right="406" w:firstLine="0"/>
            </w:pPr>
            <w:r w:rsidRPr="00BA5F13">
              <w:t xml:space="preserve">Development of rota management system for Retained Duty System. </w:t>
            </w:r>
          </w:p>
        </w:tc>
        <w:tc>
          <w:tcPr>
            <w:tcW w:w="1229" w:type="dxa"/>
            <w:tcBorders>
              <w:top w:val="single" w:sz="6" w:space="0" w:color="000000"/>
              <w:left w:val="single" w:sz="6" w:space="0" w:color="000000"/>
              <w:bottom w:val="single" w:sz="6" w:space="0" w:color="000000"/>
              <w:right w:val="single" w:sz="6" w:space="0" w:color="000000"/>
            </w:tcBorders>
            <w:vAlign w:val="center"/>
          </w:tcPr>
          <w:p w14:paraId="35CA52F2" w14:textId="77777777" w:rsidR="00BA5F13" w:rsidRPr="00BA5F13" w:rsidRDefault="00BA5F13" w:rsidP="00BA5F13">
            <w:pPr>
              <w:spacing w:after="0" w:line="259" w:lineRule="auto"/>
              <w:ind w:left="0" w:right="79" w:firstLine="0"/>
              <w:jc w:val="right"/>
            </w:pPr>
            <w:r w:rsidRPr="00BA5F13">
              <w:t xml:space="preserve">0.100 </w:t>
            </w:r>
          </w:p>
        </w:tc>
        <w:tc>
          <w:tcPr>
            <w:tcW w:w="1229" w:type="dxa"/>
            <w:tcBorders>
              <w:top w:val="single" w:sz="6" w:space="0" w:color="000000"/>
              <w:left w:val="single" w:sz="6" w:space="0" w:color="000000"/>
              <w:bottom w:val="single" w:sz="6" w:space="0" w:color="000000"/>
              <w:right w:val="single" w:sz="6" w:space="0" w:color="000000"/>
            </w:tcBorders>
          </w:tcPr>
          <w:p w14:paraId="2DDCE3C9"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E1B4FA5"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48CB1434"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1D2EFA0"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43F93B6"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161264A4"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5AABB1E8"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7D4F251"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F60C986"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0F1FC0B8" w14:textId="77777777" w:rsidR="00BA5F13" w:rsidRPr="00BA5F13" w:rsidRDefault="00BA5F13" w:rsidP="00BA5F13">
            <w:pPr>
              <w:spacing w:after="0" w:line="259" w:lineRule="auto"/>
              <w:ind w:left="0" w:right="72" w:firstLine="0"/>
              <w:jc w:val="right"/>
            </w:pPr>
            <w:r w:rsidRPr="00BA5F13">
              <w:t xml:space="preserve">0.100 </w:t>
            </w:r>
          </w:p>
        </w:tc>
      </w:tr>
      <w:tr w:rsidR="00BA5F13" w:rsidRPr="00BA5F13" w14:paraId="5AEFB339" w14:textId="77777777" w:rsidTr="004C09BE">
        <w:trPr>
          <w:trHeight w:val="556"/>
        </w:trPr>
        <w:tc>
          <w:tcPr>
            <w:tcW w:w="2615" w:type="dxa"/>
            <w:tcBorders>
              <w:top w:val="single" w:sz="6" w:space="0" w:color="000000"/>
              <w:left w:val="single" w:sz="6" w:space="0" w:color="000000"/>
              <w:bottom w:val="single" w:sz="6" w:space="0" w:color="000000"/>
              <w:right w:val="single" w:sz="6" w:space="0" w:color="000000"/>
            </w:tcBorders>
          </w:tcPr>
          <w:p w14:paraId="07727F6F" w14:textId="77777777" w:rsidR="00BA5F13" w:rsidRPr="00BA5F13" w:rsidRDefault="00BA5F13" w:rsidP="00BA5F13">
            <w:pPr>
              <w:spacing w:after="0" w:line="259" w:lineRule="auto"/>
              <w:ind w:left="0" w:right="0" w:firstLine="0"/>
              <w:jc w:val="left"/>
            </w:pPr>
            <w:r w:rsidRPr="00BA5F13">
              <w:t xml:space="preserve">Storage Area Network (SAN)  </w:t>
            </w:r>
          </w:p>
        </w:tc>
        <w:tc>
          <w:tcPr>
            <w:tcW w:w="1229" w:type="dxa"/>
            <w:tcBorders>
              <w:top w:val="single" w:sz="6" w:space="0" w:color="000000"/>
              <w:left w:val="single" w:sz="6" w:space="0" w:color="000000"/>
              <w:bottom w:val="single" w:sz="6" w:space="0" w:color="000000"/>
              <w:right w:val="single" w:sz="6" w:space="0" w:color="000000"/>
            </w:tcBorders>
            <w:vAlign w:val="center"/>
          </w:tcPr>
          <w:p w14:paraId="4E8F7BB9" w14:textId="77777777" w:rsidR="00BA5F13" w:rsidRPr="00BA5F13" w:rsidRDefault="00BA5F13" w:rsidP="00BA5F13">
            <w:pPr>
              <w:spacing w:after="0" w:line="259" w:lineRule="auto"/>
              <w:ind w:left="0" w:right="79" w:firstLine="0"/>
              <w:jc w:val="right"/>
            </w:pPr>
            <w:r w:rsidRPr="00BA5F13">
              <w:t xml:space="preserve">0.200 </w:t>
            </w:r>
          </w:p>
        </w:tc>
        <w:tc>
          <w:tcPr>
            <w:tcW w:w="1229" w:type="dxa"/>
            <w:tcBorders>
              <w:top w:val="single" w:sz="6" w:space="0" w:color="000000"/>
              <w:left w:val="single" w:sz="6" w:space="0" w:color="000000"/>
              <w:bottom w:val="single" w:sz="6" w:space="0" w:color="000000"/>
              <w:right w:val="single" w:sz="6" w:space="0" w:color="000000"/>
            </w:tcBorders>
            <w:vAlign w:val="center"/>
          </w:tcPr>
          <w:p w14:paraId="718A3D19" w14:textId="77777777" w:rsidR="00BA5F13" w:rsidRPr="00BA5F13" w:rsidRDefault="00BA5F13" w:rsidP="00BA5F13">
            <w:pPr>
              <w:spacing w:after="0" w:line="259" w:lineRule="auto"/>
              <w:ind w:left="0" w:right="70" w:firstLine="0"/>
              <w:jc w:val="right"/>
            </w:pPr>
            <w:r w:rsidRPr="00BA5F13">
              <w:t xml:space="preserve">0.090 </w:t>
            </w:r>
          </w:p>
        </w:tc>
        <w:tc>
          <w:tcPr>
            <w:tcW w:w="1229" w:type="dxa"/>
            <w:tcBorders>
              <w:top w:val="single" w:sz="6" w:space="0" w:color="000000"/>
              <w:left w:val="single" w:sz="6" w:space="0" w:color="000000"/>
              <w:bottom w:val="single" w:sz="6" w:space="0" w:color="000000"/>
              <w:right w:val="single" w:sz="6" w:space="0" w:color="000000"/>
            </w:tcBorders>
          </w:tcPr>
          <w:p w14:paraId="5F56E091"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22F1F784"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7B13874"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24CF8825"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48A6AA4A"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3CDFB139"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6C9EB777"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1FF12F51"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02B0FD3D" w14:textId="77777777" w:rsidR="00BA5F13" w:rsidRPr="00BA5F13" w:rsidRDefault="00BA5F13" w:rsidP="00BA5F13">
            <w:pPr>
              <w:spacing w:after="0" w:line="259" w:lineRule="auto"/>
              <w:ind w:left="0" w:right="72" w:firstLine="0"/>
              <w:jc w:val="right"/>
            </w:pPr>
            <w:r w:rsidRPr="00BA5F13">
              <w:t xml:space="preserve">0.290 </w:t>
            </w:r>
          </w:p>
        </w:tc>
      </w:tr>
      <w:tr w:rsidR="00BA5F13" w:rsidRPr="00BA5F13" w14:paraId="2C1530C7" w14:textId="77777777" w:rsidTr="004C09BE">
        <w:trPr>
          <w:trHeight w:val="571"/>
        </w:trPr>
        <w:tc>
          <w:tcPr>
            <w:tcW w:w="2615" w:type="dxa"/>
            <w:tcBorders>
              <w:top w:val="single" w:sz="6" w:space="0" w:color="000000"/>
              <w:left w:val="single" w:sz="6" w:space="0" w:color="000000"/>
              <w:bottom w:val="single" w:sz="6" w:space="0" w:color="000000"/>
              <w:right w:val="single" w:sz="6" w:space="0" w:color="000000"/>
            </w:tcBorders>
          </w:tcPr>
          <w:p w14:paraId="38BB760A" w14:textId="77777777" w:rsidR="00BA5F13" w:rsidRPr="00BA5F13" w:rsidRDefault="00BA5F13" w:rsidP="00BA5F13">
            <w:pPr>
              <w:spacing w:after="0" w:line="259" w:lineRule="auto"/>
              <w:ind w:left="0" w:right="0" w:firstLine="0"/>
            </w:pPr>
            <w:r w:rsidRPr="00BA5F13">
              <w:t xml:space="preserve">Geographic Information System development </w:t>
            </w:r>
          </w:p>
        </w:tc>
        <w:tc>
          <w:tcPr>
            <w:tcW w:w="1229" w:type="dxa"/>
            <w:tcBorders>
              <w:top w:val="single" w:sz="6" w:space="0" w:color="000000"/>
              <w:left w:val="single" w:sz="6" w:space="0" w:color="000000"/>
              <w:bottom w:val="single" w:sz="6" w:space="0" w:color="000000"/>
              <w:right w:val="single" w:sz="6" w:space="0" w:color="000000"/>
            </w:tcBorders>
          </w:tcPr>
          <w:p w14:paraId="0AAC306F" w14:textId="77777777" w:rsidR="00BA5F13" w:rsidRPr="00BA5F13" w:rsidRDefault="00BA5F13" w:rsidP="00BA5F13">
            <w:pPr>
              <w:spacing w:after="0" w:line="259" w:lineRule="auto"/>
              <w:ind w:left="0" w:right="9" w:firstLine="0"/>
              <w:jc w:val="right"/>
            </w:pPr>
          </w:p>
        </w:tc>
        <w:tc>
          <w:tcPr>
            <w:tcW w:w="1229" w:type="dxa"/>
            <w:tcBorders>
              <w:top w:val="single" w:sz="6" w:space="0" w:color="000000"/>
              <w:left w:val="single" w:sz="6" w:space="0" w:color="000000"/>
              <w:bottom w:val="single" w:sz="6" w:space="0" w:color="000000"/>
              <w:right w:val="single" w:sz="6" w:space="0" w:color="000000"/>
            </w:tcBorders>
            <w:vAlign w:val="center"/>
          </w:tcPr>
          <w:p w14:paraId="0ACABACA" w14:textId="77777777" w:rsidR="00BA5F13" w:rsidRPr="00BA5F13" w:rsidRDefault="00BA5F13" w:rsidP="00BA5F13">
            <w:pPr>
              <w:spacing w:after="0" w:line="259" w:lineRule="auto"/>
              <w:ind w:left="0" w:right="70" w:firstLine="0"/>
              <w:jc w:val="right"/>
            </w:pPr>
            <w:r w:rsidRPr="00BA5F13">
              <w:t xml:space="preserve">0.100 </w:t>
            </w:r>
          </w:p>
        </w:tc>
        <w:tc>
          <w:tcPr>
            <w:tcW w:w="1229" w:type="dxa"/>
            <w:tcBorders>
              <w:top w:val="single" w:sz="6" w:space="0" w:color="000000"/>
              <w:left w:val="single" w:sz="6" w:space="0" w:color="000000"/>
              <w:bottom w:val="single" w:sz="6" w:space="0" w:color="000000"/>
              <w:right w:val="single" w:sz="6" w:space="0" w:color="000000"/>
            </w:tcBorders>
          </w:tcPr>
          <w:p w14:paraId="1E6C8E28"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459665E7"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5D032CC"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F399AD2"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2FF5348B"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6CED928F"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711C5E86"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68632E24"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3FEE17D6" w14:textId="77777777" w:rsidR="00BA5F13" w:rsidRPr="00BA5F13" w:rsidRDefault="00BA5F13" w:rsidP="00BA5F13">
            <w:pPr>
              <w:spacing w:after="0" w:line="259" w:lineRule="auto"/>
              <w:ind w:left="0" w:right="72" w:firstLine="0"/>
              <w:jc w:val="right"/>
            </w:pPr>
            <w:r w:rsidRPr="00BA5F13">
              <w:t xml:space="preserve">0.100 </w:t>
            </w:r>
          </w:p>
        </w:tc>
      </w:tr>
      <w:tr w:rsidR="00BA5F13" w:rsidRPr="00BA5F13" w14:paraId="682D73A8" w14:textId="77777777" w:rsidTr="004C09BE">
        <w:trPr>
          <w:trHeight w:val="556"/>
        </w:trPr>
        <w:tc>
          <w:tcPr>
            <w:tcW w:w="2615" w:type="dxa"/>
            <w:tcBorders>
              <w:top w:val="single" w:sz="6" w:space="0" w:color="000000"/>
              <w:left w:val="single" w:sz="6" w:space="0" w:color="000000"/>
              <w:bottom w:val="single" w:sz="6" w:space="0" w:color="000000"/>
              <w:right w:val="single" w:sz="6" w:space="0" w:color="000000"/>
            </w:tcBorders>
          </w:tcPr>
          <w:p w14:paraId="43FD196F" w14:textId="77777777" w:rsidR="00BA5F13" w:rsidRPr="00BA5F13" w:rsidRDefault="00BA5F13" w:rsidP="00BA5F13">
            <w:pPr>
              <w:spacing w:after="0" w:line="259" w:lineRule="auto"/>
              <w:ind w:left="0" w:right="0" w:firstLine="0"/>
              <w:jc w:val="left"/>
            </w:pPr>
            <w:r w:rsidRPr="00BA5F13">
              <w:t xml:space="preserve">Wide Area Network telecommunications </w:t>
            </w:r>
          </w:p>
        </w:tc>
        <w:tc>
          <w:tcPr>
            <w:tcW w:w="1229" w:type="dxa"/>
            <w:tcBorders>
              <w:top w:val="single" w:sz="6" w:space="0" w:color="000000"/>
              <w:left w:val="single" w:sz="6" w:space="0" w:color="000000"/>
              <w:bottom w:val="single" w:sz="6" w:space="0" w:color="000000"/>
              <w:right w:val="single" w:sz="6" w:space="0" w:color="000000"/>
            </w:tcBorders>
          </w:tcPr>
          <w:p w14:paraId="5FC59AAD" w14:textId="77777777" w:rsidR="00BA5F13" w:rsidRPr="00BA5F13" w:rsidRDefault="00BA5F13" w:rsidP="00BA5F13">
            <w:pPr>
              <w:spacing w:after="0" w:line="259" w:lineRule="auto"/>
              <w:ind w:left="0" w:right="9" w:firstLine="0"/>
              <w:jc w:val="right"/>
            </w:pPr>
          </w:p>
        </w:tc>
        <w:tc>
          <w:tcPr>
            <w:tcW w:w="1229" w:type="dxa"/>
            <w:tcBorders>
              <w:top w:val="single" w:sz="6" w:space="0" w:color="000000"/>
              <w:left w:val="single" w:sz="6" w:space="0" w:color="000000"/>
              <w:bottom w:val="single" w:sz="6" w:space="0" w:color="000000"/>
              <w:right w:val="single" w:sz="6" w:space="0" w:color="000000"/>
            </w:tcBorders>
            <w:vAlign w:val="center"/>
          </w:tcPr>
          <w:p w14:paraId="3ACBD982" w14:textId="77777777" w:rsidR="00BA5F13" w:rsidRPr="00BA5F13" w:rsidRDefault="00BA5F13" w:rsidP="00BA5F13">
            <w:pPr>
              <w:spacing w:after="0" w:line="259" w:lineRule="auto"/>
              <w:ind w:left="0" w:right="70" w:firstLine="0"/>
              <w:jc w:val="right"/>
            </w:pPr>
            <w:r w:rsidRPr="00BA5F13">
              <w:t xml:space="preserve">0.450 </w:t>
            </w:r>
          </w:p>
        </w:tc>
        <w:tc>
          <w:tcPr>
            <w:tcW w:w="1229" w:type="dxa"/>
            <w:tcBorders>
              <w:top w:val="single" w:sz="6" w:space="0" w:color="000000"/>
              <w:left w:val="single" w:sz="6" w:space="0" w:color="000000"/>
              <w:bottom w:val="single" w:sz="6" w:space="0" w:color="000000"/>
              <w:right w:val="single" w:sz="6" w:space="0" w:color="000000"/>
            </w:tcBorders>
          </w:tcPr>
          <w:p w14:paraId="396410F7"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4EEBAB2C"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42128FD9"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5D256201"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7E2DA8F6"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38B7D516"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7F76803C"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0227670"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452644E2" w14:textId="77777777" w:rsidR="00BA5F13" w:rsidRPr="00BA5F13" w:rsidRDefault="00BA5F13" w:rsidP="00BA5F13">
            <w:pPr>
              <w:spacing w:after="0" w:line="259" w:lineRule="auto"/>
              <w:ind w:left="0" w:right="72" w:firstLine="0"/>
              <w:jc w:val="right"/>
            </w:pPr>
            <w:r w:rsidRPr="00BA5F13">
              <w:t xml:space="preserve">0.450 </w:t>
            </w:r>
          </w:p>
        </w:tc>
      </w:tr>
      <w:tr w:rsidR="00BA5F13" w:rsidRPr="00BA5F13" w14:paraId="42CF52EE" w14:textId="77777777" w:rsidTr="004C09BE">
        <w:trPr>
          <w:trHeight w:val="285"/>
        </w:trPr>
        <w:tc>
          <w:tcPr>
            <w:tcW w:w="2615" w:type="dxa"/>
            <w:tcBorders>
              <w:top w:val="single" w:sz="6" w:space="0" w:color="000000"/>
              <w:left w:val="single" w:sz="6" w:space="0" w:color="000000"/>
              <w:bottom w:val="single" w:sz="6" w:space="0" w:color="000000"/>
              <w:right w:val="single" w:sz="6" w:space="0" w:color="000000"/>
            </w:tcBorders>
          </w:tcPr>
          <w:p w14:paraId="32BAEF4A" w14:textId="77777777" w:rsidR="00BA5F13" w:rsidRPr="00BA5F13" w:rsidRDefault="00BA5F13" w:rsidP="00BA5F13">
            <w:pPr>
              <w:spacing w:after="0" w:line="259" w:lineRule="auto"/>
              <w:ind w:left="0" w:right="0" w:firstLine="0"/>
              <w:jc w:val="left"/>
            </w:pPr>
            <w:r w:rsidRPr="00BA5F13">
              <w:t xml:space="preserve">Wi-Fi </w:t>
            </w:r>
          </w:p>
        </w:tc>
        <w:tc>
          <w:tcPr>
            <w:tcW w:w="1229" w:type="dxa"/>
            <w:tcBorders>
              <w:top w:val="single" w:sz="6" w:space="0" w:color="000000"/>
              <w:left w:val="single" w:sz="6" w:space="0" w:color="000000"/>
              <w:bottom w:val="single" w:sz="6" w:space="0" w:color="000000"/>
              <w:right w:val="single" w:sz="6" w:space="0" w:color="000000"/>
            </w:tcBorders>
          </w:tcPr>
          <w:p w14:paraId="487ABC01" w14:textId="77777777" w:rsidR="00BA5F13" w:rsidRPr="00BA5F13" w:rsidRDefault="00BA5F13" w:rsidP="00BA5F13">
            <w:pPr>
              <w:spacing w:after="0" w:line="259" w:lineRule="auto"/>
              <w:ind w:left="0" w:right="79" w:firstLine="0"/>
              <w:jc w:val="right"/>
            </w:pPr>
            <w:r w:rsidRPr="00BA5F13">
              <w:t xml:space="preserve">0.135 </w:t>
            </w:r>
          </w:p>
        </w:tc>
        <w:tc>
          <w:tcPr>
            <w:tcW w:w="1229" w:type="dxa"/>
            <w:tcBorders>
              <w:top w:val="single" w:sz="6" w:space="0" w:color="000000"/>
              <w:left w:val="single" w:sz="6" w:space="0" w:color="000000"/>
              <w:bottom w:val="single" w:sz="6" w:space="0" w:color="000000"/>
              <w:right w:val="single" w:sz="6" w:space="0" w:color="000000"/>
            </w:tcBorders>
          </w:tcPr>
          <w:p w14:paraId="278B4F34"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266A3364"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53425154"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236E0BA"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7E5817E8"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149A2568"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7899BFA6"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D5A3E56"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4A164CF9"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tcPr>
          <w:p w14:paraId="5493BD3B" w14:textId="77777777" w:rsidR="00BA5F13" w:rsidRPr="00BA5F13" w:rsidRDefault="00BA5F13" w:rsidP="00BA5F13">
            <w:pPr>
              <w:spacing w:after="0" w:line="259" w:lineRule="auto"/>
              <w:ind w:left="0" w:right="72" w:firstLine="0"/>
              <w:jc w:val="right"/>
            </w:pPr>
            <w:r w:rsidRPr="00BA5F13">
              <w:t xml:space="preserve">0.135 </w:t>
            </w:r>
          </w:p>
        </w:tc>
      </w:tr>
      <w:tr w:rsidR="00BA5F13" w:rsidRPr="00BA5F13" w14:paraId="32CF7828" w14:textId="77777777" w:rsidTr="004C09BE">
        <w:trPr>
          <w:trHeight w:val="285"/>
        </w:trPr>
        <w:tc>
          <w:tcPr>
            <w:tcW w:w="2615" w:type="dxa"/>
            <w:tcBorders>
              <w:top w:val="single" w:sz="6" w:space="0" w:color="000000"/>
              <w:left w:val="single" w:sz="6" w:space="0" w:color="000000"/>
              <w:bottom w:val="single" w:sz="6" w:space="0" w:color="000000"/>
              <w:right w:val="single" w:sz="6" w:space="0" w:color="000000"/>
            </w:tcBorders>
          </w:tcPr>
          <w:p w14:paraId="26AD4DC7" w14:textId="77777777" w:rsidR="00BA5F13" w:rsidRPr="00BA5F13" w:rsidRDefault="00BA5F13" w:rsidP="00BA5F13">
            <w:pPr>
              <w:spacing w:after="0" w:line="259" w:lineRule="auto"/>
              <w:ind w:left="0" w:right="0" w:firstLine="0"/>
              <w:jc w:val="left"/>
            </w:pPr>
            <w:r w:rsidRPr="00BA5F13">
              <w:t xml:space="preserve">Incident Recording System </w:t>
            </w:r>
          </w:p>
        </w:tc>
        <w:tc>
          <w:tcPr>
            <w:tcW w:w="1229" w:type="dxa"/>
            <w:tcBorders>
              <w:top w:val="single" w:sz="6" w:space="0" w:color="000000"/>
              <w:left w:val="single" w:sz="6" w:space="0" w:color="000000"/>
              <w:bottom w:val="single" w:sz="6" w:space="0" w:color="000000"/>
              <w:right w:val="single" w:sz="6" w:space="0" w:color="000000"/>
            </w:tcBorders>
          </w:tcPr>
          <w:p w14:paraId="618D928C" w14:textId="77777777" w:rsidR="00BA5F13" w:rsidRPr="00BA5F13" w:rsidRDefault="00BA5F13" w:rsidP="00BA5F13">
            <w:pPr>
              <w:spacing w:after="0" w:line="259" w:lineRule="auto"/>
              <w:ind w:left="0" w:right="9"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F3BFB19" w14:textId="77777777" w:rsidR="00BA5F13" w:rsidRPr="00BA5F13" w:rsidRDefault="00BA5F13" w:rsidP="00BA5F13">
            <w:pPr>
              <w:spacing w:after="0" w:line="259" w:lineRule="auto"/>
              <w:ind w:left="0" w:right="70" w:firstLine="0"/>
              <w:jc w:val="right"/>
            </w:pPr>
            <w:r w:rsidRPr="00BA5F13">
              <w:t xml:space="preserve">0.050 </w:t>
            </w:r>
          </w:p>
        </w:tc>
        <w:tc>
          <w:tcPr>
            <w:tcW w:w="1229" w:type="dxa"/>
            <w:tcBorders>
              <w:top w:val="single" w:sz="6" w:space="0" w:color="000000"/>
              <w:left w:val="single" w:sz="6" w:space="0" w:color="000000"/>
              <w:bottom w:val="single" w:sz="6" w:space="0" w:color="000000"/>
              <w:right w:val="single" w:sz="6" w:space="0" w:color="000000"/>
            </w:tcBorders>
          </w:tcPr>
          <w:p w14:paraId="0B1CB9B0"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680C52FA"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BD829F2"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6ECDFCAE"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6F63A242"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5C54B257"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84A90E4"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1FA55A24"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tcPr>
          <w:p w14:paraId="257FCC5B" w14:textId="77777777" w:rsidR="00BA5F13" w:rsidRPr="00BA5F13" w:rsidRDefault="00BA5F13" w:rsidP="00BA5F13">
            <w:pPr>
              <w:spacing w:after="0" w:line="259" w:lineRule="auto"/>
              <w:ind w:left="0" w:right="72" w:firstLine="0"/>
              <w:jc w:val="right"/>
            </w:pPr>
            <w:r w:rsidRPr="00BA5F13">
              <w:t xml:space="preserve">0.050 </w:t>
            </w:r>
          </w:p>
        </w:tc>
      </w:tr>
      <w:tr w:rsidR="00BA5F13" w:rsidRPr="00BA5F13" w14:paraId="1577F48F" w14:textId="77777777" w:rsidTr="004C09BE">
        <w:trPr>
          <w:trHeight w:val="286"/>
        </w:trPr>
        <w:tc>
          <w:tcPr>
            <w:tcW w:w="2615" w:type="dxa"/>
            <w:tcBorders>
              <w:top w:val="single" w:sz="6" w:space="0" w:color="000000"/>
              <w:left w:val="single" w:sz="6" w:space="0" w:color="000000"/>
              <w:bottom w:val="single" w:sz="6" w:space="0" w:color="000000"/>
              <w:right w:val="single" w:sz="6" w:space="0" w:color="000000"/>
            </w:tcBorders>
          </w:tcPr>
          <w:p w14:paraId="5C4159BE" w14:textId="77777777" w:rsidR="00BA5F13" w:rsidRPr="00BA5F13" w:rsidRDefault="00BA5F13" w:rsidP="00BA5F13">
            <w:pPr>
              <w:spacing w:after="0" w:line="259" w:lineRule="auto"/>
              <w:ind w:left="0" w:right="0" w:firstLine="0"/>
              <w:jc w:val="left"/>
            </w:pPr>
            <w:r w:rsidRPr="00BA5F13">
              <w:lastRenderedPageBreak/>
              <w:t xml:space="preserve">Airwave replacement </w:t>
            </w:r>
          </w:p>
        </w:tc>
        <w:tc>
          <w:tcPr>
            <w:tcW w:w="1229" w:type="dxa"/>
            <w:tcBorders>
              <w:top w:val="single" w:sz="6" w:space="0" w:color="000000"/>
              <w:left w:val="single" w:sz="6" w:space="0" w:color="000000"/>
              <w:bottom w:val="single" w:sz="6" w:space="0" w:color="000000"/>
              <w:right w:val="single" w:sz="6" w:space="0" w:color="000000"/>
            </w:tcBorders>
          </w:tcPr>
          <w:p w14:paraId="521CA53D" w14:textId="77777777" w:rsidR="00BA5F13" w:rsidRPr="00BA5F13" w:rsidRDefault="00BA5F13" w:rsidP="00BA5F13">
            <w:pPr>
              <w:spacing w:after="0" w:line="259" w:lineRule="auto"/>
              <w:ind w:left="0" w:right="9"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2FFBFF7C" w14:textId="77777777" w:rsidR="00BA5F13" w:rsidRPr="00BA5F13" w:rsidRDefault="00BA5F13" w:rsidP="00BA5F13">
            <w:pPr>
              <w:spacing w:after="0" w:line="259" w:lineRule="auto"/>
              <w:ind w:left="0" w:right="70" w:firstLine="0"/>
              <w:jc w:val="right"/>
            </w:pPr>
            <w:r w:rsidRPr="00BA5F13">
              <w:t xml:space="preserve">1.000 </w:t>
            </w:r>
          </w:p>
        </w:tc>
        <w:tc>
          <w:tcPr>
            <w:tcW w:w="1229" w:type="dxa"/>
            <w:tcBorders>
              <w:top w:val="single" w:sz="6" w:space="0" w:color="000000"/>
              <w:left w:val="single" w:sz="6" w:space="0" w:color="000000"/>
              <w:bottom w:val="single" w:sz="6" w:space="0" w:color="000000"/>
              <w:right w:val="single" w:sz="6" w:space="0" w:color="000000"/>
            </w:tcBorders>
          </w:tcPr>
          <w:p w14:paraId="71850838"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179933D3"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6B65D348"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C6762C0"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6544214F"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01BED16F"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10753ADC"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7C5FD1DA"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tcPr>
          <w:p w14:paraId="0302976D" w14:textId="77777777" w:rsidR="00BA5F13" w:rsidRPr="00BA5F13" w:rsidRDefault="00BA5F13" w:rsidP="00BA5F13">
            <w:pPr>
              <w:spacing w:after="0" w:line="259" w:lineRule="auto"/>
              <w:ind w:left="0" w:right="72" w:firstLine="0"/>
              <w:jc w:val="right"/>
            </w:pPr>
            <w:r w:rsidRPr="00BA5F13">
              <w:t xml:space="preserve">1.000 </w:t>
            </w:r>
          </w:p>
        </w:tc>
      </w:tr>
      <w:tr w:rsidR="00BA5F13" w:rsidRPr="00BA5F13" w14:paraId="4F3A6A2F" w14:textId="77777777" w:rsidTr="004C09BE">
        <w:trPr>
          <w:trHeight w:val="301"/>
        </w:trPr>
        <w:tc>
          <w:tcPr>
            <w:tcW w:w="2615" w:type="dxa"/>
            <w:tcBorders>
              <w:top w:val="single" w:sz="6" w:space="0" w:color="000000"/>
              <w:left w:val="single" w:sz="6" w:space="0" w:color="000000"/>
              <w:bottom w:val="single" w:sz="6" w:space="0" w:color="000000"/>
              <w:right w:val="single" w:sz="6" w:space="0" w:color="000000"/>
            </w:tcBorders>
          </w:tcPr>
          <w:p w14:paraId="35EDE220" w14:textId="77777777" w:rsidR="00BA5F13" w:rsidRPr="00BA5F13" w:rsidRDefault="00BA5F13" w:rsidP="00BA5F13">
            <w:pPr>
              <w:spacing w:after="0" w:line="259" w:lineRule="auto"/>
              <w:ind w:left="0" w:right="0" w:firstLine="0"/>
              <w:jc w:val="left"/>
            </w:pPr>
            <w:r w:rsidRPr="00BA5F13">
              <w:t xml:space="preserve">Incident ground radios </w:t>
            </w:r>
          </w:p>
        </w:tc>
        <w:tc>
          <w:tcPr>
            <w:tcW w:w="1229" w:type="dxa"/>
            <w:tcBorders>
              <w:top w:val="single" w:sz="6" w:space="0" w:color="000000"/>
              <w:left w:val="single" w:sz="6" w:space="0" w:color="000000"/>
              <w:bottom w:val="single" w:sz="6" w:space="0" w:color="000000"/>
              <w:right w:val="single" w:sz="6" w:space="0" w:color="000000"/>
            </w:tcBorders>
          </w:tcPr>
          <w:p w14:paraId="0208BDBF" w14:textId="77777777" w:rsidR="00BA5F13" w:rsidRPr="00BA5F13" w:rsidRDefault="00BA5F13" w:rsidP="00BA5F13">
            <w:pPr>
              <w:spacing w:after="0" w:line="259" w:lineRule="auto"/>
              <w:ind w:left="0" w:right="79" w:firstLine="0"/>
              <w:jc w:val="right"/>
            </w:pPr>
            <w:r w:rsidRPr="00BA5F13">
              <w:t xml:space="preserve">0.230 </w:t>
            </w:r>
          </w:p>
        </w:tc>
        <w:tc>
          <w:tcPr>
            <w:tcW w:w="1229" w:type="dxa"/>
            <w:tcBorders>
              <w:top w:val="single" w:sz="6" w:space="0" w:color="000000"/>
              <w:left w:val="single" w:sz="6" w:space="0" w:color="000000"/>
              <w:bottom w:val="single" w:sz="6" w:space="0" w:color="000000"/>
              <w:right w:val="single" w:sz="6" w:space="0" w:color="000000"/>
            </w:tcBorders>
          </w:tcPr>
          <w:p w14:paraId="2463ECE1"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288338D4"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4D27D343"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BE09EAA"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433393C2"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2CB85591"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36B75838"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2C02D31"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11928A45"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tcPr>
          <w:p w14:paraId="3DCF27E6" w14:textId="77777777" w:rsidR="00BA5F13" w:rsidRPr="00BA5F13" w:rsidRDefault="00BA5F13" w:rsidP="00BA5F13">
            <w:pPr>
              <w:spacing w:after="0" w:line="259" w:lineRule="auto"/>
              <w:ind w:left="0" w:right="72" w:firstLine="0"/>
              <w:jc w:val="right"/>
            </w:pPr>
            <w:r w:rsidRPr="00BA5F13">
              <w:t xml:space="preserve">0.230 </w:t>
            </w:r>
          </w:p>
        </w:tc>
      </w:tr>
      <w:tr w:rsidR="00BA5F13" w:rsidRPr="00BA5F13" w14:paraId="5E16EB53" w14:textId="77777777" w:rsidTr="004C09BE">
        <w:trPr>
          <w:trHeight w:val="555"/>
        </w:trPr>
        <w:tc>
          <w:tcPr>
            <w:tcW w:w="2615" w:type="dxa"/>
            <w:tcBorders>
              <w:top w:val="single" w:sz="6" w:space="0" w:color="000000"/>
              <w:left w:val="single" w:sz="6" w:space="0" w:color="000000"/>
              <w:bottom w:val="single" w:sz="6" w:space="0" w:color="000000"/>
              <w:right w:val="single" w:sz="6" w:space="0" w:color="000000"/>
            </w:tcBorders>
          </w:tcPr>
          <w:p w14:paraId="0F087FCB" w14:textId="77777777" w:rsidR="00BA5F13" w:rsidRPr="00BA5F13" w:rsidRDefault="00BA5F13" w:rsidP="00BA5F13">
            <w:pPr>
              <w:spacing w:after="0" w:line="259" w:lineRule="auto"/>
              <w:ind w:left="0" w:right="0" w:firstLine="0"/>
              <w:jc w:val="left"/>
            </w:pPr>
            <w:r w:rsidRPr="00BA5F13">
              <w:t xml:space="preserve">Retained Duty System </w:t>
            </w:r>
          </w:p>
          <w:p w14:paraId="541B45BE" w14:textId="77777777" w:rsidR="00BA5F13" w:rsidRPr="00BA5F13" w:rsidRDefault="00BA5F13" w:rsidP="00BA5F13">
            <w:pPr>
              <w:spacing w:after="0" w:line="259" w:lineRule="auto"/>
              <w:ind w:left="0" w:right="0" w:firstLine="0"/>
              <w:jc w:val="left"/>
            </w:pPr>
            <w:proofErr w:type="spellStart"/>
            <w:r w:rsidRPr="00BA5F13">
              <w:t>Alerters</w:t>
            </w:r>
            <w:proofErr w:type="spellEnd"/>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354F704D" w14:textId="77777777" w:rsidR="00BA5F13" w:rsidRPr="00BA5F13" w:rsidRDefault="00BA5F13" w:rsidP="00BA5F13">
            <w:pPr>
              <w:spacing w:after="0" w:line="259" w:lineRule="auto"/>
              <w:ind w:left="0" w:right="79" w:firstLine="0"/>
              <w:jc w:val="right"/>
            </w:pPr>
            <w:r w:rsidRPr="00BA5F13">
              <w:t xml:space="preserve">0.065 </w:t>
            </w:r>
          </w:p>
        </w:tc>
        <w:tc>
          <w:tcPr>
            <w:tcW w:w="1229" w:type="dxa"/>
            <w:tcBorders>
              <w:top w:val="single" w:sz="6" w:space="0" w:color="000000"/>
              <w:left w:val="single" w:sz="6" w:space="0" w:color="000000"/>
              <w:bottom w:val="single" w:sz="6" w:space="0" w:color="000000"/>
              <w:right w:val="single" w:sz="6" w:space="0" w:color="000000"/>
            </w:tcBorders>
          </w:tcPr>
          <w:p w14:paraId="4394117D"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226FC83F"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561D894"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5BE6861"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74B71712"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2EFCF278"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38EEB2D8"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84FECB9"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6D395064"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4ACE0EB4" w14:textId="77777777" w:rsidR="00BA5F13" w:rsidRPr="00BA5F13" w:rsidRDefault="00BA5F13" w:rsidP="00BA5F13">
            <w:pPr>
              <w:spacing w:after="0" w:line="259" w:lineRule="auto"/>
              <w:ind w:left="0" w:right="72" w:firstLine="0"/>
              <w:jc w:val="right"/>
            </w:pPr>
            <w:r w:rsidRPr="00BA5F13">
              <w:t xml:space="preserve">0.065 </w:t>
            </w:r>
          </w:p>
        </w:tc>
      </w:tr>
      <w:tr w:rsidR="00BA5F13" w:rsidRPr="00BA5F13" w14:paraId="4F7BC5A8" w14:textId="77777777" w:rsidTr="004C09BE">
        <w:trPr>
          <w:trHeight w:val="556"/>
        </w:trPr>
        <w:tc>
          <w:tcPr>
            <w:tcW w:w="2615" w:type="dxa"/>
            <w:tcBorders>
              <w:top w:val="single" w:sz="6" w:space="0" w:color="000000"/>
              <w:left w:val="single" w:sz="6" w:space="0" w:color="000000"/>
              <w:bottom w:val="single" w:sz="6" w:space="0" w:color="000000"/>
              <w:right w:val="single" w:sz="6" w:space="0" w:color="000000"/>
            </w:tcBorders>
          </w:tcPr>
          <w:p w14:paraId="304ECA7C" w14:textId="77777777" w:rsidR="00BA5F13" w:rsidRPr="00BA5F13" w:rsidRDefault="00BA5F13" w:rsidP="00BA5F13">
            <w:pPr>
              <w:spacing w:after="0" w:line="259" w:lineRule="auto"/>
              <w:ind w:left="0" w:right="0" w:firstLine="0"/>
            </w:pPr>
            <w:r w:rsidRPr="00BA5F13">
              <w:t xml:space="preserve">Uninterruptible Power Supply (UPS) System </w:t>
            </w:r>
          </w:p>
        </w:tc>
        <w:tc>
          <w:tcPr>
            <w:tcW w:w="1229" w:type="dxa"/>
            <w:tcBorders>
              <w:top w:val="single" w:sz="6" w:space="0" w:color="000000"/>
              <w:left w:val="single" w:sz="6" w:space="0" w:color="000000"/>
              <w:bottom w:val="single" w:sz="6" w:space="0" w:color="000000"/>
              <w:right w:val="single" w:sz="6" w:space="0" w:color="000000"/>
            </w:tcBorders>
          </w:tcPr>
          <w:p w14:paraId="59BAD023" w14:textId="77777777" w:rsidR="00BA5F13" w:rsidRPr="00BA5F13" w:rsidRDefault="00BA5F13" w:rsidP="00BA5F13">
            <w:pPr>
              <w:spacing w:after="0" w:line="259" w:lineRule="auto"/>
              <w:ind w:left="0" w:right="9"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6ECFA76D"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2F570333"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vAlign w:val="center"/>
          </w:tcPr>
          <w:p w14:paraId="38228615" w14:textId="77777777" w:rsidR="00BA5F13" w:rsidRPr="00BA5F13" w:rsidRDefault="00BA5F13" w:rsidP="00BA5F13">
            <w:pPr>
              <w:spacing w:after="0" w:line="259" w:lineRule="auto"/>
              <w:ind w:left="0" w:right="85" w:firstLine="0"/>
              <w:jc w:val="right"/>
            </w:pPr>
            <w:r w:rsidRPr="00BA5F13">
              <w:t xml:space="preserve">0.060 </w:t>
            </w:r>
          </w:p>
        </w:tc>
        <w:tc>
          <w:tcPr>
            <w:tcW w:w="1229" w:type="dxa"/>
            <w:tcBorders>
              <w:top w:val="single" w:sz="6" w:space="0" w:color="000000"/>
              <w:left w:val="single" w:sz="6" w:space="0" w:color="000000"/>
              <w:bottom w:val="single" w:sz="6" w:space="0" w:color="000000"/>
              <w:right w:val="single" w:sz="6" w:space="0" w:color="000000"/>
            </w:tcBorders>
          </w:tcPr>
          <w:p w14:paraId="1F7EA334"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5847D7FB"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5735AD12"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413D732A"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6D77F41D"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2DDCDEEB"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0D60A3E2" w14:textId="77777777" w:rsidR="00BA5F13" w:rsidRPr="00BA5F13" w:rsidRDefault="00BA5F13" w:rsidP="00BA5F13">
            <w:pPr>
              <w:spacing w:after="0" w:line="259" w:lineRule="auto"/>
              <w:ind w:left="0" w:right="72" w:firstLine="0"/>
              <w:jc w:val="right"/>
            </w:pPr>
            <w:r w:rsidRPr="00BA5F13">
              <w:t xml:space="preserve">0.060 </w:t>
            </w:r>
          </w:p>
        </w:tc>
      </w:tr>
      <w:tr w:rsidR="00BA5F13" w:rsidRPr="00BA5F13" w14:paraId="63585496" w14:textId="77777777" w:rsidTr="004C09BE">
        <w:trPr>
          <w:trHeight w:val="285"/>
        </w:trPr>
        <w:tc>
          <w:tcPr>
            <w:tcW w:w="2615" w:type="dxa"/>
            <w:tcBorders>
              <w:top w:val="single" w:sz="6" w:space="0" w:color="000000"/>
              <w:left w:val="single" w:sz="6" w:space="0" w:color="000000"/>
              <w:bottom w:val="single" w:sz="6" w:space="0" w:color="000000"/>
              <w:right w:val="single" w:sz="6" w:space="0" w:color="000000"/>
            </w:tcBorders>
          </w:tcPr>
          <w:p w14:paraId="5A5A8C7B" w14:textId="77777777" w:rsidR="00BA5F13" w:rsidRPr="00BA5F13" w:rsidRDefault="00BA5F13" w:rsidP="00BA5F13">
            <w:pPr>
              <w:spacing w:after="0" w:line="259" w:lineRule="auto"/>
              <w:ind w:left="0" w:right="0" w:firstLine="0"/>
              <w:jc w:val="left"/>
            </w:pPr>
            <w:r w:rsidRPr="00BA5F13">
              <w:t xml:space="preserve">Server replacement </w:t>
            </w:r>
          </w:p>
        </w:tc>
        <w:tc>
          <w:tcPr>
            <w:tcW w:w="1229" w:type="dxa"/>
            <w:tcBorders>
              <w:top w:val="single" w:sz="6" w:space="0" w:color="000000"/>
              <w:left w:val="single" w:sz="6" w:space="0" w:color="000000"/>
              <w:bottom w:val="single" w:sz="6" w:space="0" w:color="000000"/>
              <w:right w:val="single" w:sz="6" w:space="0" w:color="000000"/>
            </w:tcBorders>
          </w:tcPr>
          <w:p w14:paraId="5ECC2B57" w14:textId="77777777" w:rsidR="00BA5F13" w:rsidRPr="00BA5F13" w:rsidRDefault="00BA5F13" w:rsidP="00BA5F13">
            <w:pPr>
              <w:spacing w:after="0" w:line="259" w:lineRule="auto"/>
              <w:ind w:left="0" w:right="9"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59A78E95"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C15CC23"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B4524AB" w14:textId="77777777" w:rsidR="00BA5F13" w:rsidRPr="00BA5F13" w:rsidRDefault="00BA5F13" w:rsidP="00BA5F13">
            <w:pPr>
              <w:spacing w:after="0" w:line="259" w:lineRule="auto"/>
              <w:ind w:left="0" w:right="85" w:firstLine="0"/>
              <w:jc w:val="right"/>
            </w:pPr>
            <w:r w:rsidRPr="00BA5F13">
              <w:t xml:space="preserve">0.135 </w:t>
            </w:r>
          </w:p>
        </w:tc>
        <w:tc>
          <w:tcPr>
            <w:tcW w:w="1229" w:type="dxa"/>
            <w:tcBorders>
              <w:top w:val="single" w:sz="6" w:space="0" w:color="000000"/>
              <w:left w:val="single" w:sz="6" w:space="0" w:color="000000"/>
              <w:bottom w:val="single" w:sz="6" w:space="0" w:color="000000"/>
              <w:right w:val="single" w:sz="6" w:space="0" w:color="000000"/>
            </w:tcBorders>
          </w:tcPr>
          <w:p w14:paraId="669C98AC"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2099F58C"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4D6DC763"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0786FE67"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60DA7C4C"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8DF695E"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tcPr>
          <w:p w14:paraId="6DDA1B5B" w14:textId="77777777" w:rsidR="00BA5F13" w:rsidRPr="00BA5F13" w:rsidRDefault="00BA5F13" w:rsidP="00BA5F13">
            <w:pPr>
              <w:spacing w:after="0" w:line="259" w:lineRule="auto"/>
              <w:ind w:left="0" w:right="72" w:firstLine="0"/>
              <w:jc w:val="right"/>
            </w:pPr>
            <w:r w:rsidRPr="00BA5F13">
              <w:t xml:space="preserve">0.135 </w:t>
            </w:r>
          </w:p>
        </w:tc>
      </w:tr>
      <w:tr w:rsidR="00BA5F13" w:rsidRPr="00BA5F13" w14:paraId="546DD5A7" w14:textId="77777777" w:rsidTr="004C09BE">
        <w:trPr>
          <w:trHeight w:val="281"/>
        </w:trPr>
        <w:tc>
          <w:tcPr>
            <w:tcW w:w="2615" w:type="dxa"/>
            <w:tcBorders>
              <w:top w:val="single" w:sz="6" w:space="0" w:color="000000"/>
              <w:left w:val="single" w:sz="6" w:space="0" w:color="000000"/>
              <w:bottom w:val="single" w:sz="6" w:space="0" w:color="000000"/>
              <w:right w:val="single" w:sz="6" w:space="0" w:color="000000"/>
            </w:tcBorders>
            <w:shd w:val="clear" w:color="auto" w:fill="D9D9D9"/>
          </w:tcPr>
          <w:p w14:paraId="4EB1F94D" w14:textId="77777777" w:rsidR="00BA5F13" w:rsidRPr="00BA5F13" w:rsidRDefault="00BA5F13" w:rsidP="00BA5F13">
            <w:pPr>
              <w:spacing w:after="0" w:line="259" w:lineRule="auto"/>
              <w:ind w:left="0" w:right="58" w:firstLine="0"/>
              <w:jc w:val="center"/>
            </w:pPr>
            <w:r w:rsidRPr="00BA5F13">
              <w:rPr>
                <w:b/>
              </w:rPr>
              <w:t xml:space="preserve">£'m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tcPr>
          <w:p w14:paraId="1CB5CDA6" w14:textId="77777777" w:rsidR="00BA5F13" w:rsidRPr="00BA5F13" w:rsidRDefault="00BA5F13" w:rsidP="00BA5F13">
            <w:pPr>
              <w:spacing w:after="0" w:line="259" w:lineRule="auto"/>
              <w:ind w:left="0" w:right="0" w:firstLine="0"/>
              <w:jc w:val="left"/>
            </w:pPr>
            <w:r w:rsidRPr="00BA5F13">
              <w:rPr>
                <w:b/>
              </w:rPr>
              <w:t xml:space="preserve">24/25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tcPr>
          <w:p w14:paraId="059F2882" w14:textId="77777777" w:rsidR="00BA5F13" w:rsidRPr="00BA5F13" w:rsidRDefault="00BA5F13" w:rsidP="00BA5F13">
            <w:pPr>
              <w:spacing w:after="0" w:line="259" w:lineRule="auto"/>
              <w:ind w:left="0" w:right="0" w:firstLine="0"/>
              <w:jc w:val="left"/>
            </w:pPr>
            <w:r w:rsidRPr="00BA5F13">
              <w:rPr>
                <w:b/>
              </w:rPr>
              <w:t xml:space="preserve">25/26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tcPr>
          <w:p w14:paraId="45E1B67A" w14:textId="77777777" w:rsidR="00BA5F13" w:rsidRPr="00BA5F13" w:rsidRDefault="00BA5F13" w:rsidP="00BA5F13">
            <w:pPr>
              <w:spacing w:after="0" w:line="259" w:lineRule="auto"/>
              <w:ind w:left="0" w:right="0" w:firstLine="0"/>
              <w:jc w:val="left"/>
            </w:pPr>
            <w:r w:rsidRPr="00BA5F13">
              <w:rPr>
                <w:b/>
              </w:rPr>
              <w:t xml:space="preserve">26/27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tcPr>
          <w:p w14:paraId="7F224972" w14:textId="77777777" w:rsidR="00BA5F13" w:rsidRPr="00BA5F13" w:rsidRDefault="00BA5F13" w:rsidP="00BA5F13">
            <w:pPr>
              <w:spacing w:after="0" w:line="259" w:lineRule="auto"/>
              <w:ind w:left="0" w:right="0" w:firstLine="0"/>
              <w:jc w:val="left"/>
            </w:pPr>
            <w:r w:rsidRPr="00BA5F13">
              <w:rPr>
                <w:b/>
              </w:rPr>
              <w:t xml:space="preserve">27/28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tcPr>
          <w:p w14:paraId="6168A687" w14:textId="77777777" w:rsidR="00BA5F13" w:rsidRPr="00BA5F13" w:rsidRDefault="00BA5F13" w:rsidP="00BA5F13">
            <w:pPr>
              <w:spacing w:after="0" w:line="259" w:lineRule="auto"/>
              <w:ind w:left="0" w:right="0" w:firstLine="0"/>
              <w:jc w:val="left"/>
            </w:pPr>
            <w:r w:rsidRPr="00BA5F13">
              <w:rPr>
                <w:b/>
              </w:rPr>
              <w:t xml:space="preserve">28/29 </w:t>
            </w:r>
          </w:p>
        </w:tc>
        <w:tc>
          <w:tcPr>
            <w:tcW w:w="1165" w:type="dxa"/>
            <w:tcBorders>
              <w:top w:val="single" w:sz="6" w:space="0" w:color="000000"/>
              <w:left w:val="single" w:sz="6" w:space="0" w:color="000000"/>
              <w:bottom w:val="single" w:sz="6" w:space="0" w:color="000000"/>
              <w:right w:val="single" w:sz="6" w:space="0" w:color="000000"/>
            </w:tcBorders>
            <w:shd w:val="clear" w:color="auto" w:fill="D9D9D9"/>
          </w:tcPr>
          <w:p w14:paraId="06C97CA9" w14:textId="77777777" w:rsidR="00BA5F13" w:rsidRPr="00BA5F13" w:rsidRDefault="00BA5F13" w:rsidP="00BA5F13">
            <w:pPr>
              <w:spacing w:after="0" w:line="259" w:lineRule="auto"/>
              <w:ind w:left="0" w:right="0" w:firstLine="0"/>
              <w:jc w:val="left"/>
            </w:pPr>
            <w:r w:rsidRPr="00BA5F13">
              <w:rPr>
                <w:b/>
              </w:rPr>
              <w:t xml:space="preserve">29/30 </w:t>
            </w:r>
          </w:p>
        </w:tc>
        <w:tc>
          <w:tcPr>
            <w:tcW w:w="1165" w:type="dxa"/>
            <w:tcBorders>
              <w:top w:val="single" w:sz="6" w:space="0" w:color="000000"/>
              <w:left w:val="single" w:sz="6" w:space="0" w:color="000000"/>
              <w:bottom w:val="single" w:sz="6" w:space="0" w:color="000000"/>
              <w:right w:val="single" w:sz="6" w:space="0" w:color="000000"/>
            </w:tcBorders>
            <w:shd w:val="clear" w:color="auto" w:fill="D9D9D9"/>
          </w:tcPr>
          <w:p w14:paraId="7AC01D48" w14:textId="77777777" w:rsidR="00BA5F13" w:rsidRPr="00BA5F13" w:rsidRDefault="00BA5F13" w:rsidP="00BA5F13">
            <w:pPr>
              <w:spacing w:after="0" w:line="259" w:lineRule="auto"/>
              <w:ind w:left="0" w:right="0" w:firstLine="0"/>
              <w:jc w:val="left"/>
            </w:pPr>
            <w:r w:rsidRPr="00BA5F13">
              <w:rPr>
                <w:b/>
              </w:rPr>
              <w:t xml:space="preserve">30/31 </w:t>
            </w:r>
          </w:p>
        </w:tc>
        <w:tc>
          <w:tcPr>
            <w:tcW w:w="1174" w:type="dxa"/>
            <w:tcBorders>
              <w:top w:val="single" w:sz="6" w:space="0" w:color="000000"/>
              <w:left w:val="single" w:sz="6" w:space="0" w:color="000000"/>
              <w:bottom w:val="single" w:sz="6" w:space="0" w:color="000000"/>
              <w:right w:val="single" w:sz="6" w:space="0" w:color="000000"/>
            </w:tcBorders>
            <w:shd w:val="clear" w:color="auto" w:fill="D9D9D9"/>
          </w:tcPr>
          <w:p w14:paraId="373054B5" w14:textId="77777777" w:rsidR="00BA5F13" w:rsidRPr="00BA5F13" w:rsidRDefault="00BA5F13" w:rsidP="00BA5F13">
            <w:pPr>
              <w:spacing w:after="0" w:line="259" w:lineRule="auto"/>
              <w:ind w:left="0" w:right="0" w:firstLine="0"/>
              <w:jc w:val="left"/>
            </w:pPr>
            <w:r w:rsidRPr="00BA5F13">
              <w:rPr>
                <w:b/>
              </w:rPr>
              <w:t xml:space="preserve">31/32 </w:t>
            </w:r>
          </w:p>
        </w:tc>
        <w:tc>
          <w:tcPr>
            <w:tcW w:w="1165" w:type="dxa"/>
            <w:tcBorders>
              <w:top w:val="single" w:sz="6" w:space="0" w:color="000000"/>
              <w:left w:val="single" w:sz="6" w:space="0" w:color="000000"/>
              <w:bottom w:val="single" w:sz="6" w:space="0" w:color="000000"/>
              <w:right w:val="single" w:sz="6" w:space="0" w:color="000000"/>
            </w:tcBorders>
            <w:shd w:val="clear" w:color="auto" w:fill="D9D9D9"/>
          </w:tcPr>
          <w:p w14:paraId="542E7FD7" w14:textId="77777777" w:rsidR="00BA5F13" w:rsidRPr="00BA5F13" w:rsidRDefault="00BA5F13" w:rsidP="00BA5F13">
            <w:pPr>
              <w:spacing w:after="0" w:line="259" w:lineRule="auto"/>
              <w:ind w:left="0" w:right="0" w:firstLine="0"/>
              <w:jc w:val="left"/>
            </w:pPr>
            <w:r w:rsidRPr="00BA5F13">
              <w:rPr>
                <w:b/>
              </w:rPr>
              <w:t xml:space="preserve">32/33 </w:t>
            </w:r>
          </w:p>
        </w:tc>
        <w:tc>
          <w:tcPr>
            <w:tcW w:w="1165" w:type="dxa"/>
            <w:tcBorders>
              <w:top w:val="single" w:sz="6" w:space="0" w:color="000000"/>
              <w:left w:val="single" w:sz="6" w:space="0" w:color="000000"/>
              <w:bottom w:val="single" w:sz="6" w:space="0" w:color="000000"/>
              <w:right w:val="single" w:sz="6" w:space="0" w:color="000000"/>
            </w:tcBorders>
            <w:shd w:val="clear" w:color="auto" w:fill="D9D9D9"/>
          </w:tcPr>
          <w:p w14:paraId="16EB3E03" w14:textId="77777777" w:rsidR="00BA5F13" w:rsidRPr="00BA5F13" w:rsidRDefault="00BA5F13" w:rsidP="00BA5F13">
            <w:pPr>
              <w:spacing w:after="0" w:line="259" w:lineRule="auto"/>
              <w:ind w:left="0" w:right="0" w:firstLine="0"/>
              <w:jc w:val="left"/>
            </w:pPr>
            <w:r w:rsidRPr="00BA5F13">
              <w:rPr>
                <w:b/>
              </w:rPr>
              <w:t xml:space="preserve">33/34 </w:t>
            </w:r>
          </w:p>
        </w:tc>
        <w:tc>
          <w:tcPr>
            <w:tcW w:w="1268" w:type="dxa"/>
            <w:tcBorders>
              <w:top w:val="single" w:sz="6" w:space="0" w:color="000000"/>
              <w:left w:val="single" w:sz="6" w:space="0" w:color="000000"/>
              <w:bottom w:val="single" w:sz="6" w:space="0" w:color="000000"/>
              <w:right w:val="single" w:sz="6" w:space="0" w:color="000000"/>
            </w:tcBorders>
            <w:shd w:val="clear" w:color="auto" w:fill="D9D9D9"/>
          </w:tcPr>
          <w:p w14:paraId="59B6C9F0" w14:textId="77777777" w:rsidR="00BA5F13" w:rsidRPr="00BA5F13" w:rsidRDefault="00BA5F13" w:rsidP="00BA5F13">
            <w:pPr>
              <w:spacing w:after="0" w:line="259" w:lineRule="auto"/>
              <w:ind w:left="0" w:right="0" w:firstLine="0"/>
              <w:jc w:val="left"/>
            </w:pPr>
            <w:r w:rsidRPr="00BA5F13">
              <w:rPr>
                <w:b/>
              </w:rPr>
              <w:t xml:space="preserve">TOTAL </w:t>
            </w:r>
          </w:p>
        </w:tc>
      </w:tr>
      <w:tr w:rsidR="00BA5F13" w:rsidRPr="00BA5F13" w14:paraId="573E63E8" w14:textId="77777777" w:rsidTr="004C09BE">
        <w:trPr>
          <w:trHeight w:val="573"/>
        </w:trPr>
        <w:tc>
          <w:tcPr>
            <w:tcW w:w="2615" w:type="dxa"/>
            <w:tcBorders>
              <w:top w:val="single" w:sz="6" w:space="0" w:color="000000"/>
              <w:left w:val="single" w:sz="6" w:space="0" w:color="000000"/>
              <w:bottom w:val="single" w:sz="6" w:space="0" w:color="000000"/>
              <w:right w:val="single" w:sz="6" w:space="0" w:color="000000"/>
            </w:tcBorders>
          </w:tcPr>
          <w:p w14:paraId="14AA3CDD" w14:textId="77777777" w:rsidR="00BA5F13" w:rsidRPr="00BA5F13" w:rsidRDefault="00BA5F13" w:rsidP="00BA5F13">
            <w:pPr>
              <w:spacing w:after="0" w:line="259" w:lineRule="auto"/>
              <w:ind w:left="0" w:right="0" w:firstLine="0"/>
              <w:jc w:val="left"/>
            </w:pPr>
            <w:r w:rsidRPr="00BA5F13">
              <w:t xml:space="preserve">Facilities Management System  </w:t>
            </w:r>
          </w:p>
        </w:tc>
        <w:tc>
          <w:tcPr>
            <w:tcW w:w="1229" w:type="dxa"/>
            <w:tcBorders>
              <w:top w:val="single" w:sz="6" w:space="0" w:color="000000"/>
              <w:left w:val="single" w:sz="6" w:space="0" w:color="000000"/>
              <w:bottom w:val="single" w:sz="6" w:space="0" w:color="000000"/>
              <w:right w:val="single" w:sz="6" w:space="0" w:color="000000"/>
            </w:tcBorders>
            <w:vAlign w:val="center"/>
          </w:tcPr>
          <w:p w14:paraId="61EDB1EA" w14:textId="77777777" w:rsidR="00BA5F13" w:rsidRPr="00BA5F13" w:rsidRDefault="00BA5F13" w:rsidP="00BA5F13">
            <w:pPr>
              <w:spacing w:after="0" w:line="259" w:lineRule="auto"/>
              <w:ind w:left="0" w:right="79" w:firstLine="0"/>
              <w:jc w:val="right"/>
            </w:pPr>
            <w:r w:rsidRPr="00BA5F13">
              <w:t xml:space="preserve">0.100 </w:t>
            </w:r>
          </w:p>
        </w:tc>
        <w:tc>
          <w:tcPr>
            <w:tcW w:w="1229" w:type="dxa"/>
            <w:tcBorders>
              <w:top w:val="single" w:sz="6" w:space="0" w:color="000000"/>
              <w:left w:val="single" w:sz="6" w:space="0" w:color="000000"/>
              <w:bottom w:val="single" w:sz="6" w:space="0" w:color="000000"/>
              <w:right w:val="single" w:sz="6" w:space="0" w:color="000000"/>
            </w:tcBorders>
          </w:tcPr>
          <w:p w14:paraId="76CF50B8"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A58A692"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5FAEF1B"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6B39DE7"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3BD5826"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1EB6A3F"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3F57AE75"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21CC817F"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D909817"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6F27719C" w14:textId="77777777" w:rsidR="00BA5F13" w:rsidRPr="00BA5F13" w:rsidRDefault="00BA5F13" w:rsidP="00BA5F13">
            <w:pPr>
              <w:spacing w:after="0" w:line="259" w:lineRule="auto"/>
              <w:ind w:left="0" w:right="72" w:firstLine="0"/>
              <w:jc w:val="right"/>
            </w:pPr>
            <w:r w:rsidRPr="00BA5F13">
              <w:t xml:space="preserve">0.100 </w:t>
            </w:r>
          </w:p>
        </w:tc>
      </w:tr>
      <w:tr w:rsidR="00BA5F13" w:rsidRPr="00BA5F13" w14:paraId="2DB157B6" w14:textId="77777777" w:rsidTr="004C09BE">
        <w:trPr>
          <w:trHeight w:val="826"/>
        </w:trPr>
        <w:tc>
          <w:tcPr>
            <w:tcW w:w="2615" w:type="dxa"/>
            <w:tcBorders>
              <w:top w:val="single" w:sz="6" w:space="0" w:color="000000"/>
              <w:left w:val="single" w:sz="6" w:space="0" w:color="000000"/>
              <w:bottom w:val="single" w:sz="6" w:space="0" w:color="000000"/>
              <w:right w:val="single" w:sz="6" w:space="0" w:color="000000"/>
            </w:tcBorders>
          </w:tcPr>
          <w:p w14:paraId="0F8BAD66" w14:textId="77777777" w:rsidR="00BA5F13" w:rsidRPr="00BA5F13" w:rsidRDefault="00BA5F13" w:rsidP="00BA5F13">
            <w:pPr>
              <w:spacing w:after="0"/>
              <w:ind w:left="0" w:right="0" w:firstLine="0"/>
            </w:pPr>
            <w:r w:rsidRPr="00BA5F13">
              <w:t xml:space="preserve">Replacement Public Switched Telephone </w:t>
            </w:r>
          </w:p>
          <w:p w14:paraId="7C87EE07" w14:textId="77777777" w:rsidR="00BA5F13" w:rsidRPr="00BA5F13" w:rsidRDefault="00BA5F13" w:rsidP="00BA5F13">
            <w:pPr>
              <w:spacing w:after="0" w:line="259" w:lineRule="auto"/>
              <w:ind w:left="0" w:right="0" w:firstLine="0"/>
              <w:jc w:val="left"/>
            </w:pPr>
            <w:r w:rsidRPr="00BA5F13">
              <w:t>Network</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05C389CB" w14:textId="77777777" w:rsidR="00BA5F13" w:rsidRPr="00BA5F13" w:rsidRDefault="00BA5F13" w:rsidP="00BA5F13">
            <w:pPr>
              <w:spacing w:after="0" w:line="259" w:lineRule="auto"/>
              <w:ind w:left="0" w:right="79" w:firstLine="0"/>
              <w:jc w:val="right"/>
            </w:pPr>
            <w:r w:rsidRPr="00BA5F13">
              <w:t>0.070</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tcPr>
          <w:p w14:paraId="3989DEFA"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793BF96E"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CDCDE49"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10484A99"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40628C46"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1FAC3837"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2CF56734"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5D850BD5"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5423D154"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7D227361" w14:textId="77777777" w:rsidR="00BA5F13" w:rsidRPr="00BA5F13" w:rsidRDefault="00BA5F13" w:rsidP="00BA5F13">
            <w:pPr>
              <w:spacing w:after="0" w:line="259" w:lineRule="auto"/>
              <w:ind w:left="0" w:right="72" w:firstLine="0"/>
              <w:jc w:val="right"/>
            </w:pPr>
            <w:r w:rsidRPr="00BA5F13">
              <w:t>0.070</w:t>
            </w:r>
            <w:r w:rsidRPr="00BA5F13">
              <w:rPr>
                <w:b/>
              </w:rPr>
              <w:t xml:space="preserve"> </w:t>
            </w:r>
          </w:p>
        </w:tc>
      </w:tr>
      <w:tr w:rsidR="00BA5F13" w:rsidRPr="00BA5F13" w14:paraId="6002F59D" w14:textId="77777777" w:rsidTr="004C09BE">
        <w:trPr>
          <w:trHeight w:val="571"/>
        </w:trPr>
        <w:tc>
          <w:tcPr>
            <w:tcW w:w="2615" w:type="dxa"/>
            <w:tcBorders>
              <w:top w:val="single" w:sz="6" w:space="0" w:color="000000"/>
              <w:left w:val="single" w:sz="6" w:space="0" w:color="000000"/>
              <w:bottom w:val="single" w:sz="6" w:space="0" w:color="000000"/>
              <w:right w:val="single" w:sz="6" w:space="0" w:color="000000"/>
            </w:tcBorders>
          </w:tcPr>
          <w:p w14:paraId="077EA42F" w14:textId="77777777" w:rsidR="00BA5F13" w:rsidRPr="00BA5F13" w:rsidRDefault="00BA5F13" w:rsidP="00BA5F13">
            <w:pPr>
              <w:spacing w:after="0" w:line="259" w:lineRule="auto"/>
              <w:ind w:left="0" w:right="0" w:firstLine="0"/>
              <w:jc w:val="left"/>
            </w:pPr>
            <w:r w:rsidRPr="00BA5F13">
              <w:t>Further digitisation of the appliances</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206D41FE" w14:textId="77777777" w:rsidR="00BA5F13" w:rsidRPr="00BA5F13" w:rsidRDefault="00BA5F13" w:rsidP="00BA5F13">
            <w:pPr>
              <w:spacing w:after="0" w:line="259" w:lineRule="auto"/>
              <w:ind w:left="0" w:right="79" w:firstLine="0"/>
              <w:jc w:val="right"/>
            </w:pPr>
            <w:r w:rsidRPr="00BA5F13">
              <w:t>0.085</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1A89797A" w14:textId="77777777" w:rsidR="00BA5F13" w:rsidRPr="00BA5F13" w:rsidRDefault="00BA5F13" w:rsidP="00BA5F13">
            <w:pPr>
              <w:spacing w:after="0" w:line="259" w:lineRule="auto"/>
              <w:ind w:left="0" w:right="70" w:firstLine="0"/>
              <w:jc w:val="right"/>
            </w:pPr>
            <w:r w:rsidRPr="00BA5F13">
              <w:t>0.085</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27060CBF" w14:textId="77777777" w:rsidR="00BA5F13" w:rsidRPr="00BA5F13" w:rsidRDefault="00BA5F13" w:rsidP="00BA5F13">
            <w:pPr>
              <w:spacing w:after="0" w:line="259" w:lineRule="auto"/>
              <w:ind w:left="0" w:right="70" w:firstLine="0"/>
              <w:jc w:val="right"/>
            </w:pPr>
            <w:r w:rsidRPr="00BA5F13">
              <w:t>0.085</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2E23C38B"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vAlign w:val="center"/>
          </w:tcPr>
          <w:p w14:paraId="2D118244"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vAlign w:val="center"/>
          </w:tcPr>
          <w:p w14:paraId="13BF2B38"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vAlign w:val="center"/>
          </w:tcPr>
          <w:p w14:paraId="27E9C5E2"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vAlign w:val="center"/>
          </w:tcPr>
          <w:p w14:paraId="4E592DF7"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vAlign w:val="center"/>
          </w:tcPr>
          <w:p w14:paraId="4E4545C8"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vAlign w:val="center"/>
          </w:tcPr>
          <w:p w14:paraId="5292D675"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663A274F" w14:textId="77777777" w:rsidR="00BA5F13" w:rsidRPr="00BA5F13" w:rsidRDefault="00BA5F13" w:rsidP="00BA5F13">
            <w:pPr>
              <w:spacing w:after="0" w:line="259" w:lineRule="auto"/>
              <w:ind w:left="0" w:right="72" w:firstLine="0"/>
              <w:jc w:val="right"/>
            </w:pPr>
            <w:r w:rsidRPr="00BA5F13">
              <w:t>0.255</w:t>
            </w:r>
            <w:r w:rsidRPr="00BA5F13">
              <w:rPr>
                <w:b/>
              </w:rPr>
              <w:t xml:space="preserve"> </w:t>
            </w:r>
          </w:p>
        </w:tc>
      </w:tr>
      <w:tr w:rsidR="00BA5F13" w:rsidRPr="00BA5F13" w14:paraId="1A593E0B" w14:textId="77777777" w:rsidTr="004C09BE">
        <w:trPr>
          <w:trHeight w:val="841"/>
        </w:trPr>
        <w:tc>
          <w:tcPr>
            <w:tcW w:w="2615" w:type="dxa"/>
            <w:tcBorders>
              <w:top w:val="single" w:sz="6" w:space="0" w:color="000000"/>
              <w:left w:val="single" w:sz="6" w:space="0" w:color="000000"/>
              <w:bottom w:val="single" w:sz="6" w:space="0" w:color="000000"/>
              <w:right w:val="single" w:sz="6" w:space="0" w:color="000000"/>
            </w:tcBorders>
          </w:tcPr>
          <w:p w14:paraId="6C9561CC" w14:textId="77777777" w:rsidR="00BA5F13" w:rsidRPr="00BA5F13" w:rsidRDefault="00BA5F13" w:rsidP="00BA5F13">
            <w:pPr>
              <w:spacing w:after="0" w:line="259" w:lineRule="auto"/>
              <w:ind w:left="0" w:right="0" w:firstLine="0"/>
              <w:jc w:val="left"/>
            </w:pPr>
            <w:r w:rsidRPr="00BA5F13">
              <w:t xml:space="preserve">NWFC Computer Aided </w:t>
            </w:r>
          </w:p>
          <w:p w14:paraId="39D5C02D" w14:textId="77777777" w:rsidR="00BA5F13" w:rsidRPr="00BA5F13" w:rsidRDefault="00BA5F13" w:rsidP="00BA5F13">
            <w:pPr>
              <w:spacing w:after="0" w:line="259" w:lineRule="auto"/>
              <w:ind w:left="0" w:right="0" w:firstLine="0"/>
              <w:jc w:val="left"/>
            </w:pPr>
            <w:r w:rsidRPr="00BA5F13">
              <w:t xml:space="preserve">Design Capital </w:t>
            </w:r>
          </w:p>
          <w:p w14:paraId="583A5BEF" w14:textId="77777777" w:rsidR="00BA5F13" w:rsidRPr="00BA5F13" w:rsidRDefault="00BA5F13" w:rsidP="00BA5F13">
            <w:pPr>
              <w:spacing w:after="0" w:line="259" w:lineRule="auto"/>
              <w:ind w:left="0" w:right="0" w:firstLine="0"/>
              <w:jc w:val="left"/>
            </w:pPr>
            <w:r w:rsidRPr="00BA5F13">
              <w:t>Contribution</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51E5B4A4" w14:textId="77777777" w:rsidR="00BA5F13" w:rsidRPr="00BA5F13" w:rsidRDefault="00BA5F13" w:rsidP="00BA5F13">
            <w:pPr>
              <w:spacing w:after="0" w:line="259" w:lineRule="auto"/>
              <w:ind w:left="0" w:right="79" w:firstLine="0"/>
              <w:jc w:val="right"/>
            </w:pPr>
            <w:r w:rsidRPr="00BA5F13">
              <w:t>0.692</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744FE917" w14:textId="77777777" w:rsidR="00BA5F13" w:rsidRPr="00BA5F13" w:rsidRDefault="00BA5F13" w:rsidP="00BA5F13">
            <w:pPr>
              <w:spacing w:after="0" w:line="259" w:lineRule="auto"/>
              <w:ind w:left="0" w:right="70" w:firstLine="0"/>
              <w:jc w:val="right"/>
            </w:pPr>
            <w:r w:rsidRPr="00BA5F13">
              <w:t>0.561</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38AE1EAD" w14:textId="77777777" w:rsidR="00BA5F13" w:rsidRPr="00BA5F13" w:rsidRDefault="00BA5F13" w:rsidP="00BA5F13">
            <w:pPr>
              <w:spacing w:after="0" w:line="259" w:lineRule="auto"/>
              <w:ind w:left="0" w:right="70" w:firstLine="0"/>
              <w:jc w:val="right"/>
            </w:pPr>
            <w:r w:rsidRPr="00BA5F13">
              <w:t>0.561</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tcPr>
          <w:p w14:paraId="0ADBAE7D"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28C1AA82"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28B70070"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F989FE8"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6D3B4B3D"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16C259B3"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8F7E94A"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19BD9DBE" w14:textId="77777777" w:rsidR="00BA5F13" w:rsidRPr="00BA5F13" w:rsidRDefault="00BA5F13" w:rsidP="00BA5F13">
            <w:pPr>
              <w:spacing w:after="0" w:line="259" w:lineRule="auto"/>
              <w:ind w:left="0" w:right="72" w:firstLine="0"/>
              <w:jc w:val="right"/>
            </w:pPr>
            <w:r w:rsidRPr="00BA5F13">
              <w:t>1.814</w:t>
            </w:r>
            <w:r w:rsidRPr="00BA5F13">
              <w:rPr>
                <w:b/>
              </w:rPr>
              <w:t xml:space="preserve"> </w:t>
            </w:r>
          </w:p>
        </w:tc>
      </w:tr>
      <w:tr w:rsidR="00BA5F13" w:rsidRPr="00BA5F13" w14:paraId="5F37D52B" w14:textId="77777777" w:rsidTr="004C09BE">
        <w:trPr>
          <w:trHeight w:val="841"/>
        </w:trPr>
        <w:tc>
          <w:tcPr>
            <w:tcW w:w="2615" w:type="dxa"/>
            <w:tcBorders>
              <w:top w:val="single" w:sz="6" w:space="0" w:color="000000"/>
              <w:left w:val="single" w:sz="6" w:space="0" w:color="000000"/>
              <w:bottom w:val="single" w:sz="6" w:space="0" w:color="000000"/>
              <w:right w:val="single" w:sz="6" w:space="0" w:color="000000"/>
            </w:tcBorders>
          </w:tcPr>
          <w:p w14:paraId="6CADF26D" w14:textId="77777777" w:rsidR="00BA5F13" w:rsidRPr="00BA5F13" w:rsidRDefault="00BA5F13" w:rsidP="00BA5F13">
            <w:pPr>
              <w:spacing w:after="0" w:line="259" w:lineRule="auto"/>
              <w:ind w:left="0" w:right="0" w:firstLine="0"/>
              <w:jc w:val="left"/>
            </w:pPr>
            <w:r w:rsidRPr="00BA5F13">
              <w:t xml:space="preserve">ICT Indicative Future </w:t>
            </w:r>
          </w:p>
          <w:p w14:paraId="683A35E8" w14:textId="77777777" w:rsidR="00BA5F13" w:rsidRPr="00BA5F13" w:rsidRDefault="00BA5F13" w:rsidP="00BA5F13">
            <w:pPr>
              <w:spacing w:after="0" w:line="259" w:lineRule="auto"/>
              <w:ind w:left="0" w:right="0" w:firstLine="0"/>
              <w:jc w:val="left"/>
            </w:pPr>
            <w:r w:rsidRPr="00BA5F13">
              <w:t xml:space="preserve">Development &amp; </w:t>
            </w:r>
          </w:p>
          <w:p w14:paraId="1C32FE4B" w14:textId="77777777" w:rsidR="00BA5F13" w:rsidRPr="00BA5F13" w:rsidRDefault="00BA5F13" w:rsidP="00BA5F13">
            <w:pPr>
              <w:spacing w:after="0" w:line="259" w:lineRule="auto"/>
              <w:ind w:left="0" w:right="0" w:firstLine="0"/>
              <w:jc w:val="left"/>
            </w:pPr>
            <w:r w:rsidRPr="00BA5F13">
              <w:t>Replacement Budget</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tcPr>
          <w:p w14:paraId="6B524422" w14:textId="77777777" w:rsidR="00BA5F13" w:rsidRPr="00BA5F13" w:rsidRDefault="00BA5F13" w:rsidP="00BA5F13">
            <w:pPr>
              <w:spacing w:after="0" w:line="259" w:lineRule="auto"/>
              <w:ind w:left="0" w:right="9"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4E0CB1BB"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580B23A1"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E62C961"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6ED46BAC"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vAlign w:val="center"/>
          </w:tcPr>
          <w:p w14:paraId="663392BA" w14:textId="77777777" w:rsidR="00BA5F13" w:rsidRPr="00BA5F13" w:rsidRDefault="00BA5F13" w:rsidP="00BA5F13">
            <w:pPr>
              <w:spacing w:after="0" w:line="259" w:lineRule="auto"/>
              <w:ind w:left="0" w:right="70" w:firstLine="0"/>
              <w:jc w:val="right"/>
            </w:pPr>
            <w:r w:rsidRPr="00BA5F13">
              <w:t>0.500</w:t>
            </w:r>
            <w:r w:rsidRPr="00BA5F13">
              <w:rPr>
                <w:b/>
              </w:rPr>
              <w:t xml:space="preserve"> </w:t>
            </w:r>
          </w:p>
        </w:tc>
        <w:tc>
          <w:tcPr>
            <w:tcW w:w="1165" w:type="dxa"/>
            <w:tcBorders>
              <w:top w:val="single" w:sz="6" w:space="0" w:color="000000"/>
              <w:left w:val="single" w:sz="6" w:space="0" w:color="000000"/>
              <w:bottom w:val="single" w:sz="6" w:space="0" w:color="000000"/>
              <w:right w:val="single" w:sz="6" w:space="0" w:color="000000"/>
            </w:tcBorders>
            <w:vAlign w:val="center"/>
          </w:tcPr>
          <w:p w14:paraId="6390E37A" w14:textId="77777777" w:rsidR="00BA5F13" w:rsidRPr="00BA5F13" w:rsidRDefault="00BA5F13" w:rsidP="00BA5F13">
            <w:pPr>
              <w:spacing w:after="0" w:line="259" w:lineRule="auto"/>
              <w:ind w:left="0" w:right="70" w:firstLine="0"/>
              <w:jc w:val="right"/>
            </w:pPr>
            <w:r w:rsidRPr="00BA5F13">
              <w:t>0.500</w:t>
            </w:r>
            <w:r w:rsidRPr="00BA5F13">
              <w:rPr>
                <w:b/>
              </w:rPr>
              <w:t xml:space="preserve"> </w:t>
            </w:r>
          </w:p>
        </w:tc>
        <w:tc>
          <w:tcPr>
            <w:tcW w:w="1174" w:type="dxa"/>
            <w:tcBorders>
              <w:top w:val="single" w:sz="6" w:space="0" w:color="000000"/>
              <w:left w:val="single" w:sz="6" w:space="0" w:color="000000"/>
              <w:bottom w:val="single" w:sz="6" w:space="0" w:color="000000"/>
              <w:right w:val="single" w:sz="6" w:space="0" w:color="000000"/>
            </w:tcBorders>
            <w:vAlign w:val="center"/>
          </w:tcPr>
          <w:p w14:paraId="4873AD77" w14:textId="77777777" w:rsidR="00BA5F13" w:rsidRPr="00BA5F13" w:rsidRDefault="00BA5F13" w:rsidP="00BA5F13">
            <w:pPr>
              <w:spacing w:after="0" w:line="259" w:lineRule="auto"/>
              <w:ind w:left="0" w:right="79" w:firstLine="0"/>
              <w:jc w:val="right"/>
            </w:pPr>
            <w:r w:rsidRPr="00BA5F13">
              <w:t>0.500</w:t>
            </w:r>
            <w:r w:rsidRPr="00BA5F13">
              <w:rPr>
                <w:b/>
              </w:rPr>
              <w:t xml:space="preserve"> </w:t>
            </w:r>
          </w:p>
        </w:tc>
        <w:tc>
          <w:tcPr>
            <w:tcW w:w="1165" w:type="dxa"/>
            <w:tcBorders>
              <w:top w:val="single" w:sz="6" w:space="0" w:color="000000"/>
              <w:left w:val="single" w:sz="6" w:space="0" w:color="000000"/>
              <w:bottom w:val="single" w:sz="6" w:space="0" w:color="000000"/>
              <w:right w:val="single" w:sz="6" w:space="0" w:color="000000"/>
            </w:tcBorders>
            <w:vAlign w:val="center"/>
          </w:tcPr>
          <w:p w14:paraId="18D28886" w14:textId="77777777" w:rsidR="00BA5F13" w:rsidRPr="00BA5F13" w:rsidRDefault="00BA5F13" w:rsidP="00BA5F13">
            <w:pPr>
              <w:spacing w:after="0" w:line="259" w:lineRule="auto"/>
              <w:ind w:left="0" w:right="70" w:firstLine="0"/>
              <w:jc w:val="right"/>
            </w:pPr>
            <w:r w:rsidRPr="00BA5F13">
              <w:t>0.500</w:t>
            </w:r>
            <w:r w:rsidRPr="00BA5F13">
              <w:rPr>
                <w:b/>
              </w:rPr>
              <w:t xml:space="preserve"> </w:t>
            </w:r>
          </w:p>
        </w:tc>
        <w:tc>
          <w:tcPr>
            <w:tcW w:w="1165" w:type="dxa"/>
            <w:tcBorders>
              <w:top w:val="single" w:sz="6" w:space="0" w:color="000000"/>
              <w:left w:val="single" w:sz="6" w:space="0" w:color="000000"/>
              <w:bottom w:val="single" w:sz="6" w:space="0" w:color="000000"/>
              <w:right w:val="single" w:sz="6" w:space="0" w:color="000000"/>
            </w:tcBorders>
            <w:vAlign w:val="center"/>
          </w:tcPr>
          <w:p w14:paraId="5FCC2B6F" w14:textId="77777777" w:rsidR="00BA5F13" w:rsidRPr="00BA5F13" w:rsidRDefault="00BA5F13" w:rsidP="00BA5F13">
            <w:pPr>
              <w:spacing w:after="0" w:line="259" w:lineRule="auto"/>
              <w:ind w:left="0" w:right="70" w:firstLine="0"/>
              <w:jc w:val="right"/>
            </w:pPr>
            <w:r w:rsidRPr="00BA5F13">
              <w:t>0.500</w:t>
            </w:r>
            <w:r w:rsidRPr="00BA5F13">
              <w:rPr>
                <w:b/>
              </w:rPr>
              <w:t xml:space="preserve"> </w:t>
            </w:r>
          </w:p>
        </w:tc>
        <w:tc>
          <w:tcPr>
            <w:tcW w:w="1268" w:type="dxa"/>
            <w:tcBorders>
              <w:top w:val="single" w:sz="6" w:space="0" w:color="000000"/>
              <w:left w:val="single" w:sz="6" w:space="0" w:color="000000"/>
              <w:bottom w:val="single" w:sz="6" w:space="0" w:color="000000"/>
              <w:right w:val="single" w:sz="6" w:space="0" w:color="000000"/>
            </w:tcBorders>
            <w:vAlign w:val="center"/>
          </w:tcPr>
          <w:p w14:paraId="36AB285A" w14:textId="77777777" w:rsidR="00BA5F13" w:rsidRPr="00BA5F13" w:rsidRDefault="00BA5F13" w:rsidP="00BA5F13">
            <w:pPr>
              <w:spacing w:after="0" w:line="259" w:lineRule="auto"/>
              <w:ind w:left="0" w:right="72" w:firstLine="0"/>
              <w:jc w:val="right"/>
            </w:pPr>
            <w:r w:rsidRPr="00BA5F13">
              <w:t>2.500</w:t>
            </w:r>
            <w:r w:rsidRPr="00BA5F13">
              <w:rPr>
                <w:b/>
              </w:rPr>
              <w:t xml:space="preserve"> </w:t>
            </w:r>
          </w:p>
        </w:tc>
      </w:tr>
      <w:tr w:rsidR="00BA5F13" w:rsidRPr="00BA5F13" w14:paraId="065B0199" w14:textId="77777777" w:rsidTr="004C09BE">
        <w:trPr>
          <w:trHeight w:val="285"/>
        </w:trPr>
        <w:tc>
          <w:tcPr>
            <w:tcW w:w="2615" w:type="dxa"/>
            <w:tcBorders>
              <w:top w:val="single" w:sz="6" w:space="0" w:color="000000"/>
              <w:left w:val="single" w:sz="6" w:space="0" w:color="000000"/>
              <w:bottom w:val="single" w:sz="6" w:space="0" w:color="000000"/>
              <w:right w:val="single" w:sz="6" w:space="0" w:color="000000"/>
            </w:tcBorders>
          </w:tcPr>
          <w:p w14:paraId="7BF9AF9B" w14:textId="77777777" w:rsidR="00BA5F13" w:rsidRPr="00BA5F13" w:rsidRDefault="00BA5F13" w:rsidP="00BA5F13">
            <w:pPr>
              <w:spacing w:after="0" w:line="259" w:lineRule="auto"/>
              <w:ind w:left="0" w:right="0" w:firstLine="0"/>
              <w:jc w:val="left"/>
            </w:pPr>
            <w:r w:rsidRPr="00BA5F13">
              <w:t xml:space="preserve">Firefighting Robot </w:t>
            </w:r>
          </w:p>
        </w:tc>
        <w:tc>
          <w:tcPr>
            <w:tcW w:w="1229" w:type="dxa"/>
            <w:tcBorders>
              <w:top w:val="single" w:sz="6" w:space="0" w:color="000000"/>
              <w:left w:val="single" w:sz="6" w:space="0" w:color="000000"/>
              <w:bottom w:val="single" w:sz="6" w:space="0" w:color="000000"/>
              <w:right w:val="single" w:sz="6" w:space="0" w:color="000000"/>
            </w:tcBorders>
          </w:tcPr>
          <w:p w14:paraId="34D2B71C" w14:textId="77777777" w:rsidR="00BA5F13" w:rsidRPr="00BA5F13" w:rsidRDefault="00BA5F13" w:rsidP="00BA5F13">
            <w:pPr>
              <w:spacing w:after="0" w:line="259" w:lineRule="auto"/>
              <w:ind w:left="0" w:right="79" w:firstLine="0"/>
              <w:jc w:val="right"/>
            </w:pPr>
            <w:r w:rsidRPr="00BA5F13">
              <w:t xml:space="preserve">0.048 </w:t>
            </w:r>
          </w:p>
        </w:tc>
        <w:tc>
          <w:tcPr>
            <w:tcW w:w="1229" w:type="dxa"/>
            <w:tcBorders>
              <w:top w:val="single" w:sz="6" w:space="0" w:color="000000"/>
              <w:left w:val="single" w:sz="6" w:space="0" w:color="000000"/>
              <w:bottom w:val="single" w:sz="6" w:space="0" w:color="000000"/>
              <w:right w:val="single" w:sz="6" w:space="0" w:color="000000"/>
            </w:tcBorders>
          </w:tcPr>
          <w:p w14:paraId="12C772EF"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890F26D"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3BB0EA88"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D224052"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760A4641"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3361BDC"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4DD77E4B"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5F14E601"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FC88E47"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tcPr>
          <w:p w14:paraId="0C071270" w14:textId="77777777" w:rsidR="00BA5F13" w:rsidRPr="00BA5F13" w:rsidRDefault="00BA5F13" w:rsidP="00BA5F13">
            <w:pPr>
              <w:spacing w:after="0" w:line="259" w:lineRule="auto"/>
              <w:ind w:left="0" w:right="72" w:firstLine="0"/>
              <w:jc w:val="right"/>
            </w:pPr>
            <w:r w:rsidRPr="00BA5F13">
              <w:t xml:space="preserve">0.048 </w:t>
            </w:r>
          </w:p>
        </w:tc>
      </w:tr>
      <w:tr w:rsidR="00BA5F13" w:rsidRPr="00BA5F13" w14:paraId="33CD8190" w14:textId="77777777" w:rsidTr="004C09BE">
        <w:trPr>
          <w:trHeight w:val="285"/>
        </w:trPr>
        <w:tc>
          <w:tcPr>
            <w:tcW w:w="2615" w:type="dxa"/>
            <w:tcBorders>
              <w:top w:val="single" w:sz="6" w:space="0" w:color="000000"/>
              <w:left w:val="single" w:sz="6" w:space="0" w:color="000000"/>
              <w:bottom w:val="single" w:sz="6" w:space="0" w:color="000000"/>
              <w:right w:val="single" w:sz="6" w:space="0" w:color="000000"/>
            </w:tcBorders>
          </w:tcPr>
          <w:p w14:paraId="6C58F2D1" w14:textId="77777777" w:rsidR="00BA5F13" w:rsidRPr="00BA5F13" w:rsidRDefault="00BA5F13" w:rsidP="00BA5F13">
            <w:pPr>
              <w:spacing w:after="0" w:line="259" w:lineRule="auto"/>
              <w:ind w:left="0" w:right="0" w:firstLine="0"/>
              <w:jc w:val="left"/>
            </w:pPr>
            <w:r w:rsidRPr="00BA5F13">
              <w:rPr>
                <w:b/>
              </w:rPr>
              <w:t>Subtotal</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tcPr>
          <w:p w14:paraId="2B682A86" w14:textId="77777777" w:rsidR="00BA5F13" w:rsidRPr="00BA5F13" w:rsidRDefault="00BA5F13" w:rsidP="00BA5F13">
            <w:pPr>
              <w:spacing w:after="0" w:line="259" w:lineRule="auto"/>
              <w:ind w:left="0" w:right="79" w:firstLine="0"/>
              <w:jc w:val="right"/>
            </w:pPr>
            <w:r w:rsidRPr="00BA5F13">
              <w:rPr>
                <w:b/>
              </w:rPr>
              <w:t>2.225</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tcPr>
          <w:p w14:paraId="56340E0D" w14:textId="77777777" w:rsidR="00BA5F13" w:rsidRPr="00BA5F13" w:rsidRDefault="00BA5F13" w:rsidP="00BA5F13">
            <w:pPr>
              <w:spacing w:after="0" w:line="259" w:lineRule="auto"/>
              <w:ind w:left="0" w:right="70" w:firstLine="0"/>
              <w:jc w:val="right"/>
            </w:pPr>
            <w:r w:rsidRPr="00BA5F13">
              <w:rPr>
                <w:b/>
              </w:rPr>
              <w:t>2.336</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tcPr>
          <w:p w14:paraId="260BEB7B" w14:textId="77777777" w:rsidR="00BA5F13" w:rsidRPr="00BA5F13" w:rsidRDefault="00BA5F13" w:rsidP="00BA5F13">
            <w:pPr>
              <w:spacing w:after="0" w:line="259" w:lineRule="auto"/>
              <w:ind w:left="0" w:right="70" w:firstLine="0"/>
              <w:jc w:val="right"/>
            </w:pPr>
            <w:r w:rsidRPr="00BA5F13">
              <w:rPr>
                <w:b/>
              </w:rPr>
              <w:t>0.646</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tcPr>
          <w:p w14:paraId="32559099" w14:textId="77777777" w:rsidR="00BA5F13" w:rsidRPr="00BA5F13" w:rsidRDefault="00BA5F13" w:rsidP="00BA5F13">
            <w:pPr>
              <w:spacing w:after="0" w:line="259" w:lineRule="auto"/>
              <w:ind w:left="0" w:right="85" w:firstLine="0"/>
              <w:jc w:val="right"/>
            </w:pPr>
            <w:r w:rsidRPr="00BA5F13">
              <w:rPr>
                <w:b/>
              </w:rPr>
              <w:t>0.195</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tcPr>
          <w:p w14:paraId="1798F8EE" w14:textId="77777777" w:rsidR="00BA5F13" w:rsidRPr="00BA5F13" w:rsidRDefault="00BA5F13" w:rsidP="00BA5F13">
            <w:pPr>
              <w:spacing w:after="0" w:line="259" w:lineRule="auto"/>
              <w:ind w:left="0" w:right="70" w:firstLine="0"/>
              <w:jc w:val="right"/>
            </w:pPr>
            <w:r w:rsidRPr="00BA5F13">
              <w:rPr>
                <w:b/>
              </w:rPr>
              <w:t>0.500</w:t>
            </w:r>
            <w:r w:rsidRPr="00BA5F13">
              <w:t xml:space="preserve"> </w:t>
            </w:r>
          </w:p>
        </w:tc>
        <w:tc>
          <w:tcPr>
            <w:tcW w:w="1165" w:type="dxa"/>
            <w:tcBorders>
              <w:top w:val="single" w:sz="6" w:space="0" w:color="000000"/>
              <w:left w:val="single" w:sz="6" w:space="0" w:color="000000"/>
              <w:bottom w:val="single" w:sz="6" w:space="0" w:color="000000"/>
              <w:right w:val="single" w:sz="6" w:space="0" w:color="000000"/>
            </w:tcBorders>
          </w:tcPr>
          <w:p w14:paraId="6292708A" w14:textId="77777777" w:rsidR="00BA5F13" w:rsidRPr="00BA5F13" w:rsidRDefault="00BA5F13" w:rsidP="00BA5F13">
            <w:pPr>
              <w:spacing w:after="0" w:line="259" w:lineRule="auto"/>
              <w:ind w:left="0" w:right="70" w:firstLine="0"/>
              <w:jc w:val="right"/>
            </w:pPr>
            <w:r w:rsidRPr="00BA5F13">
              <w:rPr>
                <w:b/>
              </w:rPr>
              <w:t>0.500</w:t>
            </w:r>
            <w:r w:rsidRPr="00BA5F13">
              <w:t xml:space="preserve"> </w:t>
            </w:r>
          </w:p>
        </w:tc>
        <w:tc>
          <w:tcPr>
            <w:tcW w:w="1165" w:type="dxa"/>
            <w:tcBorders>
              <w:top w:val="single" w:sz="6" w:space="0" w:color="000000"/>
              <w:left w:val="single" w:sz="6" w:space="0" w:color="000000"/>
              <w:bottom w:val="single" w:sz="6" w:space="0" w:color="000000"/>
              <w:right w:val="single" w:sz="6" w:space="0" w:color="000000"/>
            </w:tcBorders>
          </w:tcPr>
          <w:p w14:paraId="26F4532C" w14:textId="77777777" w:rsidR="00BA5F13" w:rsidRPr="00BA5F13" w:rsidRDefault="00BA5F13" w:rsidP="00BA5F13">
            <w:pPr>
              <w:spacing w:after="0" w:line="259" w:lineRule="auto"/>
              <w:ind w:left="0" w:right="70" w:firstLine="0"/>
              <w:jc w:val="right"/>
            </w:pPr>
            <w:r w:rsidRPr="00BA5F13">
              <w:rPr>
                <w:b/>
              </w:rPr>
              <w:t>0.500</w:t>
            </w:r>
            <w:r w:rsidRPr="00BA5F13">
              <w:t xml:space="preserve"> </w:t>
            </w:r>
          </w:p>
        </w:tc>
        <w:tc>
          <w:tcPr>
            <w:tcW w:w="1174" w:type="dxa"/>
            <w:tcBorders>
              <w:top w:val="single" w:sz="6" w:space="0" w:color="000000"/>
              <w:left w:val="single" w:sz="6" w:space="0" w:color="000000"/>
              <w:bottom w:val="single" w:sz="6" w:space="0" w:color="000000"/>
              <w:right w:val="single" w:sz="6" w:space="0" w:color="000000"/>
            </w:tcBorders>
          </w:tcPr>
          <w:p w14:paraId="06278E30" w14:textId="77777777" w:rsidR="00BA5F13" w:rsidRPr="00BA5F13" w:rsidRDefault="00BA5F13" w:rsidP="00BA5F13">
            <w:pPr>
              <w:spacing w:after="0" w:line="259" w:lineRule="auto"/>
              <w:ind w:left="0" w:right="79" w:firstLine="0"/>
              <w:jc w:val="right"/>
            </w:pPr>
            <w:r w:rsidRPr="00BA5F13">
              <w:rPr>
                <w:b/>
              </w:rPr>
              <w:t>0.500</w:t>
            </w:r>
            <w:r w:rsidRPr="00BA5F13">
              <w:t xml:space="preserve"> </w:t>
            </w:r>
          </w:p>
        </w:tc>
        <w:tc>
          <w:tcPr>
            <w:tcW w:w="1165" w:type="dxa"/>
            <w:tcBorders>
              <w:top w:val="single" w:sz="6" w:space="0" w:color="000000"/>
              <w:left w:val="single" w:sz="6" w:space="0" w:color="000000"/>
              <w:bottom w:val="single" w:sz="6" w:space="0" w:color="000000"/>
              <w:right w:val="single" w:sz="6" w:space="0" w:color="000000"/>
            </w:tcBorders>
          </w:tcPr>
          <w:p w14:paraId="36867AB0" w14:textId="77777777" w:rsidR="00BA5F13" w:rsidRPr="00BA5F13" w:rsidRDefault="00BA5F13" w:rsidP="00BA5F13">
            <w:pPr>
              <w:spacing w:after="0" w:line="259" w:lineRule="auto"/>
              <w:ind w:left="0" w:right="70" w:firstLine="0"/>
              <w:jc w:val="right"/>
            </w:pPr>
            <w:r w:rsidRPr="00BA5F13">
              <w:rPr>
                <w:b/>
              </w:rPr>
              <w:t>0.500</w:t>
            </w:r>
            <w:r w:rsidRPr="00BA5F13">
              <w:t xml:space="preserve"> </w:t>
            </w:r>
          </w:p>
        </w:tc>
        <w:tc>
          <w:tcPr>
            <w:tcW w:w="1165" w:type="dxa"/>
            <w:tcBorders>
              <w:top w:val="single" w:sz="6" w:space="0" w:color="000000"/>
              <w:left w:val="single" w:sz="6" w:space="0" w:color="000000"/>
              <w:bottom w:val="single" w:sz="6" w:space="0" w:color="000000"/>
              <w:right w:val="single" w:sz="6" w:space="0" w:color="000000"/>
            </w:tcBorders>
          </w:tcPr>
          <w:p w14:paraId="601D9511" w14:textId="77777777" w:rsidR="00BA5F13" w:rsidRPr="00BA5F13" w:rsidRDefault="00BA5F13" w:rsidP="00BA5F13">
            <w:pPr>
              <w:spacing w:after="0" w:line="259" w:lineRule="auto"/>
              <w:ind w:left="0" w:right="70" w:firstLine="0"/>
              <w:jc w:val="right"/>
            </w:pPr>
            <w:r w:rsidRPr="00BA5F13">
              <w:rPr>
                <w:b/>
              </w:rPr>
              <w:t>0.500</w:t>
            </w:r>
            <w:r w:rsidRPr="00BA5F13">
              <w:t xml:space="preserve"> </w:t>
            </w:r>
          </w:p>
        </w:tc>
        <w:tc>
          <w:tcPr>
            <w:tcW w:w="1268" w:type="dxa"/>
            <w:tcBorders>
              <w:top w:val="single" w:sz="6" w:space="0" w:color="000000"/>
              <w:left w:val="single" w:sz="6" w:space="0" w:color="000000"/>
              <w:bottom w:val="single" w:sz="6" w:space="0" w:color="000000"/>
              <w:right w:val="single" w:sz="6" w:space="0" w:color="000000"/>
            </w:tcBorders>
          </w:tcPr>
          <w:p w14:paraId="69EC92ED" w14:textId="77777777" w:rsidR="00BA5F13" w:rsidRPr="00BA5F13" w:rsidRDefault="00BA5F13" w:rsidP="00BA5F13">
            <w:pPr>
              <w:spacing w:after="0" w:line="259" w:lineRule="auto"/>
              <w:ind w:left="0" w:right="72" w:firstLine="0"/>
              <w:jc w:val="right"/>
            </w:pPr>
            <w:r w:rsidRPr="00BA5F13">
              <w:rPr>
                <w:b/>
              </w:rPr>
              <w:t>8.402</w:t>
            </w:r>
            <w:r w:rsidRPr="00BA5F13">
              <w:t xml:space="preserve"> </w:t>
            </w:r>
          </w:p>
        </w:tc>
      </w:tr>
      <w:tr w:rsidR="00BA5F13" w:rsidRPr="00BA5F13" w14:paraId="79235641" w14:textId="77777777" w:rsidTr="004C09BE">
        <w:trPr>
          <w:trHeight w:val="556"/>
        </w:trPr>
        <w:tc>
          <w:tcPr>
            <w:tcW w:w="2615" w:type="dxa"/>
            <w:tcBorders>
              <w:top w:val="single" w:sz="6" w:space="0" w:color="000000"/>
              <w:left w:val="single" w:sz="6" w:space="0" w:color="000000"/>
              <w:bottom w:val="single" w:sz="6" w:space="0" w:color="000000"/>
              <w:right w:val="single" w:sz="6" w:space="0" w:color="000000"/>
            </w:tcBorders>
          </w:tcPr>
          <w:p w14:paraId="6DF047A1" w14:textId="77777777" w:rsidR="00BA5F13" w:rsidRPr="00BA5F13" w:rsidRDefault="00BA5F13" w:rsidP="00BA5F13">
            <w:pPr>
              <w:spacing w:after="0" w:line="259" w:lineRule="auto"/>
              <w:ind w:left="0" w:right="0" w:firstLine="0"/>
              <w:jc w:val="left"/>
            </w:pPr>
            <w:r w:rsidRPr="00BA5F13">
              <w:rPr>
                <w:b/>
              </w:rPr>
              <w:t>TOTAL CAPITAL REQUIREMENT</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35F8CEEB" w14:textId="77777777" w:rsidR="00BA5F13" w:rsidRPr="00BA5F13" w:rsidRDefault="00BA5F13" w:rsidP="00BA5F13">
            <w:pPr>
              <w:spacing w:after="0" w:line="259" w:lineRule="auto"/>
              <w:ind w:left="0" w:right="0" w:firstLine="0"/>
              <w:jc w:val="left"/>
            </w:pPr>
            <w:r w:rsidRPr="00BA5F13">
              <w:rPr>
                <w:b/>
              </w:rPr>
              <w:t>10.196</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2526E8B6" w14:textId="77777777" w:rsidR="00BA5F13" w:rsidRPr="00BA5F13" w:rsidRDefault="00BA5F13" w:rsidP="00BA5F13">
            <w:pPr>
              <w:spacing w:after="0" w:line="259" w:lineRule="auto"/>
              <w:ind w:left="0" w:right="0" w:firstLine="0"/>
              <w:jc w:val="left"/>
            </w:pPr>
            <w:r w:rsidRPr="00BA5F13">
              <w:rPr>
                <w:b/>
              </w:rPr>
              <w:t>20.259</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60BA51B3" w14:textId="77777777" w:rsidR="00BA5F13" w:rsidRPr="00BA5F13" w:rsidRDefault="00BA5F13" w:rsidP="00BA5F13">
            <w:pPr>
              <w:spacing w:after="0" w:line="259" w:lineRule="auto"/>
              <w:ind w:left="0" w:right="0" w:firstLine="0"/>
              <w:jc w:val="left"/>
            </w:pPr>
            <w:r w:rsidRPr="00BA5F13">
              <w:rPr>
                <w:b/>
              </w:rPr>
              <w:t>18.454</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66DD3A15" w14:textId="77777777" w:rsidR="00BA5F13" w:rsidRPr="00BA5F13" w:rsidRDefault="00BA5F13" w:rsidP="00BA5F13">
            <w:pPr>
              <w:spacing w:after="0" w:line="259" w:lineRule="auto"/>
              <w:ind w:left="0" w:right="0" w:firstLine="0"/>
            </w:pPr>
            <w:r w:rsidRPr="00BA5F13">
              <w:rPr>
                <w:b/>
              </w:rPr>
              <w:t>10.006</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vAlign w:val="center"/>
          </w:tcPr>
          <w:p w14:paraId="500A33B6" w14:textId="77777777" w:rsidR="00BA5F13" w:rsidRPr="00BA5F13" w:rsidRDefault="00BA5F13" w:rsidP="00BA5F13">
            <w:pPr>
              <w:spacing w:after="0" w:line="259" w:lineRule="auto"/>
              <w:ind w:left="0" w:right="0" w:firstLine="0"/>
              <w:jc w:val="left"/>
            </w:pPr>
            <w:r w:rsidRPr="00BA5F13">
              <w:rPr>
                <w:b/>
              </w:rPr>
              <w:t>13.924</w:t>
            </w:r>
            <w:r w:rsidRPr="00BA5F13">
              <w:t xml:space="preserve"> </w:t>
            </w:r>
          </w:p>
        </w:tc>
        <w:tc>
          <w:tcPr>
            <w:tcW w:w="1165" w:type="dxa"/>
            <w:tcBorders>
              <w:top w:val="single" w:sz="6" w:space="0" w:color="000000"/>
              <w:left w:val="single" w:sz="6" w:space="0" w:color="000000"/>
              <w:bottom w:val="single" w:sz="6" w:space="0" w:color="000000"/>
              <w:right w:val="single" w:sz="6" w:space="0" w:color="000000"/>
            </w:tcBorders>
            <w:vAlign w:val="center"/>
          </w:tcPr>
          <w:p w14:paraId="326E9F2A" w14:textId="77777777" w:rsidR="00BA5F13" w:rsidRPr="00BA5F13" w:rsidRDefault="00BA5F13" w:rsidP="00BA5F13">
            <w:pPr>
              <w:spacing w:after="0" w:line="259" w:lineRule="auto"/>
              <w:ind w:left="0" w:right="70" w:firstLine="0"/>
              <w:jc w:val="right"/>
            </w:pPr>
            <w:r w:rsidRPr="00BA5F13">
              <w:rPr>
                <w:b/>
              </w:rPr>
              <w:t>4.000</w:t>
            </w:r>
            <w:r w:rsidRPr="00BA5F13">
              <w:t xml:space="preserve"> </w:t>
            </w:r>
          </w:p>
        </w:tc>
        <w:tc>
          <w:tcPr>
            <w:tcW w:w="1165" w:type="dxa"/>
            <w:tcBorders>
              <w:top w:val="single" w:sz="6" w:space="0" w:color="000000"/>
              <w:left w:val="single" w:sz="6" w:space="0" w:color="000000"/>
              <w:bottom w:val="single" w:sz="6" w:space="0" w:color="000000"/>
              <w:right w:val="single" w:sz="6" w:space="0" w:color="000000"/>
            </w:tcBorders>
            <w:vAlign w:val="center"/>
          </w:tcPr>
          <w:p w14:paraId="58DCE420" w14:textId="77777777" w:rsidR="00BA5F13" w:rsidRPr="00BA5F13" w:rsidRDefault="00BA5F13" w:rsidP="00BA5F13">
            <w:pPr>
              <w:spacing w:after="0" w:line="259" w:lineRule="auto"/>
              <w:ind w:left="0" w:right="70" w:firstLine="0"/>
              <w:jc w:val="right"/>
            </w:pPr>
            <w:r w:rsidRPr="00BA5F13">
              <w:rPr>
                <w:b/>
              </w:rPr>
              <w:t>4.000</w:t>
            </w:r>
            <w:r w:rsidRPr="00BA5F13">
              <w:t xml:space="preserve"> </w:t>
            </w:r>
          </w:p>
        </w:tc>
        <w:tc>
          <w:tcPr>
            <w:tcW w:w="1174" w:type="dxa"/>
            <w:tcBorders>
              <w:top w:val="single" w:sz="6" w:space="0" w:color="000000"/>
              <w:left w:val="single" w:sz="6" w:space="0" w:color="000000"/>
              <w:bottom w:val="single" w:sz="6" w:space="0" w:color="000000"/>
              <w:right w:val="single" w:sz="6" w:space="0" w:color="000000"/>
            </w:tcBorders>
            <w:vAlign w:val="center"/>
          </w:tcPr>
          <w:p w14:paraId="2D287F9C" w14:textId="77777777" w:rsidR="00BA5F13" w:rsidRPr="00BA5F13" w:rsidRDefault="00BA5F13" w:rsidP="00BA5F13">
            <w:pPr>
              <w:spacing w:after="0" w:line="259" w:lineRule="auto"/>
              <w:ind w:left="0" w:right="79" w:firstLine="0"/>
              <w:jc w:val="right"/>
            </w:pPr>
            <w:r w:rsidRPr="00BA5F13">
              <w:rPr>
                <w:b/>
              </w:rPr>
              <w:t>4.000</w:t>
            </w:r>
            <w:r w:rsidRPr="00BA5F13">
              <w:t xml:space="preserve"> </w:t>
            </w:r>
          </w:p>
        </w:tc>
        <w:tc>
          <w:tcPr>
            <w:tcW w:w="1165" w:type="dxa"/>
            <w:tcBorders>
              <w:top w:val="single" w:sz="6" w:space="0" w:color="000000"/>
              <w:left w:val="single" w:sz="6" w:space="0" w:color="000000"/>
              <w:bottom w:val="single" w:sz="6" w:space="0" w:color="000000"/>
              <w:right w:val="single" w:sz="6" w:space="0" w:color="000000"/>
            </w:tcBorders>
            <w:vAlign w:val="center"/>
          </w:tcPr>
          <w:p w14:paraId="05B4514D" w14:textId="77777777" w:rsidR="00BA5F13" w:rsidRPr="00BA5F13" w:rsidRDefault="00BA5F13" w:rsidP="00BA5F13">
            <w:pPr>
              <w:spacing w:after="0" w:line="259" w:lineRule="auto"/>
              <w:ind w:left="0" w:right="70" w:firstLine="0"/>
              <w:jc w:val="right"/>
            </w:pPr>
            <w:r w:rsidRPr="00BA5F13">
              <w:rPr>
                <w:b/>
              </w:rPr>
              <w:t>4.000</w:t>
            </w:r>
            <w:r w:rsidRPr="00BA5F13">
              <w:t xml:space="preserve"> </w:t>
            </w:r>
          </w:p>
        </w:tc>
        <w:tc>
          <w:tcPr>
            <w:tcW w:w="1165" w:type="dxa"/>
            <w:tcBorders>
              <w:top w:val="single" w:sz="6" w:space="0" w:color="000000"/>
              <w:left w:val="single" w:sz="6" w:space="0" w:color="000000"/>
              <w:bottom w:val="single" w:sz="6" w:space="0" w:color="000000"/>
              <w:right w:val="single" w:sz="6" w:space="0" w:color="000000"/>
            </w:tcBorders>
            <w:vAlign w:val="center"/>
          </w:tcPr>
          <w:p w14:paraId="719FB157" w14:textId="77777777" w:rsidR="00BA5F13" w:rsidRPr="00BA5F13" w:rsidRDefault="00BA5F13" w:rsidP="00BA5F13">
            <w:pPr>
              <w:spacing w:after="0" w:line="259" w:lineRule="auto"/>
              <w:ind w:left="0" w:right="70" w:firstLine="0"/>
              <w:jc w:val="right"/>
            </w:pPr>
            <w:r w:rsidRPr="00BA5F13">
              <w:rPr>
                <w:b/>
              </w:rPr>
              <w:t>4.000</w:t>
            </w:r>
            <w:r w:rsidRPr="00BA5F13">
              <w:t xml:space="preserve"> </w:t>
            </w:r>
          </w:p>
        </w:tc>
        <w:tc>
          <w:tcPr>
            <w:tcW w:w="1268" w:type="dxa"/>
            <w:tcBorders>
              <w:top w:val="single" w:sz="6" w:space="0" w:color="000000"/>
              <w:left w:val="single" w:sz="6" w:space="0" w:color="000000"/>
              <w:bottom w:val="single" w:sz="6" w:space="0" w:color="000000"/>
              <w:right w:val="single" w:sz="6" w:space="0" w:color="000000"/>
            </w:tcBorders>
            <w:vAlign w:val="center"/>
          </w:tcPr>
          <w:p w14:paraId="1663438E" w14:textId="77777777" w:rsidR="00BA5F13" w:rsidRPr="00BA5F13" w:rsidRDefault="00BA5F13" w:rsidP="00BA5F13">
            <w:pPr>
              <w:spacing w:after="0" w:line="259" w:lineRule="auto"/>
              <w:ind w:left="0" w:right="0" w:firstLine="0"/>
              <w:jc w:val="left"/>
            </w:pPr>
            <w:r w:rsidRPr="00BA5F13">
              <w:rPr>
                <w:b/>
              </w:rPr>
              <w:t>92.840</w:t>
            </w:r>
            <w:r w:rsidRPr="00BA5F13">
              <w:t xml:space="preserve"> </w:t>
            </w:r>
          </w:p>
        </w:tc>
      </w:tr>
      <w:tr w:rsidR="00BA5F13" w:rsidRPr="00BA5F13" w14:paraId="53B4C199" w14:textId="77777777" w:rsidTr="004C09BE">
        <w:trPr>
          <w:trHeight w:val="285"/>
        </w:trPr>
        <w:tc>
          <w:tcPr>
            <w:tcW w:w="2615" w:type="dxa"/>
            <w:tcBorders>
              <w:top w:val="single" w:sz="6" w:space="0" w:color="000000"/>
              <w:left w:val="single" w:sz="6" w:space="0" w:color="000000"/>
              <w:bottom w:val="single" w:sz="6" w:space="0" w:color="000000"/>
              <w:right w:val="single" w:sz="6" w:space="0" w:color="000000"/>
            </w:tcBorders>
          </w:tcPr>
          <w:p w14:paraId="5BB0FA3E" w14:textId="77777777" w:rsidR="00BA5F13" w:rsidRPr="00BA5F13" w:rsidRDefault="00BA5F13" w:rsidP="00BA5F13">
            <w:pPr>
              <w:spacing w:after="0" w:line="259" w:lineRule="auto"/>
              <w:ind w:left="0" w:right="0" w:firstLine="0"/>
              <w:jc w:val="left"/>
            </w:pPr>
            <w:r w:rsidRPr="00BA5F13">
              <w:rPr>
                <w:b/>
              </w:rPr>
              <w:t>Funding</w:t>
            </w:r>
            <w:r w:rsidRPr="00BA5F13">
              <w:t xml:space="preserve"> </w:t>
            </w:r>
          </w:p>
        </w:tc>
        <w:tc>
          <w:tcPr>
            <w:tcW w:w="1229" w:type="dxa"/>
            <w:tcBorders>
              <w:top w:val="single" w:sz="6" w:space="0" w:color="000000"/>
              <w:left w:val="single" w:sz="6" w:space="0" w:color="000000"/>
              <w:bottom w:val="single" w:sz="6" w:space="0" w:color="000000"/>
              <w:right w:val="single" w:sz="6" w:space="0" w:color="000000"/>
            </w:tcBorders>
          </w:tcPr>
          <w:p w14:paraId="2F7CF577" w14:textId="77777777" w:rsidR="00BA5F13" w:rsidRPr="00BA5F13" w:rsidRDefault="00BA5F13" w:rsidP="00BA5F13">
            <w:pPr>
              <w:spacing w:after="0" w:line="259" w:lineRule="auto"/>
              <w:ind w:left="0" w:right="9"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67E1A102"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55EAAE34"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2729F0FC"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F0EC333"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4463323A"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2C8AA57A"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5DFAFAF5"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07A6758"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72DB4261"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tcPr>
          <w:p w14:paraId="608E71E8" w14:textId="77777777" w:rsidR="00BA5F13" w:rsidRPr="00BA5F13" w:rsidRDefault="00BA5F13" w:rsidP="00BA5F13">
            <w:pPr>
              <w:spacing w:after="0" w:line="259" w:lineRule="auto"/>
              <w:ind w:left="0" w:right="2" w:firstLine="0"/>
              <w:jc w:val="right"/>
            </w:pPr>
          </w:p>
        </w:tc>
      </w:tr>
      <w:tr w:rsidR="00BA5F13" w:rsidRPr="00BA5F13" w14:paraId="79FADAC2" w14:textId="77777777" w:rsidTr="004C09BE">
        <w:trPr>
          <w:trHeight w:val="285"/>
        </w:trPr>
        <w:tc>
          <w:tcPr>
            <w:tcW w:w="2615" w:type="dxa"/>
            <w:tcBorders>
              <w:top w:val="single" w:sz="6" w:space="0" w:color="000000"/>
              <w:left w:val="single" w:sz="6" w:space="0" w:color="000000"/>
              <w:bottom w:val="single" w:sz="6" w:space="0" w:color="000000"/>
              <w:right w:val="single" w:sz="6" w:space="0" w:color="000000"/>
            </w:tcBorders>
          </w:tcPr>
          <w:p w14:paraId="5873EF22" w14:textId="77777777" w:rsidR="00BA5F13" w:rsidRPr="00BA5F13" w:rsidRDefault="00BA5F13" w:rsidP="00BA5F13">
            <w:pPr>
              <w:spacing w:after="0" w:line="259" w:lineRule="auto"/>
              <w:ind w:left="0" w:right="0" w:firstLine="0"/>
              <w:jc w:val="left"/>
            </w:pPr>
            <w:r w:rsidRPr="00BA5F13">
              <w:t xml:space="preserve">Revenue Contributions </w:t>
            </w:r>
          </w:p>
        </w:tc>
        <w:tc>
          <w:tcPr>
            <w:tcW w:w="1229" w:type="dxa"/>
            <w:tcBorders>
              <w:top w:val="single" w:sz="6" w:space="0" w:color="000000"/>
              <w:left w:val="single" w:sz="6" w:space="0" w:color="000000"/>
              <w:bottom w:val="single" w:sz="6" w:space="0" w:color="000000"/>
              <w:right w:val="single" w:sz="6" w:space="0" w:color="000000"/>
            </w:tcBorders>
          </w:tcPr>
          <w:p w14:paraId="72A9E269" w14:textId="77777777" w:rsidR="00BA5F13" w:rsidRPr="00BA5F13" w:rsidRDefault="00BA5F13" w:rsidP="00BA5F13">
            <w:pPr>
              <w:spacing w:after="0" w:line="259" w:lineRule="auto"/>
              <w:ind w:left="0" w:right="79" w:firstLine="0"/>
              <w:jc w:val="right"/>
            </w:pPr>
            <w:r w:rsidRPr="00BA5F13">
              <w:t xml:space="preserve">2.500 </w:t>
            </w:r>
          </w:p>
        </w:tc>
        <w:tc>
          <w:tcPr>
            <w:tcW w:w="1229" w:type="dxa"/>
            <w:tcBorders>
              <w:top w:val="single" w:sz="6" w:space="0" w:color="000000"/>
              <w:left w:val="single" w:sz="6" w:space="0" w:color="000000"/>
              <w:bottom w:val="single" w:sz="6" w:space="0" w:color="000000"/>
              <w:right w:val="single" w:sz="6" w:space="0" w:color="000000"/>
            </w:tcBorders>
          </w:tcPr>
          <w:p w14:paraId="7A5FC808" w14:textId="77777777" w:rsidR="00BA5F13" w:rsidRPr="00BA5F13" w:rsidRDefault="00BA5F13" w:rsidP="00BA5F13">
            <w:pPr>
              <w:spacing w:after="0" w:line="259" w:lineRule="auto"/>
              <w:ind w:left="0" w:right="70" w:firstLine="0"/>
              <w:jc w:val="right"/>
            </w:pPr>
            <w:r w:rsidRPr="00BA5F13">
              <w:t xml:space="preserve">2.000 </w:t>
            </w:r>
          </w:p>
        </w:tc>
        <w:tc>
          <w:tcPr>
            <w:tcW w:w="1229" w:type="dxa"/>
            <w:tcBorders>
              <w:top w:val="single" w:sz="6" w:space="0" w:color="000000"/>
              <w:left w:val="single" w:sz="6" w:space="0" w:color="000000"/>
              <w:bottom w:val="single" w:sz="6" w:space="0" w:color="000000"/>
              <w:right w:val="single" w:sz="6" w:space="0" w:color="000000"/>
            </w:tcBorders>
          </w:tcPr>
          <w:p w14:paraId="4789DEB4" w14:textId="77777777" w:rsidR="00BA5F13" w:rsidRPr="00BA5F13" w:rsidRDefault="00BA5F13" w:rsidP="00BA5F13">
            <w:pPr>
              <w:spacing w:after="0" w:line="259" w:lineRule="auto"/>
              <w:ind w:left="0" w:right="70" w:firstLine="0"/>
              <w:jc w:val="right"/>
            </w:pPr>
            <w:r w:rsidRPr="00BA5F13">
              <w:t xml:space="preserve">3.000 </w:t>
            </w:r>
          </w:p>
        </w:tc>
        <w:tc>
          <w:tcPr>
            <w:tcW w:w="1229" w:type="dxa"/>
            <w:tcBorders>
              <w:top w:val="single" w:sz="6" w:space="0" w:color="000000"/>
              <w:left w:val="single" w:sz="6" w:space="0" w:color="000000"/>
              <w:bottom w:val="single" w:sz="6" w:space="0" w:color="000000"/>
              <w:right w:val="single" w:sz="6" w:space="0" w:color="000000"/>
            </w:tcBorders>
          </w:tcPr>
          <w:p w14:paraId="0F318CB7" w14:textId="77777777" w:rsidR="00BA5F13" w:rsidRPr="00BA5F13" w:rsidRDefault="00BA5F13" w:rsidP="00BA5F13">
            <w:pPr>
              <w:spacing w:after="0" w:line="259" w:lineRule="auto"/>
              <w:ind w:left="0" w:right="85" w:firstLine="0"/>
              <w:jc w:val="right"/>
            </w:pPr>
            <w:r w:rsidRPr="00BA5F13">
              <w:t xml:space="preserve">3.500 </w:t>
            </w:r>
          </w:p>
        </w:tc>
        <w:tc>
          <w:tcPr>
            <w:tcW w:w="1229" w:type="dxa"/>
            <w:tcBorders>
              <w:top w:val="single" w:sz="6" w:space="0" w:color="000000"/>
              <w:left w:val="single" w:sz="6" w:space="0" w:color="000000"/>
              <w:bottom w:val="single" w:sz="6" w:space="0" w:color="000000"/>
              <w:right w:val="single" w:sz="6" w:space="0" w:color="000000"/>
            </w:tcBorders>
          </w:tcPr>
          <w:p w14:paraId="7AEFFC7A" w14:textId="77777777" w:rsidR="00BA5F13" w:rsidRPr="00BA5F13" w:rsidRDefault="00BA5F13" w:rsidP="00BA5F13">
            <w:pPr>
              <w:spacing w:after="0" w:line="259" w:lineRule="auto"/>
              <w:ind w:left="0" w:right="70" w:firstLine="0"/>
              <w:jc w:val="right"/>
            </w:pPr>
            <w:r w:rsidRPr="00BA5F13">
              <w:t xml:space="preserve">4.000 </w:t>
            </w:r>
          </w:p>
        </w:tc>
        <w:tc>
          <w:tcPr>
            <w:tcW w:w="1165" w:type="dxa"/>
            <w:tcBorders>
              <w:top w:val="single" w:sz="6" w:space="0" w:color="000000"/>
              <w:left w:val="single" w:sz="6" w:space="0" w:color="000000"/>
              <w:bottom w:val="single" w:sz="6" w:space="0" w:color="000000"/>
              <w:right w:val="single" w:sz="6" w:space="0" w:color="000000"/>
            </w:tcBorders>
          </w:tcPr>
          <w:p w14:paraId="63B5D6C5" w14:textId="77777777" w:rsidR="00BA5F13" w:rsidRPr="00BA5F13" w:rsidRDefault="00BA5F13" w:rsidP="00BA5F13">
            <w:pPr>
              <w:spacing w:after="0" w:line="259" w:lineRule="auto"/>
              <w:ind w:left="0" w:right="70" w:firstLine="0"/>
              <w:jc w:val="right"/>
            </w:pPr>
            <w:r w:rsidRPr="00BA5F13">
              <w:t xml:space="preserve">4.000 </w:t>
            </w:r>
          </w:p>
        </w:tc>
        <w:tc>
          <w:tcPr>
            <w:tcW w:w="1165" w:type="dxa"/>
            <w:tcBorders>
              <w:top w:val="single" w:sz="6" w:space="0" w:color="000000"/>
              <w:left w:val="single" w:sz="6" w:space="0" w:color="000000"/>
              <w:bottom w:val="single" w:sz="6" w:space="0" w:color="000000"/>
              <w:right w:val="single" w:sz="6" w:space="0" w:color="000000"/>
            </w:tcBorders>
          </w:tcPr>
          <w:p w14:paraId="51FD268C" w14:textId="77777777" w:rsidR="00BA5F13" w:rsidRPr="00BA5F13" w:rsidRDefault="00BA5F13" w:rsidP="00BA5F13">
            <w:pPr>
              <w:spacing w:after="0" w:line="259" w:lineRule="auto"/>
              <w:ind w:left="0" w:right="70" w:firstLine="0"/>
              <w:jc w:val="right"/>
            </w:pPr>
            <w:r w:rsidRPr="00BA5F13">
              <w:t xml:space="preserve">4.000 </w:t>
            </w:r>
          </w:p>
        </w:tc>
        <w:tc>
          <w:tcPr>
            <w:tcW w:w="1174" w:type="dxa"/>
            <w:tcBorders>
              <w:top w:val="single" w:sz="6" w:space="0" w:color="000000"/>
              <w:left w:val="single" w:sz="6" w:space="0" w:color="000000"/>
              <w:bottom w:val="single" w:sz="6" w:space="0" w:color="000000"/>
              <w:right w:val="single" w:sz="6" w:space="0" w:color="000000"/>
            </w:tcBorders>
          </w:tcPr>
          <w:p w14:paraId="77BCA0AC" w14:textId="77777777" w:rsidR="00BA5F13" w:rsidRPr="00BA5F13" w:rsidRDefault="00BA5F13" w:rsidP="00BA5F13">
            <w:pPr>
              <w:spacing w:after="0" w:line="259" w:lineRule="auto"/>
              <w:ind w:left="0" w:right="79" w:firstLine="0"/>
              <w:jc w:val="right"/>
            </w:pPr>
            <w:r w:rsidRPr="00BA5F13">
              <w:t xml:space="preserve">4.000 </w:t>
            </w:r>
          </w:p>
        </w:tc>
        <w:tc>
          <w:tcPr>
            <w:tcW w:w="1165" w:type="dxa"/>
            <w:tcBorders>
              <w:top w:val="single" w:sz="6" w:space="0" w:color="000000"/>
              <w:left w:val="single" w:sz="6" w:space="0" w:color="000000"/>
              <w:bottom w:val="single" w:sz="6" w:space="0" w:color="000000"/>
              <w:right w:val="single" w:sz="6" w:space="0" w:color="000000"/>
            </w:tcBorders>
          </w:tcPr>
          <w:p w14:paraId="1A6CE232" w14:textId="77777777" w:rsidR="00BA5F13" w:rsidRPr="00BA5F13" w:rsidRDefault="00BA5F13" w:rsidP="00BA5F13">
            <w:pPr>
              <w:spacing w:after="0" w:line="259" w:lineRule="auto"/>
              <w:ind w:left="0" w:right="70" w:firstLine="0"/>
              <w:jc w:val="right"/>
            </w:pPr>
            <w:r w:rsidRPr="00BA5F13">
              <w:t xml:space="preserve">4.000 </w:t>
            </w:r>
          </w:p>
        </w:tc>
        <w:tc>
          <w:tcPr>
            <w:tcW w:w="1165" w:type="dxa"/>
            <w:tcBorders>
              <w:top w:val="single" w:sz="6" w:space="0" w:color="000000"/>
              <w:left w:val="single" w:sz="6" w:space="0" w:color="000000"/>
              <w:bottom w:val="single" w:sz="6" w:space="0" w:color="000000"/>
              <w:right w:val="single" w:sz="6" w:space="0" w:color="000000"/>
            </w:tcBorders>
          </w:tcPr>
          <w:p w14:paraId="5E2E4771" w14:textId="77777777" w:rsidR="00BA5F13" w:rsidRPr="00BA5F13" w:rsidRDefault="00BA5F13" w:rsidP="00BA5F13">
            <w:pPr>
              <w:spacing w:after="0" w:line="259" w:lineRule="auto"/>
              <w:ind w:left="0" w:right="70" w:firstLine="0"/>
              <w:jc w:val="right"/>
            </w:pPr>
            <w:r w:rsidRPr="00BA5F13">
              <w:t xml:space="preserve">4.000 </w:t>
            </w:r>
          </w:p>
        </w:tc>
        <w:tc>
          <w:tcPr>
            <w:tcW w:w="1268" w:type="dxa"/>
            <w:tcBorders>
              <w:top w:val="single" w:sz="6" w:space="0" w:color="000000"/>
              <w:left w:val="single" w:sz="6" w:space="0" w:color="000000"/>
              <w:bottom w:val="single" w:sz="6" w:space="0" w:color="000000"/>
              <w:right w:val="single" w:sz="6" w:space="0" w:color="000000"/>
            </w:tcBorders>
          </w:tcPr>
          <w:p w14:paraId="3077AB7E" w14:textId="77777777" w:rsidR="00BA5F13" w:rsidRPr="00BA5F13" w:rsidRDefault="00BA5F13" w:rsidP="00BA5F13">
            <w:pPr>
              <w:spacing w:after="0" w:line="259" w:lineRule="auto"/>
              <w:ind w:left="0" w:right="0" w:firstLine="0"/>
              <w:jc w:val="left"/>
            </w:pPr>
            <w:r w:rsidRPr="00BA5F13">
              <w:t xml:space="preserve">35.001 </w:t>
            </w:r>
          </w:p>
        </w:tc>
      </w:tr>
      <w:tr w:rsidR="00BA5F13" w:rsidRPr="00BA5F13" w14:paraId="464BE7A8" w14:textId="77777777" w:rsidTr="004C09BE">
        <w:trPr>
          <w:trHeight w:val="286"/>
        </w:trPr>
        <w:tc>
          <w:tcPr>
            <w:tcW w:w="2615" w:type="dxa"/>
            <w:tcBorders>
              <w:top w:val="single" w:sz="6" w:space="0" w:color="000000"/>
              <w:left w:val="single" w:sz="6" w:space="0" w:color="000000"/>
              <w:bottom w:val="single" w:sz="6" w:space="0" w:color="000000"/>
              <w:right w:val="single" w:sz="6" w:space="0" w:color="000000"/>
            </w:tcBorders>
          </w:tcPr>
          <w:p w14:paraId="27A74A73" w14:textId="77777777" w:rsidR="00BA5F13" w:rsidRPr="00BA5F13" w:rsidRDefault="00BA5F13" w:rsidP="00BA5F13">
            <w:pPr>
              <w:spacing w:after="0" w:line="259" w:lineRule="auto"/>
              <w:ind w:left="0" w:right="0" w:firstLine="0"/>
              <w:jc w:val="left"/>
            </w:pPr>
            <w:r w:rsidRPr="00BA5F13">
              <w:t xml:space="preserve">Capital Reserve </w:t>
            </w:r>
          </w:p>
        </w:tc>
        <w:tc>
          <w:tcPr>
            <w:tcW w:w="1229" w:type="dxa"/>
            <w:tcBorders>
              <w:top w:val="single" w:sz="6" w:space="0" w:color="000000"/>
              <w:left w:val="single" w:sz="6" w:space="0" w:color="000000"/>
              <w:bottom w:val="single" w:sz="6" w:space="0" w:color="000000"/>
              <w:right w:val="single" w:sz="6" w:space="0" w:color="000000"/>
            </w:tcBorders>
          </w:tcPr>
          <w:p w14:paraId="57DFEEEC" w14:textId="77777777" w:rsidR="00BA5F13" w:rsidRPr="00BA5F13" w:rsidRDefault="00BA5F13" w:rsidP="00BA5F13">
            <w:pPr>
              <w:spacing w:after="0" w:line="259" w:lineRule="auto"/>
              <w:ind w:left="0" w:right="79" w:firstLine="0"/>
              <w:jc w:val="right"/>
            </w:pPr>
            <w:r w:rsidRPr="00BA5F13">
              <w:t xml:space="preserve">7.696 </w:t>
            </w:r>
          </w:p>
        </w:tc>
        <w:tc>
          <w:tcPr>
            <w:tcW w:w="1229" w:type="dxa"/>
            <w:tcBorders>
              <w:top w:val="single" w:sz="6" w:space="0" w:color="000000"/>
              <w:left w:val="single" w:sz="6" w:space="0" w:color="000000"/>
              <w:bottom w:val="single" w:sz="6" w:space="0" w:color="000000"/>
              <w:right w:val="single" w:sz="6" w:space="0" w:color="000000"/>
            </w:tcBorders>
          </w:tcPr>
          <w:p w14:paraId="44DDC912" w14:textId="77777777" w:rsidR="00BA5F13" w:rsidRPr="00BA5F13" w:rsidRDefault="00BA5F13" w:rsidP="00BA5F13">
            <w:pPr>
              <w:spacing w:after="0" w:line="259" w:lineRule="auto"/>
              <w:ind w:left="0" w:right="0" w:firstLine="0"/>
              <w:jc w:val="left"/>
            </w:pPr>
            <w:r w:rsidRPr="00BA5F13">
              <w:t xml:space="preserve">11.102 </w:t>
            </w:r>
          </w:p>
        </w:tc>
        <w:tc>
          <w:tcPr>
            <w:tcW w:w="1229" w:type="dxa"/>
            <w:tcBorders>
              <w:top w:val="single" w:sz="6" w:space="0" w:color="000000"/>
              <w:left w:val="single" w:sz="6" w:space="0" w:color="000000"/>
              <w:bottom w:val="single" w:sz="6" w:space="0" w:color="000000"/>
              <w:right w:val="single" w:sz="6" w:space="0" w:color="000000"/>
            </w:tcBorders>
          </w:tcPr>
          <w:p w14:paraId="0B77A29D"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7A62A2B" w14:textId="77777777" w:rsidR="00BA5F13" w:rsidRPr="00BA5F13" w:rsidRDefault="00BA5F13" w:rsidP="00BA5F13">
            <w:pPr>
              <w:spacing w:after="0" w:line="259" w:lineRule="auto"/>
              <w:ind w:left="0" w:right="15"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0CAC71E4"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4E99E921"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019184C3"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469EE449"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58A8AE3E"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5A317124"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tcPr>
          <w:p w14:paraId="35CE4C25" w14:textId="77777777" w:rsidR="00BA5F13" w:rsidRPr="00BA5F13" w:rsidRDefault="00BA5F13" w:rsidP="00BA5F13">
            <w:pPr>
              <w:spacing w:after="0" w:line="259" w:lineRule="auto"/>
              <w:ind w:left="0" w:right="0" w:firstLine="0"/>
              <w:jc w:val="left"/>
            </w:pPr>
            <w:r w:rsidRPr="00BA5F13">
              <w:t xml:space="preserve">18.798 </w:t>
            </w:r>
          </w:p>
        </w:tc>
      </w:tr>
      <w:tr w:rsidR="00BA5F13" w:rsidRPr="00BA5F13" w14:paraId="7E0FCD25" w14:textId="77777777" w:rsidTr="004C09BE">
        <w:trPr>
          <w:trHeight w:val="525"/>
        </w:trPr>
        <w:tc>
          <w:tcPr>
            <w:tcW w:w="2615" w:type="dxa"/>
            <w:tcBorders>
              <w:top w:val="single" w:sz="6" w:space="0" w:color="000000"/>
              <w:left w:val="single" w:sz="6" w:space="0" w:color="000000"/>
              <w:bottom w:val="single" w:sz="6" w:space="0" w:color="000000"/>
              <w:right w:val="single" w:sz="6" w:space="0" w:color="000000"/>
            </w:tcBorders>
            <w:vAlign w:val="center"/>
          </w:tcPr>
          <w:p w14:paraId="6902E50E" w14:textId="77777777" w:rsidR="00BA5F13" w:rsidRPr="00BA5F13" w:rsidRDefault="00BA5F13" w:rsidP="00BA5F13">
            <w:pPr>
              <w:spacing w:after="0" w:line="259" w:lineRule="auto"/>
              <w:ind w:left="-668" w:right="0" w:firstLine="0"/>
              <w:jc w:val="left"/>
            </w:pPr>
            <w:r w:rsidRPr="00BA5F13">
              <w:lastRenderedPageBreak/>
              <w:t>Capital Receipts</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tcPr>
          <w:p w14:paraId="2F1A3FCD" w14:textId="77777777" w:rsidR="00BA5F13" w:rsidRPr="00BA5F13" w:rsidRDefault="00BA5F13" w:rsidP="00BA5F13">
            <w:pPr>
              <w:spacing w:after="0" w:line="259" w:lineRule="auto"/>
              <w:ind w:left="0" w:right="9"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1D0E5CAA" w14:textId="77777777" w:rsidR="00BA5F13" w:rsidRPr="00BA5F13" w:rsidRDefault="00BA5F13" w:rsidP="00BA5F13">
            <w:pPr>
              <w:spacing w:after="0" w:line="259" w:lineRule="auto"/>
              <w:ind w:left="0" w:right="1" w:firstLine="0"/>
              <w:jc w:val="right"/>
            </w:pPr>
          </w:p>
        </w:tc>
        <w:tc>
          <w:tcPr>
            <w:tcW w:w="1229" w:type="dxa"/>
            <w:tcBorders>
              <w:top w:val="single" w:sz="6" w:space="0" w:color="000000"/>
              <w:left w:val="single" w:sz="6" w:space="0" w:color="000000"/>
              <w:bottom w:val="single" w:sz="6" w:space="0" w:color="000000"/>
              <w:right w:val="single" w:sz="6" w:space="0" w:color="000000"/>
            </w:tcBorders>
          </w:tcPr>
          <w:p w14:paraId="4B059A48" w14:textId="77777777" w:rsidR="00BA5F13" w:rsidRPr="00BA5F13" w:rsidRDefault="00BA5F13" w:rsidP="00BA5F13">
            <w:pPr>
              <w:spacing w:after="0" w:line="259" w:lineRule="auto"/>
              <w:ind w:left="0" w:right="0" w:firstLine="0"/>
              <w:jc w:val="right"/>
            </w:pPr>
          </w:p>
        </w:tc>
        <w:tc>
          <w:tcPr>
            <w:tcW w:w="1229" w:type="dxa"/>
            <w:tcBorders>
              <w:top w:val="single" w:sz="6" w:space="0" w:color="000000"/>
              <w:left w:val="single" w:sz="6" w:space="0" w:color="000000"/>
              <w:bottom w:val="single" w:sz="6" w:space="0" w:color="000000"/>
              <w:right w:val="single" w:sz="6" w:space="0" w:color="000000"/>
            </w:tcBorders>
            <w:vAlign w:val="center"/>
          </w:tcPr>
          <w:p w14:paraId="30FCA2A9" w14:textId="77777777" w:rsidR="00BA5F13" w:rsidRPr="00BA5F13" w:rsidRDefault="00BA5F13" w:rsidP="00BA5F13">
            <w:pPr>
              <w:spacing w:after="0" w:line="259" w:lineRule="auto"/>
              <w:ind w:left="0" w:right="85" w:firstLine="0"/>
              <w:jc w:val="right"/>
            </w:pPr>
            <w:r w:rsidRPr="00BA5F13">
              <w:t>5.000</w:t>
            </w:r>
            <w:r w:rsidRPr="00BA5F13">
              <w:rPr>
                <w:b/>
              </w:rPr>
              <w:t xml:space="preserve"> </w:t>
            </w:r>
          </w:p>
        </w:tc>
        <w:tc>
          <w:tcPr>
            <w:tcW w:w="1229" w:type="dxa"/>
            <w:tcBorders>
              <w:top w:val="single" w:sz="6" w:space="0" w:color="000000"/>
              <w:left w:val="single" w:sz="6" w:space="0" w:color="000000"/>
              <w:bottom w:val="single" w:sz="6" w:space="0" w:color="000000"/>
              <w:right w:val="single" w:sz="6" w:space="0" w:color="000000"/>
            </w:tcBorders>
          </w:tcPr>
          <w:p w14:paraId="66F8F373"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77A07C9C"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62D953D9" w14:textId="77777777" w:rsidR="00BA5F13" w:rsidRPr="00BA5F13" w:rsidRDefault="00BA5F13" w:rsidP="00BA5F13">
            <w:pPr>
              <w:spacing w:after="0" w:line="259" w:lineRule="auto"/>
              <w:ind w:left="0" w:right="0" w:firstLine="0"/>
              <w:jc w:val="right"/>
            </w:pPr>
          </w:p>
        </w:tc>
        <w:tc>
          <w:tcPr>
            <w:tcW w:w="1174" w:type="dxa"/>
            <w:tcBorders>
              <w:top w:val="single" w:sz="6" w:space="0" w:color="000000"/>
              <w:left w:val="single" w:sz="6" w:space="0" w:color="000000"/>
              <w:bottom w:val="single" w:sz="6" w:space="0" w:color="000000"/>
              <w:right w:val="single" w:sz="6" w:space="0" w:color="000000"/>
            </w:tcBorders>
          </w:tcPr>
          <w:p w14:paraId="46728A51" w14:textId="77777777" w:rsidR="00BA5F13" w:rsidRPr="00BA5F13" w:rsidRDefault="00BA5F13" w:rsidP="00BA5F13">
            <w:pPr>
              <w:spacing w:after="0" w:line="259" w:lineRule="auto"/>
              <w:ind w:left="0" w:right="9"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33312124" w14:textId="77777777" w:rsidR="00BA5F13" w:rsidRPr="00BA5F13" w:rsidRDefault="00BA5F13" w:rsidP="00BA5F13">
            <w:pPr>
              <w:spacing w:after="0" w:line="259" w:lineRule="auto"/>
              <w:ind w:left="0" w:right="0" w:firstLine="0"/>
              <w:jc w:val="right"/>
            </w:pPr>
          </w:p>
        </w:tc>
        <w:tc>
          <w:tcPr>
            <w:tcW w:w="1165" w:type="dxa"/>
            <w:tcBorders>
              <w:top w:val="single" w:sz="6" w:space="0" w:color="000000"/>
              <w:left w:val="single" w:sz="6" w:space="0" w:color="000000"/>
              <w:bottom w:val="single" w:sz="6" w:space="0" w:color="000000"/>
              <w:right w:val="single" w:sz="6" w:space="0" w:color="000000"/>
            </w:tcBorders>
          </w:tcPr>
          <w:p w14:paraId="7ED12223" w14:textId="77777777" w:rsidR="00BA5F13" w:rsidRPr="00BA5F13" w:rsidRDefault="00BA5F13" w:rsidP="00BA5F13">
            <w:pPr>
              <w:spacing w:after="0" w:line="259" w:lineRule="auto"/>
              <w:ind w:left="0" w:right="0" w:firstLine="0"/>
              <w:jc w:val="right"/>
            </w:pPr>
          </w:p>
        </w:tc>
        <w:tc>
          <w:tcPr>
            <w:tcW w:w="1268" w:type="dxa"/>
            <w:tcBorders>
              <w:top w:val="single" w:sz="6" w:space="0" w:color="000000"/>
              <w:left w:val="single" w:sz="6" w:space="0" w:color="000000"/>
              <w:bottom w:val="single" w:sz="6" w:space="0" w:color="000000"/>
              <w:right w:val="single" w:sz="6" w:space="0" w:color="000000"/>
            </w:tcBorders>
            <w:vAlign w:val="center"/>
          </w:tcPr>
          <w:p w14:paraId="3817A488" w14:textId="77777777" w:rsidR="00BA5F13" w:rsidRPr="00BA5F13" w:rsidRDefault="00BA5F13" w:rsidP="00BA5F13">
            <w:pPr>
              <w:spacing w:after="0" w:line="259" w:lineRule="auto"/>
              <w:ind w:left="0" w:right="72" w:firstLine="0"/>
              <w:jc w:val="right"/>
            </w:pPr>
            <w:r w:rsidRPr="00BA5F13">
              <w:t>5.000</w:t>
            </w:r>
            <w:r w:rsidRPr="00BA5F13">
              <w:rPr>
                <w:b/>
              </w:rPr>
              <w:t xml:space="preserve"> </w:t>
            </w:r>
          </w:p>
        </w:tc>
      </w:tr>
      <w:tr w:rsidR="00BA5F13" w:rsidRPr="00BA5F13" w14:paraId="0487EDBC" w14:textId="77777777" w:rsidTr="004C09BE">
        <w:trPr>
          <w:trHeight w:val="525"/>
        </w:trPr>
        <w:tc>
          <w:tcPr>
            <w:tcW w:w="2615" w:type="dxa"/>
            <w:tcBorders>
              <w:top w:val="single" w:sz="6" w:space="0" w:color="000000"/>
              <w:left w:val="single" w:sz="6" w:space="0" w:color="000000"/>
              <w:bottom w:val="single" w:sz="6" w:space="0" w:color="000000"/>
              <w:right w:val="single" w:sz="6" w:space="0" w:color="000000"/>
            </w:tcBorders>
            <w:vAlign w:val="center"/>
          </w:tcPr>
          <w:p w14:paraId="3F3DF92E" w14:textId="77777777" w:rsidR="00BA5F13" w:rsidRPr="00BA5F13" w:rsidRDefault="00BA5F13" w:rsidP="00BA5F13">
            <w:pPr>
              <w:spacing w:after="0" w:line="259" w:lineRule="auto"/>
              <w:ind w:left="0" w:right="0" w:firstLine="0"/>
              <w:jc w:val="left"/>
            </w:pPr>
            <w:r w:rsidRPr="00BA5F13">
              <w:t xml:space="preserve">Grants </w:t>
            </w:r>
          </w:p>
        </w:tc>
        <w:tc>
          <w:tcPr>
            <w:tcW w:w="1229" w:type="dxa"/>
            <w:tcBorders>
              <w:top w:val="single" w:sz="6" w:space="0" w:color="000000"/>
              <w:left w:val="single" w:sz="6" w:space="0" w:color="000000"/>
              <w:bottom w:val="single" w:sz="6" w:space="0" w:color="000000"/>
              <w:right w:val="single" w:sz="6" w:space="0" w:color="000000"/>
            </w:tcBorders>
            <w:vAlign w:val="center"/>
          </w:tcPr>
          <w:p w14:paraId="478D338D" w14:textId="77777777" w:rsidR="00BA5F13" w:rsidRPr="00BA5F13" w:rsidRDefault="00BA5F13" w:rsidP="00BA5F13">
            <w:pPr>
              <w:spacing w:after="0" w:line="259" w:lineRule="auto"/>
              <w:ind w:left="0" w:right="0" w:firstLine="0"/>
              <w:jc w:val="left"/>
            </w:pPr>
          </w:p>
        </w:tc>
        <w:tc>
          <w:tcPr>
            <w:tcW w:w="1229" w:type="dxa"/>
            <w:tcBorders>
              <w:top w:val="single" w:sz="6" w:space="0" w:color="000000"/>
              <w:left w:val="single" w:sz="6" w:space="0" w:color="000000"/>
              <w:bottom w:val="single" w:sz="6" w:space="0" w:color="000000"/>
              <w:right w:val="single" w:sz="6" w:space="0" w:color="000000"/>
            </w:tcBorders>
            <w:vAlign w:val="center"/>
          </w:tcPr>
          <w:p w14:paraId="0EFF79E6" w14:textId="77777777" w:rsidR="00BA5F13" w:rsidRPr="00BA5F13" w:rsidRDefault="00BA5F13" w:rsidP="00BA5F13">
            <w:pPr>
              <w:spacing w:after="0" w:line="259" w:lineRule="auto"/>
              <w:ind w:left="0" w:right="0" w:firstLine="0"/>
              <w:jc w:val="left"/>
            </w:pPr>
            <w:r w:rsidRPr="00BA5F13">
              <w:t xml:space="preserve">1.000 </w:t>
            </w:r>
          </w:p>
        </w:tc>
        <w:tc>
          <w:tcPr>
            <w:tcW w:w="1229" w:type="dxa"/>
            <w:tcBorders>
              <w:top w:val="single" w:sz="6" w:space="0" w:color="000000"/>
              <w:left w:val="single" w:sz="6" w:space="0" w:color="000000"/>
              <w:bottom w:val="single" w:sz="6" w:space="0" w:color="000000"/>
              <w:right w:val="single" w:sz="6" w:space="0" w:color="000000"/>
            </w:tcBorders>
            <w:vAlign w:val="center"/>
          </w:tcPr>
          <w:p w14:paraId="79F41F94" w14:textId="77777777" w:rsidR="00BA5F13" w:rsidRPr="00BA5F13" w:rsidRDefault="00BA5F13" w:rsidP="00BA5F13">
            <w:pPr>
              <w:spacing w:after="0" w:line="259" w:lineRule="auto"/>
              <w:ind w:left="0" w:right="0" w:firstLine="0"/>
              <w:jc w:val="left"/>
            </w:pPr>
          </w:p>
        </w:tc>
        <w:tc>
          <w:tcPr>
            <w:tcW w:w="1229" w:type="dxa"/>
            <w:tcBorders>
              <w:top w:val="single" w:sz="6" w:space="0" w:color="000000"/>
              <w:left w:val="single" w:sz="6" w:space="0" w:color="000000"/>
              <w:bottom w:val="single" w:sz="6" w:space="0" w:color="000000"/>
              <w:right w:val="single" w:sz="6" w:space="0" w:color="000000"/>
            </w:tcBorders>
            <w:vAlign w:val="center"/>
          </w:tcPr>
          <w:p w14:paraId="256C655B" w14:textId="77777777" w:rsidR="00BA5F13" w:rsidRPr="00BA5F13" w:rsidRDefault="00BA5F13" w:rsidP="00BA5F13">
            <w:pPr>
              <w:spacing w:after="0" w:line="259" w:lineRule="auto"/>
              <w:ind w:left="0" w:right="0" w:firstLine="0"/>
              <w:jc w:val="left"/>
            </w:pPr>
          </w:p>
        </w:tc>
        <w:tc>
          <w:tcPr>
            <w:tcW w:w="1229" w:type="dxa"/>
            <w:tcBorders>
              <w:top w:val="single" w:sz="6" w:space="0" w:color="000000"/>
              <w:left w:val="single" w:sz="6" w:space="0" w:color="000000"/>
              <w:bottom w:val="single" w:sz="6" w:space="0" w:color="000000"/>
              <w:right w:val="single" w:sz="6" w:space="0" w:color="000000"/>
            </w:tcBorders>
            <w:vAlign w:val="center"/>
          </w:tcPr>
          <w:p w14:paraId="4A791FD0" w14:textId="77777777" w:rsidR="00BA5F13" w:rsidRPr="00BA5F13" w:rsidRDefault="00BA5F13" w:rsidP="00BA5F13">
            <w:pPr>
              <w:spacing w:after="0" w:line="259" w:lineRule="auto"/>
              <w:ind w:left="0" w:right="0" w:firstLine="0"/>
              <w:jc w:val="left"/>
            </w:pPr>
          </w:p>
        </w:tc>
        <w:tc>
          <w:tcPr>
            <w:tcW w:w="1165" w:type="dxa"/>
            <w:tcBorders>
              <w:top w:val="single" w:sz="6" w:space="0" w:color="000000"/>
              <w:left w:val="single" w:sz="6" w:space="0" w:color="000000"/>
              <w:bottom w:val="single" w:sz="6" w:space="0" w:color="000000"/>
              <w:right w:val="single" w:sz="6" w:space="0" w:color="000000"/>
            </w:tcBorders>
            <w:vAlign w:val="center"/>
          </w:tcPr>
          <w:p w14:paraId="23C63A8B" w14:textId="77777777" w:rsidR="00BA5F13" w:rsidRPr="00BA5F13" w:rsidRDefault="00BA5F13" w:rsidP="00BA5F13">
            <w:pPr>
              <w:spacing w:after="0" w:line="259" w:lineRule="auto"/>
              <w:ind w:left="0" w:right="0" w:firstLine="0"/>
              <w:jc w:val="left"/>
            </w:pPr>
          </w:p>
        </w:tc>
        <w:tc>
          <w:tcPr>
            <w:tcW w:w="1165" w:type="dxa"/>
            <w:tcBorders>
              <w:top w:val="single" w:sz="6" w:space="0" w:color="000000"/>
              <w:left w:val="single" w:sz="6" w:space="0" w:color="000000"/>
              <w:bottom w:val="single" w:sz="6" w:space="0" w:color="000000"/>
              <w:right w:val="single" w:sz="6" w:space="0" w:color="000000"/>
            </w:tcBorders>
            <w:vAlign w:val="center"/>
          </w:tcPr>
          <w:p w14:paraId="06C0A105" w14:textId="77777777" w:rsidR="00BA5F13" w:rsidRPr="00BA5F13" w:rsidRDefault="00BA5F13" w:rsidP="00BA5F13">
            <w:pPr>
              <w:spacing w:after="0" w:line="259" w:lineRule="auto"/>
              <w:ind w:left="0" w:right="0" w:firstLine="0"/>
              <w:jc w:val="left"/>
            </w:pPr>
          </w:p>
        </w:tc>
        <w:tc>
          <w:tcPr>
            <w:tcW w:w="1174" w:type="dxa"/>
            <w:tcBorders>
              <w:top w:val="single" w:sz="6" w:space="0" w:color="000000"/>
              <w:left w:val="single" w:sz="6" w:space="0" w:color="000000"/>
              <w:bottom w:val="single" w:sz="6" w:space="0" w:color="000000"/>
              <w:right w:val="single" w:sz="6" w:space="0" w:color="000000"/>
            </w:tcBorders>
            <w:vAlign w:val="center"/>
          </w:tcPr>
          <w:p w14:paraId="26EDEAF9" w14:textId="77777777" w:rsidR="00BA5F13" w:rsidRPr="00BA5F13" w:rsidRDefault="00BA5F13" w:rsidP="00BA5F13">
            <w:pPr>
              <w:spacing w:after="0" w:line="259" w:lineRule="auto"/>
              <w:ind w:left="0" w:right="0" w:firstLine="0"/>
              <w:jc w:val="left"/>
            </w:pPr>
          </w:p>
        </w:tc>
        <w:tc>
          <w:tcPr>
            <w:tcW w:w="1165" w:type="dxa"/>
            <w:tcBorders>
              <w:top w:val="single" w:sz="6" w:space="0" w:color="000000"/>
              <w:left w:val="single" w:sz="6" w:space="0" w:color="000000"/>
              <w:bottom w:val="single" w:sz="6" w:space="0" w:color="000000"/>
              <w:right w:val="single" w:sz="6" w:space="0" w:color="000000"/>
            </w:tcBorders>
            <w:vAlign w:val="center"/>
          </w:tcPr>
          <w:p w14:paraId="105C281A" w14:textId="77777777" w:rsidR="00BA5F13" w:rsidRPr="00BA5F13" w:rsidRDefault="00BA5F13" w:rsidP="00BA5F13">
            <w:pPr>
              <w:spacing w:after="0" w:line="259" w:lineRule="auto"/>
              <w:ind w:left="0" w:right="0" w:firstLine="0"/>
              <w:jc w:val="left"/>
            </w:pPr>
          </w:p>
        </w:tc>
        <w:tc>
          <w:tcPr>
            <w:tcW w:w="1165" w:type="dxa"/>
            <w:tcBorders>
              <w:top w:val="single" w:sz="6" w:space="0" w:color="000000"/>
              <w:left w:val="single" w:sz="6" w:space="0" w:color="000000"/>
              <w:bottom w:val="single" w:sz="6" w:space="0" w:color="000000"/>
              <w:right w:val="single" w:sz="6" w:space="0" w:color="000000"/>
            </w:tcBorders>
            <w:vAlign w:val="center"/>
          </w:tcPr>
          <w:p w14:paraId="3A7B3886" w14:textId="77777777" w:rsidR="00BA5F13" w:rsidRPr="00BA5F13" w:rsidRDefault="00BA5F13" w:rsidP="00BA5F13">
            <w:pPr>
              <w:spacing w:after="0" w:line="259" w:lineRule="auto"/>
              <w:ind w:left="0" w:right="0" w:firstLine="0"/>
              <w:jc w:val="left"/>
            </w:pPr>
          </w:p>
        </w:tc>
        <w:tc>
          <w:tcPr>
            <w:tcW w:w="1268" w:type="dxa"/>
            <w:tcBorders>
              <w:top w:val="single" w:sz="6" w:space="0" w:color="000000"/>
              <w:left w:val="single" w:sz="6" w:space="0" w:color="000000"/>
              <w:bottom w:val="single" w:sz="6" w:space="0" w:color="000000"/>
              <w:right w:val="single" w:sz="6" w:space="0" w:color="000000"/>
            </w:tcBorders>
            <w:vAlign w:val="center"/>
          </w:tcPr>
          <w:p w14:paraId="243446AC" w14:textId="77777777" w:rsidR="00BA5F13" w:rsidRPr="00BA5F13" w:rsidRDefault="00BA5F13" w:rsidP="00BA5F13">
            <w:pPr>
              <w:spacing w:after="0" w:line="259" w:lineRule="auto"/>
              <w:ind w:left="0" w:right="72" w:firstLine="0"/>
              <w:jc w:val="right"/>
            </w:pPr>
            <w:r w:rsidRPr="00BA5F13">
              <w:t xml:space="preserve">1.000 </w:t>
            </w:r>
          </w:p>
        </w:tc>
      </w:tr>
      <w:tr w:rsidR="00BA5F13" w:rsidRPr="00BA5F13" w14:paraId="73317AB3" w14:textId="77777777" w:rsidTr="004C09BE">
        <w:trPr>
          <w:trHeight w:val="513"/>
        </w:trPr>
        <w:tc>
          <w:tcPr>
            <w:tcW w:w="2615" w:type="dxa"/>
            <w:tcBorders>
              <w:top w:val="single" w:sz="6" w:space="0" w:color="000000"/>
              <w:left w:val="single" w:sz="6" w:space="0" w:color="000000"/>
              <w:bottom w:val="single" w:sz="6" w:space="0" w:color="000000"/>
              <w:right w:val="single" w:sz="6" w:space="0" w:color="000000"/>
            </w:tcBorders>
            <w:vAlign w:val="center"/>
          </w:tcPr>
          <w:p w14:paraId="6DB7F014" w14:textId="77777777" w:rsidR="00BA5F13" w:rsidRPr="00BA5F13" w:rsidRDefault="00BA5F13" w:rsidP="00BA5F13">
            <w:pPr>
              <w:spacing w:after="0" w:line="259" w:lineRule="auto"/>
              <w:ind w:left="0" w:right="0" w:firstLine="0"/>
              <w:jc w:val="left"/>
            </w:pPr>
            <w:r w:rsidRPr="00BA5F13">
              <w:t xml:space="preserve">Borrowing </w:t>
            </w:r>
          </w:p>
        </w:tc>
        <w:tc>
          <w:tcPr>
            <w:tcW w:w="1229" w:type="dxa"/>
            <w:tcBorders>
              <w:top w:val="single" w:sz="6" w:space="0" w:color="000000"/>
              <w:left w:val="single" w:sz="6" w:space="0" w:color="000000"/>
              <w:bottom w:val="single" w:sz="6" w:space="0" w:color="000000"/>
              <w:right w:val="single" w:sz="6" w:space="0" w:color="000000"/>
            </w:tcBorders>
            <w:vAlign w:val="center"/>
          </w:tcPr>
          <w:p w14:paraId="4482249A" w14:textId="77777777" w:rsidR="00BA5F13" w:rsidRPr="00BA5F13" w:rsidRDefault="00BA5F13" w:rsidP="00BA5F13">
            <w:pPr>
              <w:spacing w:after="0" w:line="259" w:lineRule="auto"/>
              <w:ind w:left="0" w:right="0" w:firstLine="0"/>
              <w:jc w:val="left"/>
            </w:pPr>
          </w:p>
        </w:tc>
        <w:tc>
          <w:tcPr>
            <w:tcW w:w="1229" w:type="dxa"/>
            <w:tcBorders>
              <w:top w:val="single" w:sz="6" w:space="0" w:color="000000"/>
              <w:left w:val="single" w:sz="6" w:space="0" w:color="000000"/>
              <w:bottom w:val="single" w:sz="6" w:space="0" w:color="000000"/>
              <w:right w:val="single" w:sz="6" w:space="0" w:color="000000"/>
            </w:tcBorders>
            <w:vAlign w:val="center"/>
          </w:tcPr>
          <w:p w14:paraId="4FC3132B" w14:textId="77777777" w:rsidR="00BA5F13" w:rsidRPr="00BA5F13" w:rsidRDefault="00BA5F13" w:rsidP="00BA5F13">
            <w:pPr>
              <w:spacing w:after="0" w:line="259" w:lineRule="auto"/>
              <w:ind w:left="0" w:right="0" w:firstLine="0"/>
              <w:jc w:val="left"/>
            </w:pPr>
            <w:r w:rsidRPr="00BA5F13">
              <w:t xml:space="preserve">6.157 </w:t>
            </w:r>
          </w:p>
        </w:tc>
        <w:tc>
          <w:tcPr>
            <w:tcW w:w="1229" w:type="dxa"/>
            <w:tcBorders>
              <w:top w:val="single" w:sz="6" w:space="0" w:color="000000"/>
              <w:left w:val="single" w:sz="6" w:space="0" w:color="000000"/>
              <w:bottom w:val="single" w:sz="6" w:space="0" w:color="000000"/>
              <w:right w:val="single" w:sz="6" w:space="0" w:color="000000"/>
            </w:tcBorders>
            <w:vAlign w:val="center"/>
          </w:tcPr>
          <w:p w14:paraId="09C32FB1" w14:textId="77777777" w:rsidR="00BA5F13" w:rsidRPr="00BA5F13" w:rsidRDefault="00BA5F13" w:rsidP="00BA5F13">
            <w:pPr>
              <w:spacing w:after="0" w:line="259" w:lineRule="auto"/>
              <w:ind w:left="0" w:right="0" w:firstLine="0"/>
            </w:pPr>
            <w:r w:rsidRPr="00BA5F13">
              <w:t xml:space="preserve">15.454 </w:t>
            </w:r>
          </w:p>
        </w:tc>
        <w:tc>
          <w:tcPr>
            <w:tcW w:w="1229" w:type="dxa"/>
            <w:tcBorders>
              <w:top w:val="single" w:sz="6" w:space="0" w:color="000000"/>
              <w:left w:val="single" w:sz="6" w:space="0" w:color="000000"/>
              <w:bottom w:val="single" w:sz="6" w:space="0" w:color="000000"/>
              <w:right w:val="single" w:sz="6" w:space="0" w:color="000000"/>
            </w:tcBorders>
            <w:vAlign w:val="center"/>
          </w:tcPr>
          <w:p w14:paraId="20094F54" w14:textId="77777777" w:rsidR="00BA5F13" w:rsidRPr="00BA5F13" w:rsidRDefault="00BA5F13" w:rsidP="00BA5F13">
            <w:pPr>
              <w:spacing w:after="0" w:line="259" w:lineRule="auto"/>
              <w:ind w:left="0" w:right="0" w:firstLine="0"/>
              <w:jc w:val="left"/>
            </w:pPr>
            <w:r w:rsidRPr="00BA5F13">
              <w:t xml:space="preserve">1.506 </w:t>
            </w:r>
          </w:p>
        </w:tc>
        <w:tc>
          <w:tcPr>
            <w:tcW w:w="1229" w:type="dxa"/>
            <w:tcBorders>
              <w:top w:val="single" w:sz="6" w:space="0" w:color="000000"/>
              <w:left w:val="single" w:sz="6" w:space="0" w:color="000000"/>
              <w:bottom w:val="single" w:sz="6" w:space="0" w:color="000000"/>
              <w:right w:val="single" w:sz="6" w:space="0" w:color="000000"/>
            </w:tcBorders>
            <w:vAlign w:val="center"/>
          </w:tcPr>
          <w:p w14:paraId="2034FB92" w14:textId="77777777" w:rsidR="00BA5F13" w:rsidRPr="00BA5F13" w:rsidRDefault="00BA5F13" w:rsidP="00BA5F13">
            <w:pPr>
              <w:spacing w:after="0" w:line="259" w:lineRule="auto"/>
              <w:ind w:left="0" w:right="0" w:firstLine="0"/>
              <w:jc w:val="left"/>
            </w:pPr>
            <w:r w:rsidRPr="00BA5F13">
              <w:t xml:space="preserve">9.924 </w:t>
            </w:r>
          </w:p>
        </w:tc>
        <w:tc>
          <w:tcPr>
            <w:tcW w:w="1165" w:type="dxa"/>
            <w:tcBorders>
              <w:top w:val="single" w:sz="6" w:space="0" w:color="000000"/>
              <w:left w:val="single" w:sz="6" w:space="0" w:color="000000"/>
              <w:bottom w:val="single" w:sz="6" w:space="0" w:color="000000"/>
              <w:right w:val="single" w:sz="6" w:space="0" w:color="000000"/>
            </w:tcBorders>
            <w:vAlign w:val="center"/>
          </w:tcPr>
          <w:p w14:paraId="2BA3D067" w14:textId="77777777" w:rsidR="00BA5F13" w:rsidRPr="00BA5F13" w:rsidRDefault="00BA5F13" w:rsidP="00BA5F13">
            <w:pPr>
              <w:spacing w:after="0" w:line="259" w:lineRule="auto"/>
              <w:ind w:left="0" w:right="0" w:firstLine="0"/>
              <w:jc w:val="left"/>
            </w:pPr>
          </w:p>
        </w:tc>
        <w:tc>
          <w:tcPr>
            <w:tcW w:w="1165" w:type="dxa"/>
            <w:tcBorders>
              <w:top w:val="single" w:sz="6" w:space="0" w:color="000000"/>
              <w:left w:val="single" w:sz="6" w:space="0" w:color="000000"/>
              <w:bottom w:val="single" w:sz="6" w:space="0" w:color="000000"/>
              <w:right w:val="single" w:sz="6" w:space="0" w:color="000000"/>
            </w:tcBorders>
            <w:vAlign w:val="center"/>
          </w:tcPr>
          <w:p w14:paraId="467EDA61" w14:textId="77777777" w:rsidR="00BA5F13" w:rsidRPr="00BA5F13" w:rsidRDefault="00BA5F13" w:rsidP="00BA5F13">
            <w:pPr>
              <w:spacing w:after="0" w:line="259" w:lineRule="auto"/>
              <w:ind w:left="0" w:right="0" w:firstLine="0"/>
              <w:jc w:val="left"/>
            </w:pPr>
          </w:p>
        </w:tc>
        <w:tc>
          <w:tcPr>
            <w:tcW w:w="1174" w:type="dxa"/>
            <w:tcBorders>
              <w:top w:val="single" w:sz="6" w:space="0" w:color="000000"/>
              <w:left w:val="single" w:sz="6" w:space="0" w:color="000000"/>
              <w:bottom w:val="single" w:sz="6" w:space="0" w:color="000000"/>
              <w:right w:val="single" w:sz="6" w:space="0" w:color="000000"/>
            </w:tcBorders>
            <w:vAlign w:val="center"/>
          </w:tcPr>
          <w:p w14:paraId="0B8CA8B6" w14:textId="77777777" w:rsidR="00BA5F13" w:rsidRPr="00BA5F13" w:rsidRDefault="00BA5F13" w:rsidP="00BA5F13">
            <w:pPr>
              <w:spacing w:after="0" w:line="259" w:lineRule="auto"/>
              <w:ind w:left="0" w:right="0" w:firstLine="0"/>
              <w:jc w:val="left"/>
            </w:pPr>
          </w:p>
        </w:tc>
        <w:tc>
          <w:tcPr>
            <w:tcW w:w="1165" w:type="dxa"/>
            <w:tcBorders>
              <w:top w:val="single" w:sz="6" w:space="0" w:color="000000"/>
              <w:left w:val="single" w:sz="6" w:space="0" w:color="000000"/>
              <w:bottom w:val="single" w:sz="6" w:space="0" w:color="000000"/>
              <w:right w:val="single" w:sz="6" w:space="0" w:color="000000"/>
            </w:tcBorders>
            <w:vAlign w:val="center"/>
          </w:tcPr>
          <w:p w14:paraId="2E31100E" w14:textId="77777777" w:rsidR="00BA5F13" w:rsidRPr="00BA5F13" w:rsidRDefault="00BA5F13" w:rsidP="00BA5F13">
            <w:pPr>
              <w:spacing w:after="0" w:line="259" w:lineRule="auto"/>
              <w:ind w:left="0" w:right="0" w:firstLine="0"/>
              <w:jc w:val="left"/>
            </w:pPr>
          </w:p>
        </w:tc>
        <w:tc>
          <w:tcPr>
            <w:tcW w:w="1165" w:type="dxa"/>
            <w:tcBorders>
              <w:top w:val="single" w:sz="6" w:space="0" w:color="000000"/>
              <w:left w:val="single" w:sz="6" w:space="0" w:color="000000"/>
              <w:bottom w:val="single" w:sz="6" w:space="0" w:color="000000"/>
              <w:right w:val="single" w:sz="6" w:space="0" w:color="000000"/>
            </w:tcBorders>
            <w:vAlign w:val="center"/>
          </w:tcPr>
          <w:p w14:paraId="2B41BCEF" w14:textId="77777777" w:rsidR="00BA5F13" w:rsidRPr="00BA5F13" w:rsidRDefault="00BA5F13" w:rsidP="00BA5F13">
            <w:pPr>
              <w:spacing w:after="0" w:line="259" w:lineRule="auto"/>
              <w:ind w:left="0" w:right="0" w:firstLine="0"/>
              <w:jc w:val="left"/>
            </w:pPr>
          </w:p>
        </w:tc>
        <w:tc>
          <w:tcPr>
            <w:tcW w:w="1268" w:type="dxa"/>
            <w:tcBorders>
              <w:top w:val="single" w:sz="6" w:space="0" w:color="000000"/>
              <w:left w:val="single" w:sz="6" w:space="0" w:color="000000"/>
              <w:bottom w:val="single" w:sz="6" w:space="0" w:color="000000"/>
              <w:right w:val="single" w:sz="6" w:space="0" w:color="000000"/>
            </w:tcBorders>
            <w:vAlign w:val="center"/>
          </w:tcPr>
          <w:p w14:paraId="13F9DA1E" w14:textId="77777777" w:rsidR="00BA5F13" w:rsidRPr="00BA5F13" w:rsidRDefault="00BA5F13" w:rsidP="00BA5F13">
            <w:pPr>
              <w:spacing w:after="0" w:line="259" w:lineRule="auto"/>
              <w:ind w:left="0" w:right="0" w:firstLine="0"/>
              <w:jc w:val="left"/>
            </w:pPr>
            <w:r w:rsidRPr="00BA5F13">
              <w:t xml:space="preserve">33.041 </w:t>
            </w:r>
          </w:p>
        </w:tc>
      </w:tr>
      <w:tr w:rsidR="00BA5F13" w:rsidRPr="00BA5F13" w14:paraId="2FC462C7" w14:textId="77777777" w:rsidTr="004C09BE">
        <w:trPr>
          <w:trHeight w:val="522"/>
        </w:trPr>
        <w:tc>
          <w:tcPr>
            <w:tcW w:w="261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4C3D2202" w14:textId="77777777" w:rsidR="00BA5F13" w:rsidRPr="00BA5F13" w:rsidRDefault="00BA5F13" w:rsidP="00BA5F13">
            <w:pPr>
              <w:spacing w:after="0" w:line="259" w:lineRule="auto"/>
              <w:ind w:left="0" w:right="0" w:firstLine="0"/>
              <w:jc w:val="left"/>
            </w:pPr>
            <w:r w:rsidRPr="00BA5F13">
              <w:rPr>
                <w:b/>
              </w:rPr>
              <w:t xml:space="preserve">Total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04E7FAA" w14:textId="77777777" w:rsidR="00BA5F13" w:rsidRPr="00BA5F13" w:rsidRDefault="00BA5F13" w:rsidP="00BA5F13">
            <w:pPr>
              <w:spacing w:after="0" w:line="259" w:lineRule="auto"/>
              <w:ind w:left="0" w:right="0" w:firstLine="0"/>
              <w:jc w:val="left"/>
            </w:pPr>
            <w:r w:rsidRPr="00BA5F13">
              <w:rPr>
                <w:b/>
              </w:rPr>
              <w:t xml:space="preserve">10.196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E848DE6" w14:textId="77777777" w:rsidR="00BA5F13" w:rsidRPr="00BA5F13" w:rsidRDefault="00BA5F13" w:rsidP="00BA5F13">
            <w:pPr>
              <w:spacing w:after="0" w:line="259" w:lineRule="auto"/>
              <w:ind w:left="0" w:right="0" w:firstLine="0"/>
            </w:pPr>
            <w:r w:rsidRPr="00BA5F13">
              <w:rPr>
                <w:b/>
              </w:rPr>
              <w:t xml:space="preserve">20.259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E449508" w14:textId="77777777" w:rsidR="00BA5F13" w:rsidRPr="00BA5F13" w:rsidRDefault="00BA5F13" w:rsidP="00BA5F13">
            <w:pPr>
              <w:spacing w:after="0" w:line="259" w:lineRule="auto"/>
              <w:ind w:left="0" w:right="0" w:firstLine="0"/>
            </w:pPr>
            <w:r w:rsidRPr="00BA5F13">
              <w:rPr>
                <w:b/>
              </w:rPr>
              <w:t xml:space="preserve">18.454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28164400" w14:textId="77777777" w:rsidR="00BA5F13" w:rsidRPr="00BA5F13" w:rsidRDefault="00BA5F13" w:rsidP="00BA5F13">
            <w:pPr>
              <w:spacing w:after="0" w:line="259" w:lineRule="auto"/>
              <w:ind w:left="0" w:right="0" w:firstLine="0"/>
            </w:pPr>
            <w:r w:rsidRPr="00BA5F13">
              <w:rPr>
                <w:b/>
              </w:rPr>
              <w:t xml:space="preserve">10.006 </w:t>
            </w:r>
          </w:p>
        </w:tc>
        <w:tc>
          <w:tcPr>
            <w:tcW w:w="122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93B83A5" w14:textId="77777777" w:rsidR="00BA5F13" w:rsidRPr="00BA5F13" w:rsidRDefault="00BA5F13" w:rsidP="00BA5F13">
            <w:pPr>
              <w:spacing w:after="0" w:line="259" w:lineRule="auto"/>
              <w:ind w:left="0" w:right="0" w:firstLine="0"/>
            </w:pPr>
            <w:r w:rsidRPr="00BA5F13">
              <w:rPr>
                <w:b/>
              </w:rPr>
              <w:t xml:space="preserve">13.924 </w:t>
            </w:r>
          </w:p>
        </w:tc>
        <w:tc>
          <w:tcPr>
            <w:tcW w:w="116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B36545D" w14:textId="77777777" w:rsidR="00BA5F13" w:rsidRPr="00BA5F13" w:rsidRDefault="00BA5F13" w:rsidP="00BA5F13">
            <w:pPr>
              <w:spacing w:after="0" w:line="259" w:lineRule="auto"/>
              <w:ind w:left="0" w:right="0" w:firstLine="0"/>
              <w:jc w:val="left"/>
            </w:pPr>
            <w:r w:rsidRPr="00BA5F13">
              <w:rPr>
                <w:b/>
              </w:rPr>
              <w:t xml:space="preserve">4.000 </w:t>
            </w:r>
          </w:p>
        </w:tc>
        <w:tc>
          <w:tcPr>
            <w:tcW w:w="116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E4F64B3" w14:textId="77777777" w:rsidR="00BA5F13" w:rsidRPr="00BA5F13" w:rsidRDefault="00BA5F13" w:rsidP="00BA5F13">
            <w:pPr>
              <w:spacing w:after="0" w:line="259" w:lineRule="auto"/>
              <w:ind w:left="0" w:right="0" w:firstLine="0"/>
              <w:jc w:val="left"/>
            </w:pPr>
            <w:r w:rsidRPr="00BA5F13">
              <w:rPr>
                <w:b/>
              </w:rPr>
              <w:t xml:space="preserve">4.000 </w:t>
            </w:r>
          </w:p>
        </w:tc>
        <w:tc>
          <w:tcPr>
            <w:tcW w:w="1174"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76D71D09" w14:textId="77777777" w:rsidR="00BA5F13" w:rsidRPr="00BA5F13" w:rsidRDefault="00BA5F13" w:rsidP="00BA5F13">
            <w:pPr>
              <w:spacing w:after="0" w:line="259" w:lineRule="auto"/>
              <w:ind w:left="0" w:right="0" w:firstLine="0"/>
              <w:jc w:val="left"/>
            </w:pPr>
            <w:r w:rsidRPr="00BA5F13">
              <w:rPr>
                <w:b/>
              </w:rPr>
              <w:t xml:space="preserve">4.000 </w:t>
            </w:r>
          </w:p>
        </w:tc>
        <w:tc>
          <w:tcPr>
            <w:tcW w:w="116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581E5C5" w14:textId="77777777" w:rsidR="00BA5F13" w:rsidRPr="00BA5F13" w:rsidRDefault="00BA5F13" w:rsidP="00BA5F13">
            <w:pPr>
              <w:spacing w:after="0" w:line="259" w:lineRule="auto"/>
              <w:ind w:left="0" w:right="0" w:firstLine="0"/>
              <w:jc w:val="left"/>
            </w:pPr>
            <w:r w:rsidRPr="00BA5F13">
              <w:rPr>
                <w:b/>
              </w:rPr>
              <w:t xml:space="preserve">4.000 </w:t>
            </w:r>
          </w:p>
        </w:tc>
        <w:tc>
          <w:tcPr>
            <w:tcW w:w="1165"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3588803" w14:textId="77777777" w:rsidR="00BA5F13" w:rsidRPr="00BA5F13" w:rsidRDefault="00BA5F13" w:rsidP="00BA5F13">
            <w:pPr>
              <w:spacing w:after="0" w:line="259" w:lineRule="auto"/>
              <w:ind w:left="0" w:right="0" w:firstLine="0"/>
              <w:jc w:val="left"/>
            </w:pPr>
            <w:r w:rsidRPr="00BA5F13">
              <w:rPr>
                <w:b/>
              </w:rPr>
              <w:t xml:space="preserve">4.000 </w:t>
            </w:r>
          </w:p>
        </w:tc>
        <w:tc>
          <w:tcPr>
            <w:tcW w:w="126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666C5F1" w14:textId="77777777" w:rsidR="00BA5F13" w:rsidRPr="00BA5F13" w:rsidRDefault="00BA5F13" w:rsidP="00BA5F13">
            <w:pPr>
              <w:spacing w:after="0" w:line="259" w:lineRule="auto"/>
              <w:ind w:left="0" w:right="0" w:firstLine="0"/>
              <w:jc w:val="left"/>
            </w:pPr>
            <w:r w:rsidRPr="00BA5F13">
              <w:rPr>
                <w:b/>
              </w:rPr>
              <w:t xml:space="preserve">92.840 </w:t>
            </w:r>
          </w:p>
        </w:tc>
      </w:tr>
    </w:tbl>
    <w:p w14:paraId="1C0E36ED" w14:textId="77777777" w:rsidR="00BA5F13" w:rsidRPr="00BA5F13" w:rsidRDefault="00BA5F13" w:rsidP="00BA5F13">
      <w:pPr>
        <w:spacing w:after="0" w:line="259" w:lineRule="auto"/>
        <w:ind w:left="0" w:right="0" w:firstLine="0"/>
      </w:pPr>
    </w:p>
    <w:p w14:paraId="552FB0A2" w14:textId="450FD49A" w:rsidR="00BA5F13" w:rsidRPr="002D54A3" w:rsidRDefault="00BA5F13" w:rsidP="002D54A3">
      <w:pPr>
        <w:spacing w:after="14"/>
        <w:ind w:left="0" w:right="0" w:firstLine="0"/>
        <w:rPr>
          <w:iCs/>
        </w:rPr>
      </w:pPr>
      <w:r w:rsidRPr="00BA5F13">
        <w:rPr>
          <w:iCs/>
        </w:rPr>
        <w:t>Note: The 2024/25 capital programme includes slippage from the 2023/24 capital programme approved by the Resources Committee during the year and the following additional slippage items due to timing delays: Fire Appliance £0.3m, Wylfa Prop £0.1m, Blackpool Dormitory £0.5m, Drill Tower replacements £0.6m and Estate Improvements £0.1m. These will be delivered in the first quarter of the 2024/25. The resulting revised capital programme for 2023/24 is £7.6m</w:t>
      </w:r>
      <w:r w:rsidRPr="002D54A3">
        <w:rPr>
          <w:iCs/>
        </w:rPr>
        <w:t>.</w:t>
      </w:r>
    </w:p>
    <w:p w14:paraId="652F00A8" w14:textId="77777777" w:rsidR="00BA5F13" w:rsidRDefault="00BA5F13">
      <w:pPr>
        <w:spacing w:after="160" w:line="278" w:lineRule="auto"/>
        <w:ind w:left="0" w:right="0" w:firstLine="0"/>
        <w:jc w:val="left"/>
        <w:rPr>
          <w:iCs/>
          <w:sz w:val="29"/>
        </w:rPr>
      </w:pPr>
      <w:r>
        <w:rPr>
          <w:iCs/>
          <w:sz w:val="29"/>
        </w:rPr>
        <w:br w:type="page"/>
      </w:r>
    </w:p>
    <w:p w14:paraId="120CB123" w14:textId="6B2B311E" w:rsidR="00BA5F13" w:rsidRPr="00BA5F13" w:rsidRDefault="00BA5F13" w:rsidP="00BA5F13">
      <w:pPr>
        <w:spacing w:after="0" w:line="407" w:lineRule="auto"/>
        <w:ind w:left="640" w:right="-15" w:hanging="640"/>
        <w:jc w:val="left"/>
      </w:pPr>
      <w:r w:rsidRPr="00BA5F13">
        <w:rPr>
          <w:b/>
          <w:sz w:val="29"/>
        </w:rPr>
        <w:lastRenderedPageBreak/>
        <w:t xml:space="preserve">Reserves Strategy  </w:t>
      </w:r>
    </w:p>
    <w:p w14:paraId="0BF44291" w14:textId="77777777" w:rsidR="00BA5F13" w:rsidRPr="00BA5F13" w:rsidRDefault="00BA5F13" w:rsidP="00BA5F13">
      <w:pPr>
        <w:keepNext/>
        <w:keepLines/>
        <w:spacing w:after="107" w:line="259" w:lineRule="auto"/>
        <w:ind w:left="-5" w:right="0"/>
        <w:jc w:val="left"/>
        <w:outlineLvl w:val="0"/>
        <w:rPr>
          <w:b/>
        </w:rPr>
      </w:pPr>
      <w:r w:rsidRPr="00BA5F13">
        <w:rPr>
          <w:b/>
        </w:rPr>
        <w:t xml:space="preserve">Background </w:t>
      </w:r>
    </w:p>
    <w:p w14:paraId="34AA66A7" w14:textId="77777777" w:rsidR="00BA5F13" w:rsidRPr="00BA5F13" w:rsidRDefault="00BA5F13" w:rsidP="00BA5F13">
      <w:pPr>
        <w:spacing w:after="226"/>
        <w:ind w:left="0" w:right="132" w:firstLine="0"/>
      </w:pPr>
      <w:r w:rsidRPr="00BA5F13">
        <w:t xml:space="preserve">The Local Government Act 1992 requires billing and precepting authorities to have regard to the level of reserves needed for meeting estimated future expenditure when calculating the budget requirement.  </w:t>
      </w:r>
    </w:p>
    <w:p w14:paraId="0830F46E" w14:textId="77777777" w:rsidR="00BA5F13" w:rsidRPr="00BA5F13" w:rsidRDefault="00BA5F13" w:rsidP="00BA5F13">
      <w:pPr>
        <w:spacing w:after="11"/>
        <w:ind w:left="0" w:right="132" w:firstLine="0"/>
      </w:pPr>
      <w:r w:rsidRPr="00BA5F13">
        <w:t xml:space="preserve">In addition to the above requirement, Section 25 of the Local Government Act </w:t>
      </w:r>
    </w:p>
    <w:p w14:paraId="591DD8AE" w14:textId="77777777" w:rsidR="00BA5F13" w:rsidRPr="00BA5F13" w:rsidRDefault="00BA5F13" w:rsidP="00BA5F13">
      <w:pPr>
        <w:spacing w:after="241"/>
        <w:ind w:left="0" w:right="282" w:firstLine="0"/>
      </w:pPr>
      <w:r w:rsidRPr="00BA5F13">
        <w:t xml:space="preserve">2003 also requires the Treasurer (the Director of Corporate Services for the Authority) to present a report assessing the adequacy of the unallocated reserves (referred to as the General Reserve) in the context of threats and demands together with corporate and financial risks facing the organisation. The Authority needs to balance the necessity for reserves against the cost to council taxpayers and arrive at a level that is both prudent and adequate for the current climate, but not excessive.  </w:t>
      </w:r>
    </w:p>
    <w:p w14:paraId="690E784E" w14:textId="77777777" w:rsidR="00BA5F13" w:rsidRPr="00BA5F13" w:rsidRDefault="00BA5F13" w:rsidP="00BA5F13">
      <w:pPr>
        <w:spacing w:after="258"/>
        <w:ind w:left="0" w:right="132" w:firstLine="0"/>
      </w:pPr>
      <w:r w:rsidRPr="00BA5F13">
        <w:t xml:space="preserve">The Reserves Strategy sets out the reserves held, their intended usage and the strategy for ensuring the funds are maintained at an appropriate level. Reserves are held for three main purposes:  </w:t>
      </w:r>
    </w:p>
    <w:p w14:paraId="6B2A3428" w14:textId="77777777" w:rsidR="00BA5F13" w:rsidRPr="00BA5F13" w:rsidRDefault="00BA5F13" w:rsidP="00BA5F13">
      <w:pPr>
        <w:spacing w:after="122"/>
        <w:ind w:left="0" w:right="132" w:firstLine="0"/>
      </w:pPr>
      <w:r w:rsidRPr="00BA5F13">
        <w:t xml:space="preserve">To cover unforeseen risks and expenditure that may be incurred outside of planned budgets – known as a general reserve. </w:t>
      </w:r>
    </w:p>
    <w:p w14:paraId="4D1FCAFB" w14:textId="77777777" w:rsidR="00BA5F13" w:rsidRPr="00BA5F13" w:rsidRDefault="00BA5F13" w:rsidP="00BA5F13">
      <w:pPr>
        <w:spacing w:after="122"/>
        <w:ind w:left="0" w:right="132" w:firstLine="0"/>
      </w:pPr>
      <w:r w:rsidRPr="00BA5F13">
        <w:t xml:space="preserve">To set-aside funds for specific purposes, known or predicted pressures, or future liabilities – known as earmarked reserves. </w:t>
      </w:r>
    </w:p>
    <w:p w14:paraId="57BAE11D" w14:textId="77777777" w:rsidR="00BA5F13" w:rsidRPr="00BA5F13" w:rsidRDefault="00BA5F13" w:rsidP="00BA5F13">
      <w:pPr>
        <w:spacing w:after="122"/>
        <w:ind w:left="0" w:right="132" w:firstLine="0"/>
      </w:pPr>
      <w:r w:rsidRPr="00BA5F13">
        <w:t xml:space="preserve">To hold capital receipts from sale of assets, the use of which is restricted under legislation to the purchase of new assets, or the repayment of debt.  </w:t>
      </w:r>
    </w:p>
    <w:p w14:paraId="375AFEE3" w14:textId="77777777" w:rsidR="00BA5F13" w:rsidRPr="00BA5F13" w:rsidRDefault="00BA5F13" w:rsidP="00BA5F13">
      <w:pPr>
        <w:spacing w:after="257"/>
        <w:ind w:left="0" w:right="132" w:firstLine="0"/>
      </w:pPr>
      <w:r w:rsidRPr="00BA5F13">
        <w:t xml:space="preserve">In addition to holding financial reserves, there are several safeguards in place that mitigate against the risk of local authorities over-committing themselves financially:  </w:t>
      </w:r>
    </w:p>
    <w:p w14:paraId="38F10CC7" w14:textId="77777777" w:rsidR="00BA5F13" w:rsidRPr="00BA5F13" w:rsidRDefault="00BA5F13" w:rsidP="00BA5F13">
      <w:pPr>
        <w:ind w:left="0" w:right="132" w:firstLine="0"/>
      </w:pPr>
      <w:r w:rsidRPr="00BA5F13">
        <w:t xml:space="preserve">There is a legal requirement to set a balanced budget.  </w:t>
      </w:r>
    </w:p>
    <w:p w14:paraId="1283FE9F" w14:textId="77777777" w:rsidR="00BA5F13" w:rsidRPr="00BA5F13" w:rsidRDefault="00BA5F13" w:rsidP="00BA5F13">
      <w:pPr>
        <w:spacing w:after="155"/>
        <w:ind w:left="0" w:right="132" w:firstLine="0"/>
      </w:pPr>
      <w:r w:rsidRPr="00BA5F13">
        <w:t>In accordance with the 1988 Local Government Finance Act, the Chief Finance Officer (</w:t>
      </w:r>
      <w:proofErr w:type="spellStart"/>
      <w:r w:rsidRPr="00BA5F13">
        <w:t>DoCS</w:t>
      </w:r>
      <w:proofErr w:type="spellEnd"/>
      <w:r w:rsidRPr="00BA5F13">
        <w:t xml:space="preserve"> for the Authority), must report if there is or is likely to be unlawful expenditure or an unbalanced budget. This would include situations where reserves have become seriously depleted, and it is forecast that expenditure will exceed resources. </w:t>
      </w:r>
    </w:p>
    <w:p w14:paraId="6CCBC272" w14:textId="77777777" w:rsidR="00BA5F13" w:rsidRPr="00BA5F13" w:rsidRDefault="00BA5F13" w:rsidP="00BA5F13">
      <w:pPr>
        <w:spacing w:after="122"/>
        <w:ind w:left="0" w:right="132" w:firstLine="0"/>
      </w:pPr>
      <w:r w:rsidRPr="00BA5F13">
        <w:t xml:space="preserve">The external auditor’s responsibility to review and report on financial standing.  </w:t>
      </w:r>
    </w:p>
    <w:p w14:paraId="5FEF8174" w14:textId="77777777" w:rsidR="00BA5F13" w:rsidRPr="00BA5F13" w:rsidRDefault="00BA5F13" w:rsidP="00BA5F13">
      <w:pPr>
        <w:spacing w:after="122"/>
        <w:ind w:left="0" w:right="132" w:firstLine="0"/>
      </w:pPr>
      <w:r w:rsidRPr="00BA5F13">
        <w:lastRenderedPageBreak/>
        <w:t xml:space="preserve">While it is primarily the responsibility of Members and the </w:t>
      </w:r>
      <w:proofErr w:type="spellStart"/>
      <w:r w:rsidRPr="00BA5F13">
        <w:t>DoCS</w:t>
      </w:r>
      <w:proofErr w:type="spellEnd"/>
      <w:r w:rsidRPr="00BA5F13">
        <w:t xml:space="preserve"> to maintain a sound financial position, the external auditors have a responsibility to review the arrangements in place to ensure that financial standing is soundly based. The work undertaken by external auditors will include a review of the level of reserves and the advice given to Members by the </w:t>
      </w:r>
      <w:proofErr w:type="spellStart"/>
      <w:r w:rsidRPr="00BA5F13">
        <w:t>DoCS</w:t>
      </w:r>
      <w:proofErr w:type="spellEnd"/>
      <w:r w:rsidRPr="00BA5F13">
        <w:t xml:space="preserve">.  </w:t>
      </w:r>
    </w:p>
    <w:p w14:paraId="02462AAB" w14:textId="77777777" w:rsidR="00BA5F13" w:rsidRPr="00BA5F13" w:rsidRDefault="00BA5F13" w:rsidP="00BA5F13">
      <w:pPr>
        <w:spacing w:after="211"/>
        <w:ind w:left="0" w:right="132" w:firstLine="0"/>
      </w:pPr>
      <w:r w:rsidRPr="00BA5F13">
        <w:t xml:space="preserve">The Fire and Rescue National Framework (May 2018), includes the requirement that fire authorities “should establish a policy on reserves and provisions in consultation with their Chief Finance Officer”. It also requires that “fire authorities should publish their Reserves Strategy, including details of the current and future planned levels, the purpose for which each reserve is held and how each reserve supports the </w:t>
      </w:r>
      <w:proofErr w:type="gramStart"/>
      <w:r w:rsidRPr="00BA5F13">
        <w:t>Medium Term</w:t>
      </w:r>
      <w:proofErr w:type="gramEnd"/>
      <w:r w:rsidRPr="00BA5F13">
        <w:t xml:space="preserve"> Financial Strategy (MTFS).  </w:t>
      </w:r>
    </w:p>
    <w:p w14:paraId="58DF8855" w14:textId="77777777" w:rsidR="00BA5F13" w:rsidRPr="00BA5F13" w:rsidRDefault="00BA5F13" w:rsidP="00BA5F13">
      <w:pPr>
        <w:keepNext/>
        <w:keepLines/>
        <w:spacing w:after="163" w:line="259" w:lineRule="auto"/>
        <w:ind w:left="0" w:right="0" w:firstLine="0"/>
        <w:jc w:val="left"/>
        <w:outlineLvl w:val="0"/>
        <w:rPr>
          <w:b/>
        </w:rPr>
      </w:pPr>
      <w:r w:rsidRPr="00BA5F13">
        <w:rPr>
          <w:b/>
        </w:rPr>
        <w:t xml:space="preserve">Determining the level of Reserves </w:t>
      </w:r>
    </w:p>
    <w:p w14:paraId="127E1726" w14:textId="77777777" w:rsidR="00BA5F13" w:rsidRPr="00BA5F13" w:rsidRDefault="00BA5F13" w:rsidP="00BA5F13">
      <w:pPr>
        <w:spacing w:after="242"/>
        <w:ind w:left="0" w:right="189" w:firstLine="0"/>
      </w:pPr>
      <w:r w:rsidRPr="00BA5F13">
        <w:t xml:space="preserve">There is no statutory guidance on the “right” level of reserves. Guidance from The Chartered Institute of Public Finance and Accountancy (CIPFA) confirms that each authority should make, on the advice of the Treasurer, their own judgement based on relevant local circumstances and the potential issues/risks that may occur across the medium term.  </w:t>
      </w:r>
    </w:p>
    <w:p w14:paraId="0A4AD75D" w14:textId="77777777" w:rsidR="00BA5F13" w:rsidRPr="00BA5F13" w:rsidRDefault="00BA5F13" w:rsidP="00BA5F13">
      <w:pPr>
        <w:spacing w:after="257"/>
        <w:ind w:left="0" w:right="189" w:firstLine="0"/>
      </w:pPr>
      <w:r w:rsidRPr="00BA5F13">
        <w:t xml:space="preserve">In determining an appropriate level of reserves for the Authority the range of risks and issues that should be considered will include the following:  </w:t>
      </w:r>
    </w:p>
    <w:p w14:paraId="7434B3FE" w14:textId="77777777" w:rsidR="00BA5F13" w:rsidRPr="00BA5F13" w:rsidRDefault="00BA5F13" w:rsidP="00BA5F13">
      <w:pPr>
        <w:spacing w:after="122"/>
        <w:ind w:left="0" w:right="217" w:firstLine="0"/>
      </w:pPr>
      <w:r w:rsidRPr="00BA5F13">
        <w:t xml:space="preserve">The possibility of additional savings being required in the future and the potential difficulty in delivering such savings. Future funding levels are unclear with only the 2024/25 funding known. If increased demands or commitments outstrip funding, savings will be required.  </w:t>
      </w:r>
    </w:p>
    <w:p w14:paraId="24EA13BB" w14:textId="77777777" w:rsidR="00BA5F13" w:rsidRPr="00BA5F13" w:rsidRDefault="00BA5F13" w:rsidP="00BA5F13">
      <w:pPr>
        <w:spacing w:after="122"/>
        <w:ind w:left="0" w:right="217" w:firstLine="0"/>
      </w:pPr>
      <w:r w:rsidRPr="00BA5F13">
        <w:t xml:space="preserve">The provision of cover for extraordinary or unforeseen events occurring. Given that the purpose of the fire and rescue service is to respond to emergency situations, there is always the potential for additional, unexpected, and unbudgeted expenditure to occur.  </w:t>
      </w:r>
    </w:p>
    <w:p w14:paraId="4303BB89" w14:textId="77777777" w:rsidR="00BA5F13" w:rsidRPr="00BA5F13" w:rsidRDefault="00BA5F13" w:rsidP="00BA5F13">
      <w:pPr>
        <w:spacing w:after="122"/>
        <w:ind w:left="0" w:right="217" w:firstLine="0"/>
      </w:pPr>
      <w:r w:rsidRPr="00BA5F13">
        <w:t xml:space="preserve">The level of self-insurance that is carried to minimise insurance premiums: potential insurance liabilities can vary significantly across financial years. The levels of liabilities are difficult to forecast accurately, and it would not be appropriate to budget for peak levels of expenditure on self-insured liabilities.  </w:t>
      </w:r>
    </w:p>
    <w:p w14:paraId="013E3F01" w14:textId="77777777" w:rsidR="00BA5F13" w:rsidRPr="00BA5F13" w:rsidRDefault="00BA5F13" w:rsidP="00BA5F13">
      <w:pPr>
        <w:spacing w:after="211"/>
        <w:ind w:left="0" w:right="217" w:firstLine="0"/>
      </w:pPr>
      <w:r w:rsidRPr="00BA5F13">
        <w:t xml:space="preserve">The commitments falling on future years because of capital plans and proposals to improve/develop the assets held by the Authority. Having reserves would mitigate the impact on the revenue budget of borrowing and/or the need to make further revenue contributions to capital and would support projects and programmes that will improve the assets held by the Authority.  </w:t>
      </w:r>
    </w:p>
    <w:p w14:paraId="4C03C0BC" w14:textId="77777777" w:rsidR="00BA5F13" w:rsidRPr="00BA5F13" w:rsidRDefault="00BA5F13" w:rsidP="00BA5F13">
      <w:pPr>
        <w:keepNext/>
        <w:keepLines/>
        <w:spacing w:after="107" w:line="259" w:lineRule="auto"/>
        <w:ind w:left="0" w:right="0" w:firstLine="0"/>
        <w:jc w:val="left"/>
        <w:outlineLvl w:val="0"/>
        <w:rPr>
          <w:b/>
        </w:rPr>
      </w:pPr>
      <w:r w:rsidRPr="00BA5F13">
        <w:rPr>
          <w:b/>
        </w:rPr>
        <w:lastRenderedPageBreak/>
        <w:t xml:space="preserve">Purpose and Use of each Reserve </w:t>
      </w:r>
    </w:p>
    <w:p w14:paraId="4705CF0E" w14:textId="77777777" w:rsidR="00BA5F13" w:rsidRPr="00BA5F13" w:rsidRDefault="00BA5F13" w:rsidP="00BA5F13">
      <w:pPr>
        <w:spacing w:after="242"/>
        <w:ind w:left="0" w:right="132" w:firstLine="0"/>
      </w:pPr>
      <w:r w:rsidRPr="00BA5F13">
        <w:t xml:space="preserve">The General Reserve and each Earmarked Reserve and its purpose is set out in Appendix 1; together these are known as the Usable Reserves. Each earmarked reserve has a set manager who is responsible for that reserve. Movement to and from reserves is in the first instance is approved by the Authority as part of the annual budget.  </w:t>
      </w:r>
    </w:p>
    <w:p w14:paraId="44E51A76" w14:textId="77777777" w:rsidR="00BA5F13" w:rsidRPr="00BA5F13" w:rsidRDefault="00BA5F13" w:rsidP="00BA5F13">
      <w:pPr>
        <w:spacing w:after="122"/>
        <w:ind w:left="0" w:right="132" w:firstLine="0"/>
      </w:pPr>
      <w:r w:rsidRPr="00BA5F13">
        <w:t xml:space="preserve">Reporting of the level of reserves and forecast outturn will be provided as part of the quarterly budget updates submitted to the Resources Committee. </w:t>
      </w:r>
    </w:p>
    <w:p w14:paraId="2434FA8F" w14:textId="77777777" w:rsidR="00BA5F13" w:rsidRPr="00BA5F13" w:rsidRDefault="00BA5F13" w:rsidP="00BA5F13">
      <w:pPr>
        <w:spacing w:after="226"/>
        <w:ind w:left="0" w:right="132" w:firstLine="0"/>
      </w:pPr>
      <w:r w:rsidRPr="00BA5F13">
        <w:t xml:space="preserve">The Authority holds a Public Finance Initiative (PFI) reserve for each of its PFI accommodation schemes. Annual PFI Grants exceed the annual unitary charge in the earlier years of the contract and are set aside to part fund the unitary charge in the later years of the contract when the unitary charge exceeds the PFI grants.  </w:t>
      </w:r>
    </w:p>
    <w:p w14:paraId="1F7D03B0" w14:textId="77777777" w:rsidR="00BA5F13" w:rsidRPr="00BA5F13" w:rsidRDefault="00BA5F13" w:rsidP="00BA5F13">
      <w:pPr>
        <w:spacing w:after="227"/>
        <w:ind w:left="0" w:right="132" w:firstLine="0"/>
      </w:pPr>
      <w:r w:rsidRPr="00BA5F13">
        <w:t xml:space="preserve">It is good practice for an Authority to review its reserves on a regular basis to consider each reserve. This is to ensure that the level that is both prudent and adequate for the current climate, but not excessive. A review has been undertaken based on historical analysis and the current environment and future resulting in a rationalisation of several reserves. This review resulted in transferring some elements of the insurance and pay reserves to the general reserve and Innovation Fund. </w:t>
      </w:r>
    </w:p>
    <w:p w14:paraId="1A033235" w14:textId="77777777" w:rsidR="00BA5F13" w:rsidRPr="00BA5F13" w:rsidRDefault="00BA5F13" w:rsidP="00BA5F13">
      <w:pPr>
        <w:keepNext/>
        <w:keepLines/>
        <w:spacing w:after="107" w:line="259" w:lineRule="auto"/>
        <w:ind w:left="0" w:right="0" w:firstLine="0"/>
        <w:jc w:val="left"/>
        <w:outlineLvl w:val="0"/>
        <w:rPr>
          <w:b/>
        </w:rPr>
      </w:pPr>
      <w:r w:rsidRPr="00BA5F13">
        <w:rPr>
          <w:b/>
        </w:rPr>
        <w:t xml:space="preserve">Overall Position </w:t>
      </w:r>
    </w:p>
    <w:p w14:paraId="07A9E8BC" w14:textId="77777777" w:rsidR="00BA5F13" w:rsidRPr="00BA5F13" w:rsidRDefault="00BA5F13" w:rsidP="00BA5F13">
      <w:pPr>
        <w:spacing w:after="122"/>
        <w:ind w:left="0" w:right="132" w:firstLine="0"/>
      </w:pPr>
      <w:r w:rsidRPr="00BA5F13">
        <w:t xml:space="preserve">13. The forecast balances on usable reserves is set out in Appendix 1. One of the key elements of the Reserves Strategy will be to use the earmarked Capital Reserves to support the Capital Strategy. The Capital Strategy anticipates utilising the capital reserve over the next two years.  </w:t>
      </w:r>
    </w:p>
    <w:p w14:paraId="1C5220BB" w14:textId="77777777" w:rsidR="00BA5F13" w:rsidRPr="00BA5F13" w:rsidRDefault="00BA5F13" w:rsidP="00BA5F13">
      <w:pPr>
        <w:spacing w:after="122"/>
        <w:ind w:left="640" w:right="252" w:hanging="640"/>
        <w:sectPr w:rsidR="00BA5F13" w:rsidRPr="00BA5F13" w:rsidSect="00110406">
          <w:pgSz w:w="16845" w:h="11910" w:orient="landscape"/>
          <w:pgMar w:top="1449" w:right="1449" w:bottom="1434" w:left="1442" w:header="720" w:footer="720" w:gutter="0"/>
          <w:cols w:space="720"/>
          <w:docGrid w:linePitch="326"/>
        </w:sectPr>
      </w:pPr>
    </w:p>
    <w:p w14:paraId="15BE74C3" w14:textId="159E0B7B" w:rsidR="00BA5F13" w:rsidRPr="00BA5F13" w:rsidRDefault="00BA5F13" w:rsidP="00BA5F13">
      <w:pPr>
        <w:spacing w:after="0" w:line="259" w:lineRule="auto"/>
        <w:ind w:left="-15" w:right="-15" w:firstLine="12445"/>
        <w:jc w:val="left"/>
      </w:pPr>
      <w:r w:rsidRPr="00BA5F13">
        <w:rPr>
          <w:b/>
          <w:sz w:val="29"/>
        </w:rPr>
        <w:lastRenderedPageBreak/>
        <w:t xml:space="preserve">Appendix Usable Reserves </w:t>
      </w:r>
    </w:p>
    <w:tbl>
      <w:tblPr>
        <w:tblStyle w:val="TableGrid"/>
        <w:tblW w:w="13947" w:type="dxa"/>
        <w:tblInd w:w="-8" w:type="dxa"/>
        <w:tblCellMar>
          <w:top w:w="0" w:type="dxa"/>
          <w:left w:w="112" w:type="dxa"/>
          <w:bottom w:w="0" w:type="dxa"/>
          <w:right w:w="31" w:type="dxa"/>
        </w:tblCellMar>
        <w:tblLook w:val="04A0" w:firstRow="1" w:lastRow="0" w:firstColumn="1" w:lastColumn="0" w:noHBand="0" w:noVBand="1"/>
      </w:tblPr>
      <w:tblGrid>
        <w:gridCol w:w="5524"/>
        <w:gridCol w:w="1337"/>
        <w:gridCol w:w="1471"/>
        <w:gridCol w:w="1516"/>
        <w:gridCol w:w="1366"/>
        <w:gridCol w:w="1367"/>
        <w:gridCol w:w="1366"/>
      </w:tblGrid>
      <w:tr w:rsidR="00BA5F13" w:rsidRPr="00BA5F13" w14:paraId="45C9F2FB" w14:textId="77777777" w:rsidTr="004C09BE">
        <w:trPr>
          <w:trHeight w:val="330"/>
        </w:trPr>
        <w:tc>
          <w:tcPr>
            <w:tcW w:w="5525" w:type="dxa"/>
            <w:tcBorders>
              <w:top w:val="nil"/>
              <w:left w:val="nil"/>
              <w:bottom w:val="single" w:sz="6" w:space="0" w:color="000000"/>
              <w:right w:val="single" w:sz="6" w:space="0" w:color="000000"/>
            </w:tcBorders>
          </w:tcPr>
          <w:p w14:paraId="4692139D" w14:textId="77777777" w:rsidR="00BA5F13" w:rsidRPr="00BA5F13" w:rsidRDefault="00BA5F13" w:rsidP="00BA5F13">
            <w:pPr>
              <w:spacing w:after="0" w:line="259" w:lineRule="auto"/>
              <w:ind w:left="0" w:right="0" w:firstLine="0"/>
              <w:jc w:val="left"/>
            </w:pPr>
            <w:r w:rsidRPr="00BA5F13">
              <w:rPr>
                <w:b/>
              </w:rPr>
              <w:t xml:space="preserve"> </w:t>
            </w:r>
          </w:p>
        </w:tc>
        <w:tc>
          <w:tcPr>
            <w:tcW w:w="1337" w:type="dxa"/>
            <w:tcBorders>
              <w:top w:val="single" w:sz="6" w:space="0" w:color="000000"/>
              <w:left w:val="single" w:sz="6" w:space="0" w:color="000000"/>
              <w:bottom w:val="single" w:sz="6" w:space="0" w:color="000000"/>
              <w:right w:val="single" w:sz="6" w:space="0" w:color="000000"/>
            </w:tcBorders>
          </w:tcPr>
          <w:p w14:paraId="6D073F68" w14:textId="77777777" w:rsidR="00BA5F13" w:rsidRPr="00BA5F13" w:rsidRDefault="00BA5F13" w:rsidP="00BA5F13">
            <w:pPr>
              <w:spacing w:after="0" w:line="259" w:lineRule="auto"/>
              <w:ind w:left="45" w:right="0" w:firstLine="0"/>
              <w:jc w:val="left"/>
            </w:pPr>
            <w:r w:rsidRPr="00BA5F13">
              <w:rPr>
                <w:b/>
              </w:rPr>
              <w:t xml:space="preserve">Forecast </w:t>
            </w:r>
          </w:p>
        </w:tc>
        <w:tc>
          <w:tcPr>
            <w:tcW w:w="1471" w:type="dxa"/>
            <w:tcBorders>
              <w:top w:val="single" w:sz="6" w:space="0" w:color="000000"/>
              <w:left w:val="single" w:sz="6" w:space="0" w:color="000000"/>
              <w:bottom w:val="single" w:sz="6" w:space="0" w:color="000000"/>
              <w:right w:val="single" w:sz="6" w:space="0" w:color="000000"/>
            </w:tcBorders>
          </w:tcPr>
          <w:p w14:paraId="4A185CA9" w14:textId="77777777" w:rsidR="00BA5F13" w:rsidRPr="00BA5F13" w:rsidRDefault="00BA5F13" w:rsidP="00BA5F13">
            <w:pPr>
              <w:spacing w:after="0" w:line="259" w:lineRule="auto"/>
              <w:ind w:left="60" w:right="0" w:firstLine="0"/>
              <w:jc w:val="left"/>
            </w:pPr>
            <w:r w:rsidRPr="00BA5F13">
              <w:rPr>
                <w:b/>
              </w:rPr>
              <w:t xml:space="preserve">Estimated </w:t>
            </w:r>
          </w:p>
        </w:tc>
        <w:tc>
          <w:tcPr>
            <w:tcW w:w="1516" w:type="dxa"/>
            <w:tcBorders>
              <w:top w:val="single" w:sz="6" w:space="0" w:color="000000"/>
              <w:left w:val="single" w:sz="6" w:space="0" w:color="000000"/>
              <w:bottom w:val="single" w:sz="6" w:space="0" w:color="000000"/>
              <w:right w:val="single" w:sz="6" w:space="0" w:color="000000"/>
            </w:tcBorders>
          </w:tcPr>
          <w:p w14:paraId="23A79E2E" w14:textId="77777777" w:rsidR="00BA5F13" w:rsidRPr="00BA5F13" w:rsidRDefault="00BA5F13" w:rsidP="00BA5F13">
            <w:pPr>
              <w:spacing w:after="0" w:line="259" w:lineRule="auto"/>
              <w:ind w:left="75" w:right="0" w:firstLine="0"/>
              <w:jc w:val="left"/>
            </w:pPr>
            <w:r w:rsidRPr="00BA5F13">
              <w:rPr>
                <w:b/>
              </w:rPr>
              <w:t xml:space="preserve">Estimated </w:t>
            </w:r>
          </w:p>
        </w:tc>
        <w:tc>
          <w:tcPr>
            <w:tcW w:w="1366" w:type="dxa"/>
            <w:tcBorders>
              <w:top w:val="single" w:sz="6" w:space="0" w:color="000000"/>
              <w:left w:val="single" w:sz="6" w:space="0" w:color="000000"/>
              <w:bottom w:val="single" w:sz="6" w:space="0" w:color="000000"/>
              <w:right w:val="single" w:sz="6" w:space="0" w:color="000000"/>
            </w:tcBorders>
          </w:tcPr>
          <w:p w14:paraId="706C1BEE" w14:textId="77777777" w:rsidR="00BA5F13" w:rsidRPr="00BA5F13" w:rsidRDefault="00BA5F13" w:rsidP="00BA5F13">
            <w:pPr>
              <w:spacing w:after="0" w:line="259" w:lineRule="auto"/>
              <w:ind w:left="0" w:right="0" w:firstLine="0"/>
            </w:pPr>
            <w:r w:rsidRPr="00BA5F13">
              <w:rPr>
                <w:b/>
              </w:rPr>
              <w:t xml:space="preserve">Estimated </w:t>
            </w:r>
          </w:p>
        </w:tc>
        <w:tc>
          <w:tcPr>
            <w:tcW w:w="1367" w:type="dxa"/>
            <w:tcBorders>
              <w:top w:val="single" w:sz="6" w:space="0" w:color="000000"/>
              <w:left w:val="single" w:sz="6" w:space="0" w:color="000000"/>
              <w:bottom w:val="single" w:sz="6" w:space="0" w:color="000000"/>
              <w:right w:val="single" w:sz="6" w:space="0" w:color="000000"/>
            </w:tcBorders>
          </w:tcPr>
          <w:p w14:paraId="7E7875C3" w14:textId="77777777" w:rsidR="00BA5F13" w:rsidRPr="00BA5F13" w:rsidRDefault="00BA5F13" w:rsidP="00BA5F13">
            <w:pPr>
              <w:spacing w:after="0" w:line="259" w:lineRule="auto"/>
              <w:ind w:left="0" w:right="0" w:firstLine="0"/>
            </w:pPr>
            <w:r w:rsidRPr="00BA5F13">
              <w:rPr>
                <w:b/>
              </w:rPr>
              <w:t xml:space="preserve">Estimated </w:t>
            </w:r>
          </w:p>
        </w:tc>
        <w:tc>
          <w:tcPr>
            <w:tcW w:w="1366" w:type="dxa"/>
            <w:tcBorders>
              <w:top w:val="single" w:sz="6" w:space="0" w:color="000000"/>
              <w:left w:val="single" w:sz="6" w:space="0" w:color="000000"/>
              <w:bottom w:val="single" w:sz="6" w:space="0" w:color="000000"/>
              <w:right w:val="single" w:sz="6" w:space="0" w:color="000000"/>
            </w:tcBorders>
          </w:tcPr>
          <w:p w14:paraId="6E4AC73A" w14:textId="77777777" w:rsidR="00BA5F13" w:rsidRPr="00BA5F13" w:rsidRDefault="00BA5F13" w:rsidP="00BA5F13">
            <w:pPr>
              <w:spacing w:after="0" w:line="259" w:lineRule="auto"/>
              <w:ind w:left="0" w:right="0" w:firstLine="0"/>
            </w:pPr>
            <w:r w:rsidRPr="00BA5F13">
              <w:rPr>
                <w:b/>
              </w:rPr>
              <w:t xml:space="preserve">Estimated </w:t>
            </w:r>
          </w:p>
        </w:tc>
      </w:tr>
      <w:tr w:rsidR="00BA5F13" w:rsidRPr="00BA5F13" w14:paraId="02C137A0" w14:textId="77777777" w:rsidTr="004C09BE">
        <w:trPr>
          <w:trHeight w:val="556"/>
        </w:trPr>
        <w:tc>
          <w:tcPr>
            <w:tcW w:w="5525" w:type="dxa"/>
            <w:tcBorders>
              <w:top w:val="single" w:sz="6" w:space="0" w:color="000000"/>
              <w:left w:val="single" w:sz="6" w:space="0" w:color="000000"/>
              <w:bottom w:val="single" w:sz="6" w:space="0" w:color="000000"/>
              <w:right w:val="single" w:sz="6" w:space="0" w:color="000000"/>
            </w:tcBorders>
            <w:vAlign w:val="center"/>
          </w:tcPr>
          <w:p w14:paraId="6F7B6B36" w14:textId="77777777" w:rsidR="00BA5F13" w:rsidRPr="00BA5F13" w:rsidRDefault="00BA5F13" w:rsidP="00BA5F13">
            <w:pPr>
              <w:spacing w:after="0" w:line="259" w:lineRule="auto"/>
              <w:ind w:left="0" w:right="0" w:firstLine="0"/>
              <w:jc w:val="left"/>
            </w:pPr>
            <w:r w:rsidRPr="00BA5F13">
              <w:rPr>
                <w:b/>
              </w:rPr>
              <w:t xml:space="preserve">Reserve - Purpose </w:t>
            </w:r>
          </w:p>
        </w:tc>
        <w:tc>
          <w:tcPr>
            <w:tcW w:w="1337" w:type="dxa"/>
            <w:tcBorders>
              <w:top w:val="single" w:sz="6" w:space="0" w:color="000000"/>
              <w:left w:val="single" w:sz="6" w:space="0" w:color="000000"/>
              <w:bottom w:val="single" w:sz="6" w:space="0" w:color="000000"/>
              <w:right w:val="single" w:sz="6" w:space="0" w:color="000000"/>
            </w:tcBorders>
          </w:tcPr>
          <w:p w14:paraId="6CCCE343" w14:textId="77777777" w:rsidR="00BA5F13" w:rsidRPr="00BA5F13" w:rsidRDefault="00BA5F13" w:rsidP="00BA5F13">
            <w:pPr>
              <w:spacing w:after="0" w:line="259" w:lineRule="auto"/>
              <w:ind w:left="376" w:right="0" w:hanging="255"/>
              <w:jc w:val="left"/>
            </w:pPr>
            <w:r w:rsidRPr="00BA5F13">
              <w:rPr>
                <w:b/>
              </w:rPr>
              <w:t xml:space="preserve">2023/24 £m </w:t>
            </w:r>
          </w:p>
        </w:tc>
        <w:tc>
          <w:tcPr>
            <w:tcW w:w="1471" w:type="dxa"/>
            <w:tcBorders>
              <w:top w:val="single" w:sz="6" w:space="0" w:color="000000"/>
              <w:left w:val="single" w:sz="6" w:space="0" w:color="000000"/>
              <w:bottom w:val="single" w:sz="6" w:space="0" w:color="000000"/>
              <w:right w:val="single" w:sz="6" w:space="0" w:color="000000"/>
            </w:tcBorders>
          </w:tcPr>
          <w:p w14:paraId="0B3769DE" w14:textId="77777777" w:rsidR="00BA5F13" w:rsidRPr="00BA5F13" w:rsidRDefault="00BA5F13" w:rsidP="00BA5F13">
            <w:pPr>
              <w:spacing w:after="0" w:line="259" w:lineRule="auto"/>
              <w:ind w:left="21" w:right="21" w:firstLine="0"/>
              <w:jc w:val="center"/>
            </w:pPr>
            <w:r w:rsidRPr="00BA5F13">
              <w:rPr>
                <w:b/>
              </w:rPr>
              <w:t xml:space="preserve">2024/25 £m </w:t>
            </w:r>
          </w:p>
        </w:tc>
        <w:tc>
          <w:tcPr>
            <w:tcW w:w="1516" w:type="dxa"/>
            <w:tcBorders>
              <w:top w:val="single" w:sz="6" w:space="0" w:color="000000"/>
              <w:left w:val="single" w:sz="6" w:space="0" w:color="000000"/>
              <w:bottom w:val="single" w:sz="6" w:space="0" w:color="000000"/>
              <w:right w:val="single" w:sz="6" w:space="0" w:color="000000"/>
            </w:tcBorders>
          </w:tcPr>
          <w:p w14:paraId="67E52C1C" w14:textId="77777777" w:rsidR="00BA5F13" w:rsidRPr="00BA5F13" w:rsidRDefault="00BA5F13" w:rsidP="00BA5F13">
            <w:pPr>
              <w:spacing w:after="0" w:line="259" w:lineRule="auto"/>
              <w:ind w:left="481" w:right="0" w:hanging="270"/>
              <w:jc w:val="left"/>
            </w:pPr>
            <w:r w:rsidRPr="00BA5F13">
              <w:rPr>
                <w:b/>
              </w:rPr>
              <w:t xml:space="preserve">2025/26 £m </w:t>
            </w:r>
          </w:p>
        </w:tc>
        <w:tc>
          <w:tcPr>
            <w:tcW w:w="1366" w:type="dxa"/>
            <w:tcBorders>
              <w:top w:val="single" w:sz="6" w:space="0" w:color="000000"/>
              <w:left w:val="single" w:sz="6" w:space="0" w:color="000000"/>
              <w:bottom w:val="single" w:sz="6" w:space="0" w:color="000000"/>
              <w:right w:val="single" w:sz="6" w:space="0" w:color="000000"/>
            </w:tcBorders>
          </w:tcPr>
          <w:p w14:paraId="5DDA0C6E" w14:textId="77777777" w:rsidR="00BA5F13" w:rsidRPr="00BA5F13" w:rsidRDefault="00BA5F13" w:rsidP="00BA5F13">
            <w:pPr>
              <w:spacing w:after="0" w:line="259" w:lineRule="auto"/>
              <w:ind w:left="406" w:right="0" w:hanging="271"/>
              <w:jc w:val="left"/>
            </w:pPr>
            <w:r w:rsidRPr="00BA5F13">
              <w:rPr>
                <w:b/>
              </w:rPr>
              <w:t xml:space="preserve">2026/27 £m </w:t>
            </w:r>
          </w:p>
        </w:tc>
        <w:tc>
          <w:tcPr>
            <w:tcW w:w="1367" w:type="dxa"/>
            <w:tcBorders>
              <w:top w:val="single" w:sz="6" w:space="0" w:color="000000"/>
              <w:left w:val="single" w:sz="6" w:space="0" w:color="000000"/>
              <w:bottom w:val="single" w:sz="6" w:space="0" w:color="000000"/>
              <w:right w:val="single" w:sz="6" w:space="0" w:color="000000"/>
            </w:tcBorders>
          </w:tcPr>
          <w:p w14:paraId="111BC522" w14:textId="77777777" w:rsidR="00BA5F13" w:rsidRPr="00BA5F13" w:rsidRDefault="00BA5F13" w:rsidP="00BA5F13">
            <w:pPr>
              <w:spacing w:after="0" w:line="259" w:lineRule="auto"/>
              <w:ind w:left="406" w:right="0" w:hanging="270"/>
              <w:jc w:val="left"/>
            </w:pPr>
            <w:r w:rsidRPr="00BA5F13">
              <w:rPr>
                <w:b/>
              </w:rPr>
              <w:t xml:space="preserve">2027/28 £m </w:t>
            </w:r>
          </w:p>
        </w:tc>
        <w:tc>
          <w:tcPr>
            <w:tcW w:w="1366" w:type="dxa"/>
            <w:tcBorders>
              <w:top w:val="single" w:sz="6" w:space="0" w:color="000000"/>
              <w:left w:val="single" w:sz="6" w:space="0" w:color="000000"/>
              <w:bottom w:val="single" w:sz="6" w:space="0" w:color="000000"/>
              <w:right w:val="single" w:sz="6" w:space="0" w:color="000000"/>
            </w:tcBorders>
          </w:tcPr>
          <w:p w14:paraId="716675C7" w14:textId="77777777" w:rsidR="00BA5F13" w:rsidRPr="00BA5F13" w:rsidRDefault="00BA5F13" w:rsidP="00BA5F13">
            <w:pPr>
              <w:spacing w:after="0" w:line="259" w:lineRule="auto"/>
              <w:ind w:left="405" w:right="0" w:hanging="270"/>
              <w:jc w:val="left"/>
            </w:pPr>
            <w:r w:rsidRPr="00BA5F13">
              <w:rPr>
                <w:b/>
              </w:rPr>
              <w:t xml:space="preserve">2028/29 £m </w:t>
            </w:r>
          </w:p>
        </w:tc>
      </w:tr>
      <w:tr w:rsidR="00BA5F13" w:rsidRPr="00BA5F13" w14:paraId="66F14BA6" w14:textId="77777777" w:rsidTr="004C09BE">
        <w:trPr>
          <w:trHeight w:val="315"/>
        </w:trPr>
        <w:tc>
          <w:tcPr>
            <w:tcW w:w="5525" w:type="dxa"/>
            <w:tcBorders>
              <w:top w:val="single" w:sz="6" w:space="0" w:color="000000"/>
              <w:left w:val="single" w:sz="6" w:space="0" w:color="000000"/>
              <w:bottom w:val="single" w:sz="6" w:space="0" w:color="000000"/>
              <w:right w:val="single" w:sz="6" w:space="0" w:color="000000"/>
            </w:tcBorders>
          </w:tcPr>
          <w:p w14:paraId="497FB0FE" w14:textId="77777777" w:rsidR="00BA5F13" w:rsidRPr="00BA5F13" w:rsidRDefault="00BA5F13" w:rsidP="00BA5F13">
            <w:pPr>
              <w:spacing w:after="0" w:line="259" w:lineRule="auto"/>
              <w:ind w:left="0" w:right="0" w:firstLine="0"/>
              <w:jc w:val="left"/>
            </w:pPr>
            <w:r w:rsidRPr="00BA5F13">
              <w:t xml:space="preserve">General Reserve - min level £3.75m </w:t>
            </w:r>
          </w:p>
        </w:tc>
        <w:tc>
          <w:tcPr>
            <w:tcW w:w="1337" w:type="dxa"/>
            <w:tcBorders>
              <w:top w:val="single" w:sz="6" w:space="0" w:color="000000"/>
              <w:left w:val="single" w:sz="6" w:space="0" w:color="000000"/>
              <w:bottom w:val="single" w:sz="6" w:space="0" w:color="000000"/>
              <w:right w:val="single" w:sz="6" w:space="0" w:color="000000"/>
            </w:tcBorders>
          </w:tcPr>
          <w:p w14:paraId="42B5DF23" w14:textId="77777777" w:rsidR="00BA5F13" w:rsidRPr="00BA5F13" w:rsidRDefault="00BA5F13" w:rsidP="00BA5F13">
            <w:pPr>
              <w:spacing w:after="0" w:line="259" w:lineRule="auto"/>
              <w:ind w:left="0" w:right="84" w:firstLine="0"/>
              <w:jc w:val="right"/>
            </w:pPr>
            <w:r w:rsidRPr="00BA5F13">
              <w:t xml:space="preserve">4.8 </w:t>
            </w:r>
          </w:p>
        </w:tc>
        <w:tc>
          <w:tcPr>
            <w:tcW w:w="1471" w:type="dxa"/>
            <w:tcBorders>
              <w:top w:val="single" w:sz="6" w:space="0" w:color="000000"/>
              <w:left w:val="single" w:sz="6" w:space="0" w:color="000000"/>
              <w:bottom w:val="single" w:sz="6" w:space="0" w:color="000000"/>
              <w:right w:val="single" w:sz="6" w:space="0" w:color="000000"/>
            </w:tcBorders>
          </w:tcPr>
          <w:p w14:paraId="563E0A8B" w14:textId="77777777" w:rsidR="00BA5F13" w:rsidRPr="00BA5F13" w:rsidRDefault="00BA5F13" w:rsidP="00BA5F13">
            <w:pPr>
              <w:spacing w:after="0" w:line="259" w:lineRule="auto"/>
              <w:ind w:left="0" w:right="69" w:firstLine="0"/>
              <w:jc w:val="right"/>
            </w:pPr>
            <w:r w:rsidRPr="00BA5F13">
              <w:t xml:space="preserve">4.9 </w:t>
            </w:r>
          </w:p>
        </w:tc>
        <w:tc>
          <w:tcPr>
            <w:tcW w:w="1516" w:type="dxa"/>
            <w:tcBorders>
              <w:top w:val="single" w:sz="6" w:space="0" w:color="000000"/>
              <w:left w:val="single" w:sz="6" w:space="0" w:color="000000"/>
              <w:bottom w:val="single" w:sz="6" w:space="0" w:color="000000"/>
              <w:right w:val="single" w:sz="6" w:space="0" w:color="000000"/>
            </w:tcBorders>
          </w:tcPr>
          <w:p w14:paraId="2527659E" w14:textId="77777777" w:rsidR="00BA5F13" w:rsidRPr="00BA5F13" w:rsidRDefault="00BA5F13" w:rsidP="00BA5F13">
            <w:pPr>
              <w:spacing w:after="0" w:line="259" w:lineRule="auto"/>
              <w:ind w:left="0" w:right="69" w:firstLine="0"/>
              <w:jc w:val="right"/>
            </w:pPr>
            <w:r w:rsidRPr="00BA5F13">
              <w:t xml:space="preserve">5.1 </w:t>
            </w:r>
          </w:p>
        </w:tc>
        <w:tc>
          <w:tcPr>
            <w:tcW w:w="1366" w:type="dxa"/>
            <w:tcBorders>
              <w:top w:val="single" w:sz="6" w:space="0" w:color="000000"/>
              <w:left w:val="single" w:sz="6" w:space="0" w:color="000000"/>
              <w:bottom w:val="single" w:sz="6" w:space="0" w:color="000000"/>
              <w:right w:val="single" w:sz="6" w:space="0" w:color="000000"/>
            </w:tcBorders>
          </w:tcPr>
          <w:p w14:paraId="7372202F" w14:textId="77777777" w:rsidR="00BA5F13" w:rsidRPr="00BA5F13" w:rsidRDefault="00BA5F13" w:rsidP="00BA5F13">
            <w:pPr>
              <w:spacing w:after="0" w:line="259" w:lineRule="auto"/>
              <w:ind w:left="0" w:right="69" w:firstLine="0"/>
              <w:jc w:val="right"/>
            </w:pPr>
            <w:r w:rsidRPr="00BA5F13">
              <w:t xml:space="preserve">4.8 </w:t>
            </w:r>
          </w:p>
        </w:tc>
        <w:tc>
          <w:tcPr>
            <w:tcW w:w="1367" w:type="dxa"/>
            <w:tcBorders>
              <w:top w:val="single" w:sz="6" w:space="0" w:color="000000"/>
              <w:left w:val="single" w:sz="6" w:space="0" w:color="000000"/>
              <w:bottom w:val="single" w:sz="6" w:space="0" w:color="000000"/>
              <w:right w:val="single" w:sz="6" w:space="0" w:color="000000"/>
            </w:tcBorders>
          </w:tcPr>
          <w:p w14:paraId="7C499758" w14:textId="77777777" w:rsidR="00BA5F13" w:rsidRPr="00BA5F13" w:rsidRDefault="00BA5F13" w:rsidP="00BA5F13">
            <w:pPr>
              <w:spacing w:after="0" w:line="259" w:lineRule="auto"/>
              <w:ind w:left="0" w:right="69" w:firstLine="0"/>
              <w:jc w:val="right"/>
            </w:pPr>
            <w:r w:rsidRPr="00BA5F13">
              <w:t xml:space="preserve">4.9 </w:t>
            </w:r>
          </w:p>
        </w:tc>
        <w:tc>
          <w:tcPr>
            <w:tcW w:w="1366" w:type="dxa"/>
            <w:tcBorders>
              <w:top w:val="single" w:sz="6" w:space="0" w:color="000000"/>
              <w:left w:val="single" w:sz="6" w:space="0" w:color="000000"/>
              <w:bottom w:val="single" w:sz="6" w:space="0" w:color="000000"/>
              <w:right w:val="single" w:sz="6" w:space="0" w:color="000000"/>
            </w:tcBorders>
          </w:tcPr>
          <w:p w14:paraId="2E3FF6F1" w14:textId="77777777" w:rsidR="00BA5F13" w:rsidRPr="00BA5F13" w:rsidRDefault="00BA5F13" w:rsidP="00BA5F13">
            <w:pPr>
              <w:spacing w:after="0" w:line="259" w:lineRule="auto"/>
              <w:ind w:left="0" w:right="69" w:firstLine="0"/>
              <w:jc w:val="right"/>
            </w:pPr>
            <w:r w:rsidRPr="00BA5F13">
              <w:t xml:space="preserve">4.9 </w:t>
            </w:r>
          </w:p>
        </w:tc>
      </w:tr>
      <w:tr w:rsidR="00BA5F13" w:rsidRPr="00BA5F13" w14:paraId="45B6D556" w14:textId="77777777" w:rsidTr="004C09BE">
        <w:trPr>
          <w:trHeight w:val="315"/>
        </w:trPr>
        <w:tc>
          <w:tcPr>
            <w:tcW w:w="5525" w:type="dxa"/>
            <w:tcBorders>
              <w:top w:val="single" w:sz="6" w:space="0" w:color="000000"/>
              <w:left w:val="single" w:sz="6" w:space="0" w:color="000000"/>
              <w:bottom w:val="single" w:sz="6" w:space="0" w:color="000000"/>
              <w:right w:val="single" w:sz="6" w:space="0" w:color="000000"/>
            </w:tcBorders>
          </w:tcPr>
          <w:p w14:paraId="51EFFFD0" w14:textId="77777777" w:rsidR="00BA5F13" w:rsidRPr="00BA5F13" w:rsidRDefault="00BA5F13" w:rsidP="00BA5F13">
            <w:pPr>
              <w:spacing w:after="0" w:line="259" w:lineRule="auto"/>
              <w:ind w:left="0" w:right="0" w:firstLine="0"/>
              <w:jc w:val="left"/>
            </w:pPr>
            <w:r w:rsidRPr="00BA5F13">
              <w:rPr>
                <w:b/>
              </w:rPr>
              <w:t xml:space="preserve">Earmarked Reserves </w:t>
            </w:r>
          </w:p>
        </w:tc>
        <w:tc>
          <w:tcPr>
            <w:tcW w:w="1337" w:type="dxa"/>
            <w:tcBorders>
              <w:top w:val="single" w:sz="6" w:space="0" w:color="000000"/>
              <w:left w:val="single" w:sz="6" w:space="0" w:color="000000"/>
              <w:bottom w:val="single" w:sz="6" w:space="0" w:color="000000"/>
              <w:right w:val="single" w:sz="6" w:space="0" w:color="000000"/>
            </w:tcBorders>
          </w:tcPr>
          <w:p w14:paraId="7F35A69A" w14:textId="77777777" w:rsidR="00BA5F13" w:rsidRPr="00BA5F13" w:rsidRDefault="00BA5F13" w:rsidP="00BA5F13">
            <w:pPr>
              <w:spacing w:after="0" w:line="259" w:lineRule="auto"/>
              <w:ind w:left="0" w:right="0" w:firstLine="0"/>
              <w:jc w:val="left"/>
            </w:pPr>
            <w:r w:rsidRPr="00BA5F13">
              <w:rPr>
                <w:b/>
              </w:rPr>
              <w:t xml:space="preserve"> </w:t>
            </w:r>
          </w:p>
        </w:tc>
        <w:tc>
          <w:tcPr>
            <w:tcW w:w="1471" w:type="dxa"/>
            <w:tcBorders>
              <w:top w:val="single" w:sz="6" w:space="0" w:color="000000"/>
              <w:left w:val="single" w:sz="6" w:space="0" w:color="000000"/>
              <w:bottom w:val="single" w:sz="6" w:space="0" w:color="000000"/>
              <w:right w:val="single" w:sz="6" w:space="0" w:color="000000"/>
            </w:tcBorders>
          </w:tcPr>
          <w:p w14:paraId="48454C32" w14:textId="77777777" w:rsidR="00BA5F13" w:rsidRPr="00BA5F13" w:rsidRDefault="00BA5F13" w:rsidP="00BA5F13">
            <w:pPr>
              <w:spacing w:after="0" w:line="259" w:lineRule="auto"/>
              <w:ind w:left="0" w:right="0" w:firstLine="0"/>
              <w:jc w:val="left"/>
            </w:pPr>
            <w:r w:rsidRPr="00BA5F13">
              <w:rPr>
                <w:b/>
              </w:rPr>
              <w:t xml:space="preserve"> </w:t>
            </w:r>
          </w:p>
        </w:tc>
        <w:tc>
          <w:tcPr>
            <w:tcW w:w="1516" w:type="dxa"/>
            <w:tcBorders>
              <w:top w:val="single" w:sz="6" w:space="0" w:color="000000"/>
              <w:left w:val="single" w:sz="6" w:space="0" w:color="000000"/>
              <w:bottom w:val="single" w:sz="6" w:space="0" w:color="000000"/>
              <w:right w:val="single" w:sz="6" w:space="0" w:color="000000"/>
            </w:tcBorders>
          </w:tcPr>
          <w:p w14:paraId="2588E385" w14:textId="77777777" w:rsidR="00BA5F13" w:rsidRPr="00BA5F13" w:rsidRDefault="00BA5F13" w:rsidP="00BA5F13">
            <w:pPr>
              <w:spacing w:after="0" w:line="259" w:lineRule="auto"/>
              <w:ind w:left="0" w:right="0" w:firstLine="0"/>
              <w:jc w:val="left"/>
            </w:pPr>
            <w:r w:rsidRPr="00BA5F13">
              <w:rPr>
                <w:rFonts w:ascii="Times New Roman" w:eastAsia="Times New Roman" w:hAnsi="Times New Roman" w:cs="Times New Roman"/>
                <w:sz w:val="20"/>
              </w:rPr>
              <w:t xml:space="preserve"> </w:t>
            </w:r>
          </w:p>
        </w:tc>
        <w:tc>
          <w:tcPr>
            <w:tcW w:w="1366" w:type="dxa"/>
            <w:tcBorders>
              <w:top w:val="single" w:sz="6" w:space="0" w:color="000000"/>
              <w:left w:val="single" w:sz="6" w:space="0" w:color="000000"/>
              <w:bottom w:val="single" w:sz="6" w:space="0" w:color="000000"/>
              <w:right w:val="single" w:sz="6" w:space="0" w:color="000000"/>
            </w:tcBorders>
          </w:tcPr>
          <w:p w14:paraId="0F8D387D" w14:textId="77777777" w:rsidR="00BA5F13" w:rsidRPr="00BA5F13" w:rsidRDefault="00BA5F13" w:rsidP="00BA5F13">
            <w:pPr>
              <w:spacing w:after="0" w:line="259" w:lineRule="auto"/>
              <w:ind w:left="0" w:right="0" w:firstLine="0"/>
              <w:jc w:val="left"/>
            </w:pPr>
            <w:r w:rsidRPr="00BA5F13">
              <w:rPr>
                <w:rFonts w:ascii="Times New Roman" w:eastAsia="Times New Roman" w:hAnsi="Times New Roman" w:cs="Times New Roman"/>
                <w:sz w:val="20"/>
              </w:rPr>
              <w:t xml:space="preserve"> </w:t>
            </w:r>
          </w:p>
        </w:tc>
        <w:tc>
          <w:tcPr>
            <w:tcW w:w="1367" w:type="dxa"/>
            <w:tcBorders>
              <w:top w:val="single" w:sz="6" w:space="0" w:color="000000"/>
              <w:left w:val="single" w:sz="6" w:space="0" w:color="000000"/>
              <w:bottom w:val="single" w:sz="6" w:space="0" w:color="000000"/>
              <w:right w:val="single" w:sz="6" w:space="0" w:color="000000"/>
            </w:tcBorders>
          </w:tcPr>
          <w:p w14:paraId="37BCDEB7" w14:textId="77777777" w:rsidR="00BA5F13" w:rsidRPr="00BA5F13" w:rsidRDefault="00BA5F13" w:rsidP="00BA5F13">
            <w:pPr>
              <w:spacing w:after="0" w:line="259" w:lineRule="auto"/>
              <w:ind w:left="0" w:right="0" w:firstLine="0"/>
              <w:jc w:val="left"/>
            </w:pPr>
            <w:r w:rsidRPr="00BA5F13">
              <w:rPr>
                <w:rFonts w:ascii="Times New Roman" w:eastAsia="Times New Roman" w:hAnsi="Times New Roman" w:cs="Times New Roman"/>
                <w:sz w:val="20"/>
              </w:rPr>
              <w:t xml:space="preserve"> </w:t>
            </w:r>
          </w:p>
        </w:tc>
        <w:tc>
          <w:tcPr>
            <w:tcW w:w="1366" w:type="dxa"/>
            <w:tcBorders>
              <w:top w:val="single" w:sz="6" w:space="0" w:color="000000"/>
              <w:left w:val="single" w:sz="6" w:space="0" w:color="000000"/>
              <w:bottom w:val="single" w:sz="6" w:space="0" w:color="000000"/>
              <w:right w:val="single" w:sz="6" w:space="0" w:color="000000"/>
            </w:tcBorders>
          </w:tcPr>
          <w:p w14:paraId="63B8DB02" w14:textId="77777777" w:rsidR="00BA5F13" w:rsidRPr="00BA5F13" w:rsidRDefault="00BA5F13" w:rsidP="00BA5F13">
            <w:pPr>
              <w:spacing w:after="0" w:line="259" w:lineRule="auto"/>
              <w:ind w:left="0" w:right="0" w:firstLine="0"/>
              <w:jc w:val="left"/>
            </w:pPr>
            <w:r w:rsidRPr="00BA5F13">
              <w:rPr>
                <w:rFonts w:ascii="Times New Roman" w:eastAsia="Times New Roman" w:hAnsi="Times New Roman" w:cs="Times New Roman"/>
                <w:sz w:val="20"/>
              </w:rPr>
              <w:t xml:space="preserve"> </w:t>
            </w:r>
          </w:p>
        </w:tc>
      </w:tr>
      <w:tr w:rsidR="00BA5F13" w:rsidRPr="00BA5F13" w14:paraId="776AE6E4" w14:textId="77777777" w:rsidTr="004C09BE">
        <w:trPr>
          <w:trHeight w:val="316"/>
        </w:trPr>
        <w:tc>
          <w:tcPr>
            <w:tcW w:w="5525" w:type="dxa"/>
            <w:tcBorders>
              <w:top w:val="single" w:sz="6" w:space="0" w:color="000000"/>
              <w:left w:val="single" w:sz="6" w:space="0" w:color="000000"/>
              <w:bottom w:val="single" w:sz="6" w:space="0" w:color="000000"/>
              <w:right w:val="single" w:sz="6" w:space="0" w:color="000000"/>
            </w:tcBorders>
          </w:tcPr>
          <w:p w14:paraId="12231684" w14:textId="77777777" w:rsidR="00BA5F13" w:rsidRPr="00BA5F13" w:rsidRDefault="00BA5F13" w:rsidP="00BA5F13">
            <w:pPr>
              <w:spacing w:after="0" w:line="259" w:lineRule="auto"/>
              <w:ind w:left="0" w:right="0" w:firstLine="0"/>
              <w:jc w:val="left"/>
            </w:pPr>
            <w:r w:rsidRPr="00BA5F13">
              <w:t xml:space="preserve">Capital Reserve - to fund capital expenditure </w:t>
            </w:r>
          </w:p>
        </w:tc>
        <w:tc>
          <w:tcPr>
            <w:tcW w:w="1337" w:type="dxa"/>
            <w:tcBorders>
              <w:top w:val="single" w:sz="6" w:space="0" w:color="000000"/>
              <w:left w:val="single" w:sz="6" w:space="0" w:color="000000"/>
              <w:bottom w:val="single" w:sz="6" w:space="0" w:color="000000"/>
              <w:right w:val="single" w:sz="6" w:space="0" w:color="000000"/>
            </w:tcBorders>
          </w:tcPr>
          <w:p w14:paraId="67238A5C" w14:textId="77777777" w:rsidR="00BA5F13" w:rsidRPr="00BA5F13" w:rsidRDefault="00BA5F13" w:rsidP="00BA5F13">
            <w:pPr>
              <w:spacing w:after="0" w:line="259" w:lineRule="auto"/>
              <w:ind w:left="0" w:right="84" w:firstLine="0"/>
              <w:jc w:val="right"/>
            </w:pPr>
            <w:r w:rsidRPr="00BA5F13">
              <w:t xml:space="preserve">18.8 </w:t>
            </w:r>
          </w:p>
        </w:tc>
        <w:tc>
          <w:tcPr>
            <w:tcW w:w="1471" w:type="dxa"/>
            <w:tcBorders>
              <w:top w:val="single" w:sz="6" w:space="0" w:color="000000"/>
              <w:left w:val="single" w:sz="6" w:space="0" w:color="000000"/>
              <w:bottom w:val="single" w:sz="6" w:space="0" w:color="000000"/>
              <w:right w:val="single" w:sz="6" w:space="0" w:color="000000"/>
            </w:tcBorders>
          </w:tcPr>
          <w:p w14:paraId="597FE567" w14:textId="77777777" w:rsidR="00BA5F13" w:rsidRPr="00BA5F13" w:rsidRDefault="00BA5F13" w:rsidP="00BA5F13">
            <w:pPr>
              <w:spacing w:after="0" w:line="259" w:lineRule="auto"/>
              <w:ind w:left="0" w:right="69" w:firstLine="0"/>
              <w:jc w:val="right"/>
            </w:pPr>
            <w:r w:rsidRPr="00BA5F13">
              <w:t xml:space="preserve">11.1 </w:t>
            </w:r>
          </w:p>
        </w:tc>
        <w:tc>
          <w:tcPr>
            <w:tcW w:w="1516" w:type="dxa"/>
            <w:tcBorders>
              <w:top w:val="single" w:sz="6" w:space="0" w:color="000000"/>
              <w:left w:val="single" w:sz="6" w:space="0" w:color="000000"/>
              <w:bottom w:val="single" w:sz="6" w:space="0" w:color="000000"/>
              <w:right w:val="single" w:sz="6" w:space="0" w:color="000000"/>
            </w:tcBorders>
          </w:tcPr>
          <w:p w14:paraId="1A909589" w14:textId="77777777" w:rsidR="00BA5F13" w:rsidRPr="00BA5F13" w:rsidRDefault="00BA5F13" w:rsidP="00BA5F13">
            <w:pPr>
              <w:spacing w:after="0" w:line="259" w:lineRule="auto"/>
              <w:ind w:left="0" w:right="69" w:firstLine="0"/>
              <w:jc w:val="right"/>
            </w:pPr>
            <w:r w:rsidRPr="00BA5F13">
              <w:t xml:space="preserve">0.0 </w:t>
            </w:r>
          </w:p>
        </w:tc>
        <w:tc>
          <w:tcPr>
            <w:tcW w:w="1366" w:type="dxa"/>
            <w:tcBorders>
              <w:top w:val="single" w:sz="6" w:space="0" w:color="000000"/>
              <w:left w:val="single" w:sz="6" w:space="0" w:color="000000"/>
              <w:bottom w:val="single" w:sz="6" w:space="0" w:color="000000"/>
              <w:right w:val="single" w:sz="6" w:space="0" w:color="000000"/>
            </w:tcBorders>
          </w:tcPr>
          <w:p w14:paraId="37C55893" w14:textId="77777777" w:rsidR="00BA5F13" w:rsidRPr="00BA5F13" w:rsidRDefault="00BA5F13" w:rsidP="00BA5F13">
            <w:pPr>
              <w:spacing w:after="0" w:line="259" w:lineRule="auto"/>
              <w:ind w:left="0" w:right="69" w:firstLine="0"/>
              <w:jc w:val="right"/>
            </w:pPr>
            <w:r w:rsidRPr="00BA5F13">
              <w:t xml:space="preserve">0.0 </w:t>
            </w:r>
          </w:p>
        </w:tc>
        <w:tc>
          <w:tcPr>
            <w:tcW w:w="1367" w:type="dxa"/>
            <w:tcBorders>
              <w:top w:val="single" w:sz="6" w:space="0" w:color="000000"/>
              <w:left w:val="single" w:sz="6" w:space="0" w:color="000000"/>
              <w:bottom w:val="single" w:sz="6" w:space="0" w:color="000000"/>
              <w:right w:val="single" w:sz="6" w:space="0" w:color="000000"/>
            </w:tcBorders>
          </w:tcPr>
          <w:p w14:paraId="28E3D4E6" w14:textId="77777777" w:rsidR="00BA5F13" w:rsidRPr="00BA5F13" w:rsidRDefault="00BA5F13" w:rsidP="00BA5F13">
            <w:pPr>
              <w:spacing w:after="0" w:line="259" w:lineRule="auto"/>
              <w:ind w:left="0" w:right="69" w:firstLine="0"/>
              <w:jc w:val="right"/>
            </w:pPr>
            <w:r w:rsidRPr="00BA5F13">
              <w:t xml:space="preserve">0.0 </w:t>
            </w:r>
          </w:p>
        </w:tc>
        <w:tc>
          <w:tcPr>
            <w:tcW w:w="1366" w:type="dxa"/>
            <w:tcBorders>
              <w:top w:val="single" w:sz="6" w:space="0" w:color="000000"/>
              <w:left w:val="single" w:sz="6" w:space="0" w:color="000000"/>
              <w:bottom w:val="single" w:sz="6" w:space="0" w:color="000000"/>
              <w:right w:val="single" w:sz="6" w:space="0" w:color="000000"/>
            </w:tcBorders>
          </w:tcPr>
          <w:p w14:paraId="476B38B2" w14:textId="77777777" w:rsidR="00BA5F13" w:rsidRPr="00BA5F13" w:rsidRDefault="00BA5F13" w:rsidP="00BA5F13">
            <w:pPr>
              <w:spacing w:after="0" w:line="259" w:lineRule="auto"/>
              <w:ind w:left="0" w:right="69" w:firstLine="0"/>
              <w:jc w:val="right"/>
            </w:pPr>
            <w:r w:rsidRPr="00BA5F13">
              <w:t xml:space="preserve">0.0 </w:t>
            </w:r>
          </w:p>
        </w:tc>
      </w:tr>
      <w:tr w:rsidR="00BA5F13" w:rsidRPr="00BA5F13" w14:paraId="4CA4955E" w14:textId="77777777" w:rsidTr="004C09BE">
        <w:trPr>
          <w:trHeight w:val="615"/>
        </w:trPr>
        <w:tc>
          <w:tcPr>
            <w:tcW w:w="5525" w:type="dxa"/>
            <w:tcBorders>
              <w:top w:val="single" w:sz="6" w:space="0" w:color="000000"/>
              <w:left w:val="single" w:sz="6" w:space="0" w:color="000000"/>
              <w:bottom w:val="single" w:sz="6" w:space="0" w:color="000000"/>
              <w:right w:val="single" w:sz="6" w:space="0" w:color="000000"/>
            </w:tcBorders>
          </w:tcPr>
          <w:p w14:paraId="5B28BE0D" w14:textId="77777777" w:rsidR="00BA5F13" w:rsidRPr="00BA5F13" w:rsidRDefault="00BA5F13" w:rsidP="00BA5F13">
            <w:pPr>
              <w:spacing w:after="0" w:line="259" w:lineRule="auto"/>
              <w:ind w:left="0" w:right="0" w:firstLine="0"/>
            </w:pPr>
            <w:r w:rsidRPr="00BA5F13">
              <w:t xml:space="preserve">PFI Reserves - PFI Grants set aside to offset future charges </w:t>
            </w:r>
          </w:p>
        </w:tc>
        <w:tc>
          <w:tcPr>
            <w:tcW w:w="1337" w:type="dxa"/>
            <w:tcBorders>
              <w:top w:val="single" w:sz="6" w:space="0" w:color="000000"/>
              <w:left w:val="single" w:sz="6" w:space="0" w:color="000000"/>
              <w:bottom w:val="single" w:sz="6" w:space="0" w:color="000000"/>
              <w:right w:val="single" w:sz="6" w:space="0" w:color="000000"/>
            </w:tcBorders>
            <w:vAlign w:val="center"/>
          </w:tcPr>
          <w:p w14:paraId="450FD110" w14:textId="77777777" w:rsidR="00BA5F13" w:rsidRPr="00BA5F13" w:rsidRDefault="00BA5F13" w:rsidP="00BA5F13">
            <w:pPr>
              <w:spacing w:after="0" w:line="259" w:lineRule="auto"/>
              <w:ind w:left="0" w:right="84" w:firstLine="0"/>
              <w:jc w:val="right"/>
            </w:pPr>
            <w:r w:rsidRPr="00BA5F13">
              <w:t xml:space="preserve">4.9 </w:t>
            </w:r>
          </w:p>
        </w:tc>
        <w:tc>
          <w:tcPr>
            <w:tcW w:w="1471" w:type="dxa"/>
            <w:tcBorders>
              <w:top w:val="single" w:sz="6" w:space="0" w:color="000000"/>
              <w:left w:val="single" w:sz="6" w:space="0" w:color="000000"/>
              <w:bottom w:val="single" w:sz="6" w:space="0" w:color="000000"/>
              <w:right w:val="single" w:sz="6" w:space="0" w:color="000000"/>
            </w:tcBorders>
            <w:vAlign w:val="center"/>
          </w:tcPr>
          <w:p w14:paraId="0AD43293" w14:textId="77777777" w:rsidR="00BA5F13" w:rsidRPr="00BA5F13" w:rsidRDefault="00BA5F13" w:rsidP="00BA5F13">
            <w:pPr>
              <w:spacing w:after="0" w:line="259" w:lineRule="auto"/>
              <w:ind w:left="0" w:right="69" w:firstLine="0"/>
              <w:jc w:val="right"/>
            </w:pPr>
            <w:r w:rsidRPr="00BA5F13">
              <w:t xml:space="preserve">4.8 </w:t>
            </w:r>
          </w:p>
        </w:tc>
        <w:tc>
          <w:tcPr>
            <w:tcW w:w="1516" w:type="dxa"/>
            <w:tcBorders>
              <w:top w:val="single" w:sz="6" w:space="0" w:color="000000"/>
              <w:left w:val="single" w:sz="6" w:space="0" w:color="000000"/>
              <w:bottom w:val="single" w:sz="6" w:space="0" w:color="000000"/>
              <w:right w:val="single" w:sz="6" w:space="0" w:color="000000"/>
            </w:tcBorders>
            <w:vAlign w:val="center"/>
          </w:tcPr>
          <w:p w14:paraId="09A4EA20" w14:textId="77777777" w:rsidR="00BA5F13" w:rsidRPr="00BA5F13" w:rsidRDefault="00BA5F13" w:rsidP="00BA5F13">
            <w:pPr>
              <w:spacing w:after="0" w:line="259" w:lineRule="auto"/>
              <w:ind w:left="0" w:right="69" w:firstLine="0"/>
              <w:jc w:val="right"/>
            </w:pPr>
            <w:r w:rsidRPr="00BA5F13">
              <w:t xml:space="preserve">4.6 </w:t>
            </w:r>
          </w:p>
        </w:tc>
        <w:tc>
          <w:tcPr>
            <w:tcW w:w="1366" w:type="dxa"/>
            <w:tcBorders>
              <w:top w:val="single" w:sz="6" w:space="0" w:color="000000"/>
              <w:left w:val="single" w:sz="6" w:space="0" w:color="000000"/>
              <w:bottom w:val="single" w:sz="6" w:space="0" w:color="000000"/>
              <w:right w:val="single" w:sz="6" w:space="0" w:color="000000"/>
            </w:tcBorders>
            <w:vAlign w:val="center"/>
          </w:tcPr>
          <w:p w14:paraId="16B6945C" w14:textId="77777777" w:rsidR="00BA5F13" w:rsidRPr="00BA5F13" w:rsidRDefault="00BA5F13" w:rsidP="00BA5F13">
            <w:pPr>
              <w:spacing w:after="0" w:line="259" w:lineRule="auto"/>
              <w:ind w:left="0" w:right="69" w:firstLine="0"/>
              <w:jc w:val="right"/>
            </w:pPr>
            <w:r w:rsidRPr="00BA5F13">
              <w:t xml:space="preserve">4.4 </w:t>
            </w:r>
          </w:p>
        </w:tc>
        <w:tc>
          <w:tcPr>
            <w:tcW w:w="1367" w:type="dxa"/>
            <w:tcBorders>
              <w:top w:val="single" w:sz="6" w:space="0" w:color="000000"/>
              <w:left w:val="single" w:sz="6" w:space="0" w:color="000000"/>
              <w:bottom w:val="single" w:sz="6" w:space="0" w:color="000000"/>
              <w:right w:val="single" w:sz="6" w:space="0" w:color="000000"/>
            </w:tcBorders>
            <w:vAlign w:val="center"/>
          </w:tcPr>
          <w:p w14:paraId="756652E1" w14:textId="77777777" w:rsidR="00BA5F13" w:rsidRPr="00BA5F13" w:rsidRDefault="00BA5F13" w:rsidP="00BA5F13">
            <w:pPr>
              <w:spacing w:after="0" w:line="259" w:lineRule="auto"/>
              <w:ind w:left="0" w:right="69" w:firstLine="0"/>
              <w:jc w:val="right"/>
            </w:pPr>
            <w:r w:rsidRPr="00BA5F13">
              <w:t xml:space="preserve">4.1 </w:t>
            </w:r>
          </w:p>
        </w:tc>
        <w:tc>
          <w:tcPr>
            <w:tcW w:w="1366" w:type="dxa"/>
            <w:tcBorders>
              <w:top w:val="single" w:sz="6" w:space="0" w:color="000000"/>
              <w:left w:val="single" w:sz="6" w:space="0" w:color="000000"/>
              <w:bottom w:val="single" w:sz="6" w:space="0" w:color="000000"/>
              <w:right w:val="single" w:sz="6" w:space="0" w:color="000000"/>
            </w:tcBorders>
            <w:vAlign w:val="center"/>
          </w:tcPr>
          <w:p w14:paraId="71866A30" w14:textId="77777777" w:rsidR="00BA5F13" w:rsidRPr="00BA5F13" w:rsidRDefault="00BA5F13" w:rsidP="00BA5F13">
            <w:pPr>
              <w:spacing w:after="0" w:line="259" w:lineRule="auto"/>
              <w:ind w:left="0" w:right="69" w:firstLine="0"/>
              <w:jc w:val="right"/>
            </w:pPr>
            <w:r w:rsidRPr="00BA5F13">
              <w:t xml:space="preserve">3.8 </w:t>
            </w:r>
          </w:p>
        </w:tc>
      </w:tr>
      <w:tr w:rsidR="00BA5F13" w:rsidRPr="00BA5F13" w14:paraId="41AB252A" w14:textId="77777777" w:rsidTr="004C09BE">
        <w:trPr>
          <w:trHeight w:val="1202"/>
        </w:trPr>
        <w:tc>
          <w:tcPr>
            <w:tcW w:w="5525" w:type="dxa"/>
            <w:tcBorders>
              <w:top w:val="single" w:sz="6" w:space="0" w:color="000000"/>
              <w:left w:val="single" w:sz="6" w:space="0" w:color="000000"/>
              <w:bottom w:val="single" w:sz="6" w:space="0" w:color="000000"/>
              <w:right w:val="single" w:sz="6" w:space="0" w:color="000000"/>
            </w:tcBorders>
          </w:tcPr>
          <w:p w14:paraId="61032092" w14:textId="77777777" w:rsidR="00BA5F13" w:rsidRPr="00BA5F13" w:rsidRDefault="00BA5F13" w:rsidP="00BA5F13">
            <w:pPr>
              <w:spacing w:after="0" w:line="259" w:lineRule="auto"/>
              <w:ind w:left="0" w:right="581" w:firstLine="0"/>
            </w:pPr>
            <w:r w:rsidRPr="00BA5F13">
              <w:t xml:space="preserve">Budget Holders Reserves - enables budget holders to carry forward any surplus or deficit from one financial year to the next, within prescribed limits. </w:t>
            </w:r>
          </w:p>
        </w:tc>
        <w:tc>
          <w:tcPr>
            <w:tcW w:w="1337" w:type="dxa"/>
            <w:tcBorders>
              <w:top w:val="single" w:sz="6" w:space="0" w:color="000000"/>
              <w:left w:val="single" w:sz="6" w:space="0" w:color="000000"/>
              <w:bottom w:val="single" w:sz="6" w:space="0" w:color="000000"/>
              <w:right w:val="single" w:sz="6" w:space="0" w:color="000000"/>
            </w:tcBorders>
            <w:vAlign w:val="center"/>
          </w:tcPr>
          <w:p w14:paraId="500570AE" w14:textId="77777777" w:rsidR="00BA5F13" w:rsidRPr="00BA5F13" w:rsidRDefault="00BA5F13" w:rsidP="00BA5F13">
            <w:pPr>
              <w:spacing w:after="0" w:line="259" w:lineRule="auto"/>
              <w:ind w:left="0" w:right="84" w:firstLine="0"/>
              <w:jc w:val="right"/>
            </w:pPr>
            <w:r w:rsidRPr="00BA5F13">
              <w:t xml:space="preserve">0.6 </w:t>
            </w:r>
          </w:p>
        </w:tc>
        <w:tc>
          <w:tcPr>
            <w:tcW w:w="1471" w:type="dxa"/>
            <w:tcBorders>
              <w:top w:val="single" w:sz="6" w:space="0" w:color="000000"/>
              <w:left w:val="single" w:sz="6" w:space="0" w:color="000000"/>
              <w:bottom w:val="single" w:sz="6" w:space="0" w:color="000000"/>
              <w:right w:val="single" w:sz="6" w:space="0" w:color="000000"/>
            </w:tcBorders>
            <w:vAlign w:val="center"/>
          </w:tcPr>
          <w:p w14:paraId="7BC0B5C6" w14:textId="77777777" w:rsidR="00BA5F13" w:rsidRPr="00BA5F13" w:rsidRDefault="00BA5F13" w:rsidP="00BA5F13">
            <w:pPr>
              <w:spacing w:after="0" w:line="259" w:lineRule="auto"/>
              <w:ind w:left="0" w:right="69" w:firstLine="0"/>
              <w:jc w:val="right"/>
            </w:pPr>
            <w:r w:rsidRPr="00BA5F13">
              <w:t xml:space="preserve">0.3 </w:t>
            </w:r>
          </w:p>
        </w:tc>
        <w:tc>
          <w:tcPr>
            <w:tcW w:w="1516" w:type="dxa"/>
            <w:tcBorders>
              <w:top w:val="single" w:sz="6" w:space="0" w:color="000000"/>
              <w:left w:val="single" w:sz="6" w:space="0" w:color="000000"/>
              <w:bottom w:val="single" w:sz="6" w:space="0" w:color="000000"/>
              <w:right w:val="single" w:sz="6" w:space="0" w:color="000000"/>
            </w:tcBorders>
            <w:vAlign w:val="center"/>
          </w:tcPr>
          <w:p w14:paraId="2B0A62B8" w14:textId="77777777" w:rsidR="00BA5F13" w:rsidRPr="00BA5F13" w:rsidRDefault="00BA5F13" w:rsidP="00BA5F13">
            <w:pPr>
              <w:spacing w:after="0" w:line="259" w:lineRule="auto"/>
              <w:ind w:left="0" w:right="69" w:firstLine="0"/>
              <w:jc w:val="right"/>
            </w:pPr>
            <w:r w:rsidRPr="00BA5F13">
              <w:t xml:space="preserve">0.3 </w:t>
            </w:r>
          </w:p>
        </w:tc>
        <w:tc>
          <w:tcPr>
            <w:tcW w:w="1366" w:type="dxa"/>
            <w:tcBorders>
              <w:top w:val="single" w:sz="6" w:space="0" w:color="000000"/>
              <w:left w:val="single" w:sz="6" w:space="0" w:color="000000"/>
              <w:bottom w:val="single" w:sz="6" w:space="0" w:color="000000"/>
              <w:right w:val="single" w:sz="6" w:space="0" w:color="000000"/>
            </w:tcBorders>
            <w:vAlign w:val="center"/>
          </w:tcPr>
          <w:p w14:paraId="4879F500" w14:textId="77777777" w:rsidR="00BA5F13" w:rsidRPr="00BA5F13" w:rsidRDefault="00BA5F13" w:rsidP="00BA5F13">
            <w:pPr>
              <w:spacing w:after="0" w:line="259" w:lineRule="auto"/>
              <w:ind w:left="0" w:right="69" w:firstLine="0"/>
              <w:jc w:val="right"/>
            </w:pPr>
            <w:r w:rsidRPr="00BA5F13">
              <w:t xml:space="preserve">0.2 </w:t>
            </w:r>
          </w:p>
        </w:tc>
        <w:tc>
          <w:tcPr>
            <w:tcW w:w="1367" w:type="dxa"/>
            <w:tcBorders>
              <w:top w:val="single" w:sz="6" w:space="0" w:color="000000"/>
              <w:left w:val="single" w:sz="6" w:space="0" w:color="000000"/>
              <w:bottom w:val="single" w:sz="6" w:space="0" w:color="000000"/>
              <w:right w:val="single" w:sz="6" w:space="0" w:color="000000"/>
            </w:tcBorders>
            <w:vAlign w:val="center"/>
          </w:tcPr>
          <w:p w14:paraId="09B8D7C5" w14:textId="77777777" w:rsidR="00BA5F13" w:rsidRPr="00BA5F13" w:rsidRDefault="00BA5F13" w:rsidP="00BA5F13">
            <w:pPr>
              <w:spacing w:after="0" w:line="259" w:lineRule="auto"/>
              <w:ind w:left="0" w:right="69" w:firstLine="0"/>
              <w:jc w:val="right"/>
            </w:pPr>
            <w:r w:rsidRPr="00BA5F13">
              <w:t xml:space="preserve">0.2 </w:t>
            </w:r>
          </w:p>
        </w:tc>
        <w:tc>
          <w:tcPr>
            <w:tcW w:w="1366" w:type="dxa"/>
            <w:tcBorders>
              <w:top w:val="single" w:sz="6" w:space="0" w:color="000000"/>
              <w:left w:val="single" w:sz="6" w:space="0" w:color="000000"/>
              <w:bottom w:val="single" w:sz="6" w:space="0" w:color="000000"/>
              <w:right w:val="single" w:sz="6" w:space="0" w:color="000000"/>
            </w:tcBorders>
            <w:vAlign w:val="center"/>
          </w:tcPr>
          <w:p w14:paraId="133A6115" w14:textId="77777777" w:rsidR="00BA5F13" w:rsidRPr="00BA5F13" w:rsidRDefault="00BA5F13" w:rsidP="00BA5F13">
            <w:pPr>
              <w:spacing w:after="0" w:line="259" w:lineRule="auto"/>
              <w:ind w:left="0" w:right="69" w:firstLine="0"/>
              <w:jc w:val="right"/>
            </w:pPr>
            <w:r w:rsidRPr="00BA5F13">
              <w:t xml:space="preserve">0.1 </w:t>
            </w:r>
          </w:p>
        </w:tc>
      </w:tr>
      <w:tr w:rsidR="00BA5F13" w:rsidRPr="00BA5F13" w14:paraId="2A9DE0C5" w14:textId="77777777" w:rsidTr="004C09BE">
        <w:trPr>
          <w:trHeight w:val="1217"/>
        </w:trPr>
        <w:tc>
          <w:tcPr>
            <w:tcW w:w="5525" w:type="dxa"/>
            <w:tcBorders>
              <w:top w:val="single" w:sz="6" w:space="0" w:color="000000"/>
              <w:left w:val="single" w:sz="6" w:space="0" w:color="000000"/>
              <w:bottom w:val="single" w:sz="6" w:space="0" w:color="000000"/>
              <w:right w:val="single" w:sz="6" w:space="0" w:color="000000"/>
            </w:tcBorders>
            <w:vAlign w:val="center"/>
          </w:tcPr>
          <w:p w14:paraId="5DBDA17C" w14:textId="77777777" w:rsidR="00BA5F13" w:rsidRPr="00BA5F13" w:rsidRDefault="00BA5F13" w:rsidP="00BA5F13">
            <w:pPr>
              <w:spacing w:after="0" w:line="259" w:lineRule="auto"/>
              <w:ind w:left="0" w:right="209" w:firstLine="0"/>
            </w:pPr>
            <w:r w:rsidRPr="00BA5F13">
              <w:t xml:space="preserve">Insurance - The maximum insurance costs to the Authority are £0.7m - together with the provision this reserve will meet 1 year's maximum claims. </w:t>
            </w:r>
          </w:p>
        </w:tc>
        <w:tc>
          <w:tcPr>
            <w:tcW w:w="1337" w:type="dxa"/>
            <w:tcBorders>
              <w:top w:val="single" w:sz="6" w:space="0" w:color="000000"/>
              <w:left w:val="single" w:sz="6" w:space="0" w:color="000000"/>
              <w:bottom w:val="single" w:sz="6" w:space="0" w:color="000000"/>
              <w:right w:val="single" w:sz="6" w:space="0" w:color="000000"/>
            </w:tcBorders>
            <w:vAlign w:val="center"/>
          </w:tcPr>
          <w:p w14:paraId="4EE8FB19" w14:textId="77777777" w:rsidR="00BA5F13" w:rsidRPr="00BA5F13" w:rsidRDefault="00BA5F13" w:rsidP="00BA5F13">
            <w:pPr>
              <w:spacing w:after="0" w:line="259" w:lineRule="auto"/>
              <w:ind w:left="0" w:right="84" w:firstLine="0"/>
              <w:jc w:val="right"/>
            </w:pPr>
            <w:r w:rsidRPr="00BA5F13">
              <w:t xml:space="preserve">0.2 </w:t>
            </w:r>
          </w:p>
        </w:tc>
        <w:tc>
          <w:tcPr>
            <w:tcW w:w="1471" w:type="dxa"/>
            <w:tcBorders>
              <w:top w:val="single" w:sz="6" w:space="0" w:color="000000"/>
              <w:left w:val="single" w:sz="6" w:space="0" w:color="000000"/>
              <w:bottom w:val="single" w:sz="6" w:space="0" w:color="000000"/>
              <w:right w:val="single" w:sz="6" w:space="0" w:color="000000"/>
            </w:tcBorders>
            <w:vAlign w:val="center"/>
          </w:tcPr>
          <w:p w14:paraId="5AF5BAE2" w14:textId="77777777" w:rsidR="00BA5F13" w:rsidRPr="00BA5F13" w:rsidRDefault="00BA5F13" w:rsidP="00BA5F13">
            <w:pPr>
              <w:spacing w:after="0" w:line="259" w:lineRule="auto"/>
              <w:ind w:left="0" w:right="69" w:firstLine="0"/>
              <w:jc w:val="right"/>
            </w:pPr>
            <w:r w:rsidRPr="00BA5F13">
              <w:t xml:space="preserve">0.2 </w:t>
            </w:r>
          </w:p>
        </w:tc>
        <w:tc>
          <w:tcPr>
            <w:tcW w:w="1516" w:type="dxa"/>
            <w:tcBorders>
              <w:top w:val="single" w:sz="6" w:space="0" w:color="000000"/>
              <w:left w:val="single" w:sz="6" w:space="0" w:color="000000"/>
              <w:bottom w:val="single" w:sz="6" w:space="0" w:color="000000"/>
              <w:right w:val="single" w:sz="6" w:space="0" w:color="000000"/>
            </w:tcBorders>
            <w:vAlign w:val="center"/>
          </w:tcPr>
          <w:p w14:paraId="200F50E9" w14:textId="77777777" w:rsidR="00BA5F13" w:rsidRPr="00BA5F13" w:rsidRDefault="00BA5F13" w:rsidP="00BA5F13">
            <w:pPr>
              <w:spacing w:after="0" w:line="259" w:lineRule="auto"/>
              <w:ind w:left="0" w:right="69" w:firstLine="0"/>
              <w:jc w:val="right"/>
            </w:pPr>
            <w:r w:rsidRPr="00BA5F13">
              <w:t xml:space="preserve">0.2 </w:t>
            </w:r>
          </w:p>
        </w:tc>
        <w:tc>
          <w:tcPr>
            <w:tcW w:w="1366" w:type="dxa"/>
            <w:tcBorders>
              <w:top w:val="single" w:sz="6" w:space="0" w:color="000000"/>
              <w:left w:val="single" w:sz="6" w:space="0" w:color="000000"/>
              <w:bottom w:val="single" w:sz="6" w:space="0" w:color="000000"/>
              <w:right w:val="single" w:sz="6" w:space="0" w:color="000000"/>
            </w:tcBorders>
            <w:vAlign w:val="center"/>
          </w:tcPr>
          <w:p w14:paraId="069FC833" w14:textId="77777777" w:rsidR="00BA5F13" w:rsidRPr="00BA5F13" w:rsidRDefault="00BA5F13" w:rsidP="00BA5F13">
            <w:pPr>
              <w:spacing w:after="0" w:line="259" w:lineRule="auto"/>
              <w:ind w:left="0" w:right="69" w:firstLine="0"/>
              <w:jc w:val="right"/>
            </w:pPr>
            <w:r w:rsidRPr="00BA5F13">
              <w:t xml:space="preserve">0.2 </w:t>
            </w:r>
          </w:p>
        </w:tc>
        <w:tc>
          <w:tcPr>
            <w:tcW w:w="1367" w:type="dxa"/>
            <w:tcBorders>
              <w:top w:val="single" w:sz="6" w:space="0" w:color="000000"/>
              <w:left w:val="single" w:sz="6" w:space="0" w:color="000000"/>
              <w:bottom w:val="single" w:sz="6" w:space="0" w:color="000000"/>
              <w:right w:val="single" w:sz="6" w:space="0" w:color="000000"/>
            </w:tcBorders>
            <w:vAlign w:val="center"/>
          </w:tcPr>
          <w:p w14:paraId="3ACFFFEE" w14:textId="77777777" w:rsidR="00BA5F13" w:rsidRPr="00BA5F13" w:rsidRDefault="00BA5F13" w:rsidP="00BA5F13">
            <w:pPr>
              <w:spacing w:after="0" w:line="259" w:lineRule="auto"/>
              <w:ind w:left="0" w:right="69" w:firstLine="0"/>
              <w:jc w:val="right"/>
            </w:pPr>
            <w:r w:rsidRPr="00BA5F13">
              <w:t xml:space="preserve">0.2 </w:t>
            </w:r>
          </w:p>
        </w:tc>
        <w:tc>
          <w:tcPr>
            <w:tcW w:w="1366" w:type="dxa"/>
            <w:tcBorders>
              <w:top w:val="single" w:sz="6" w:space="0" w:color="000000"/>
              <w:left w:val="single" w:sz="6" w:space="0" w:color="000000"/>
              <w:bottom w:val="single" w:sz="6" w:space="0" w:color="000000"/>
              <w:right w:val="single" w:sz="6" w:space="0" w:color="000000"/>
            </w:tcBorders>
            <w:vAlign w:val="center"/>
          </w:tcPr>
          <w:p w14:paraId="589A182A" w14:textId="77777777" w:rsidR="00BA5F13" w:rsidRPr="00BA5F13" w:rsidRDefault="00BA5F13" w:rsidP="00BA5F13">
            <w:pPr>
              <w:spacing w:after="0" w:line="259" w:lineRule="auto"/>
              <w:ind w:left="0" w:right="69" w:firstLine="0"/>
              <w:jc w:val="right"/>
            </w:pPr>
            <w:r w:rsidRPr="00BA5F13">
              <w:t xml:space="preserve">0.2 </w:t>
            </w:r>
          </w:p>
        </w:tc>
      </w:tr>
      <w:tr w:rsidR="00BA5F13" w:rsidRPr="00BA5F13" w14:paraId="7C58E550" w14:textId="77777777" w:rsidTr="004C09BE">
        <w:trPr>
          <w:trHeight w:val="916"/>
        </w:trPr>
        <w:tc>
          <w:tcPr>
            <w:tcW w:w="5525" w:type="dxa"/>
            <w:tcBorders>
              <w:top w:val="single" w:sz="6" w:space="0" w:color="000000"/>
              <w:left w:val="single" w:sz="6" w:space="0" w:color="000000"/>
              <w:bottom w:val="single" w:sz="6" w:space="0" w:color="000000"/>
              <w:right w:val="single" w:sz="6" w:space="0" w:color="000000"/>
            </w:tcBorders>
          </w:tcPr>
          <w:p w14:paraId="05C4B36C" w14:textId="77777777" w:rsidR="00BA5F13" w:rsidRPr="00BA5F13" w:rsidRDefault="00BA5F13" w:rsidP="00BA5F13">
            <w:pPr>
              <w:spacing w:after="0" w:line="259" w:lineRule="auto"/>
              <w:ind w:left="0" w:right="156" w:firstLine="0"/>
            </w:pPr>
            <w:r w:rsidRPr="00BA5F13">
              <w:t xml:space="preserve">Princes Trust - to manage funding timing differences and mitigate the risk of loss of funding in the short term.  </w:t>
            </w:r>
          </w:p>
        </w:tc>
        <w:tc>
          <w:tcPr>
            <w:tcW w:w="1337" w:type="dxa"/>
            <w:tcBorders>
              <w:top w:val="single" w:sz="6" w:space="0" w:color="000000"/>
              <w:left w:val="single" w:sz="6" w:space="0" w:color="000000"/>
              <w:bottom w:val="single" w:sz="6" w:space="0" w:color="000000"/>
              <w:right w:val="single" w:sz="6" w:space="0" w:color="000000"/>
            </w:tcBorders>
            <w:vAlign w:val="center"/>
          </w:tcPr>
          <w:p w14:paraId="6623DF25" w14:textId="77777777" w:rsidR="00BA5F13" w:rsidRPr="00BA5F13" w:rsidRDefault="00BA5F13" w:rsidP="00BA5F13">
            <w:pPr>
              <w:spacing w:after="0" w:line="259" w:lineRule="auto"/>
              <w:ind w:left="0" w:right="84" w:firstLine="0"/>
              <w:jc w:val="right"/>
            </w:pPr>
            <w:r w:rsidRPr="00BA5F13">
              <w:t xml:space="preserve">0.4 </w:t>
            </w:r>
          </w:p>
        </w:tc>
        <w:tc>
          <w:tcPr>
            <w:tcW w:w="1471" w:type="dxa"/>
            <w:tcBorders>
              <w:top w:val="single" w:sz="6" w:space="0" w:color="000000"/>
              <w:left w:val="single" w:sz="6" w:space="0" w:color="000000"/>
              <w:bottom w:val="single" w:sz="6" w:space="0" w:color="000000"/>
              <w:right w:val="single" w:sz="6" w:space="0" w:color="000000"/>
            </w:tcBorders>
            <w:vAlign w:val="center"/>
          </w:tcPr>
          <w:p w14:paraId="09346F07" w14:textId="77777777" w:rsidR="00BA5F13" w:rsidRPr="00BA5F13" w:rsidRDefault="00BA5F13" w:rsidP="00BA5F13">
            <w:pPr>
              <w:spacing w:after="0" w:line="259" w:lineRule="auto"/>
              <w:ind w:left="0" w:right="69" w:firstLine="0"/>
              <w:jc w:val="right"/>
            </w:pPr>
            <w:r w:rsidRPr="00BA5F13">
              <w:t xml:space="preserve">0.4 </w:t>
            </w:r>
          </w:p>
        </w:tc>
        <w:tc>
          <w:tcPr>
            <w:tcW w:w="1516" w:type="dxa"/>
            <w:tcBorders>
              <w:top w:val="single" w:sz="6" w:space="0" w:color="000000"/>
              <w:left w:val="single" w:sz="6" w:space="0" w:color="000000"/>
              <w:bottom w:val="single" w:sz="6" w:space="0" w:color="000000"/>
              <w:right w:val="single" w:sz="6" w:space="0" w:color="000000"/>
            </w:tcBorders>
            <w:vAlign w:val="center"/>
          </w:tcPr>
          <w:p w14:paraId="3B941830" w14:textId="77777777" w:rsidR="00BA5F13" w:rsidRPr="00BA5F13" w:rsidRDefault="00BA5F13" w:rsidP="00BA5F13">
            <w:pPr>
              <w:spacing w:after="0" w:line="259" w:lineRule="auto"/>
              <w:ind w:left="0" w:right="69" w:firstLine="0"/>
              <w:jc w:val="right"/>
            </w:pPr>
            <w:r w:rsidRPr="00BA5F13">
              <w:t xml:space="preserve">0.4 </w:t>
            </w:r>
          </w:p>
        </w:tc>
        <w:tc>
          <w:tcPr>
            <w:tcW w:w="1366" w:type="dxa"/>
            <w:tcBorders>
              <w:top w:val="single" w:sz="6" w:space="0" w:color="000000"/>
              <w:left w:val="single" w:sz="6" w:space="0" w:color="000000"/>
              <w:bottom w:val="single" w:sz="6" w:space="0" w:color="000000"/>
              <w:right w:val="single" w:sz="6" w:space="0" w:color="000000"/>
            </w:tcBorders>
            <w:vAlign w:val="center"/>
          </w:tcPr>
          <w:p w14:paraId="3B70CF91" w14:textId="77777777" w:rsidR="00BA5F13" w:rsidRPr="00BA5F13" w:rsidRDefault="00BA5F13" w:rsidP="00BA5F13">
            <w:pPr>
              <w:spacing w:after="0" w:line="259" w:lineRule="auto"/>
              <w:ind w:left="0" w:right="69" w:firstLine="0"/>
              <w:jc w:val="right"/>
            </w:pPr>
            <w:r w:rsidRPr="00BA5F13">
              <w:t xml:space="preserve">0.4 </w:t>
            </w:r>
          </w:p>
        </w:tc>
        <w:tc>
          <w:tcPr>
            <w:tcW w:w="1367" w:type="dxa"/>
            <w:tcBorders>
              <w:top w:val="single" w:sz="6" w:space="0" w:color="000000"/>
              <w:left w:val="single" w:sz="6" w:space="0" w:color="000000"/>
              <w:bottom w:val="single" w:sz="6" w:space="0" w:color="000000"/>
              <w:right w:val="single" w:sz="6" w:space="0" w:color="000000"/>
            </w:tcBorders>
            <w:vAlign w:val="center"/>
          </w:tcPr>
          <w:p w14:paraId="71D7B741" w14:textId="77777777" w:rsidR="00BA5F13" w:rsidRPr="00BA5F13" w:rsidRDefault="00BA5F13" w:rsidP="00BA5F13">
            <w:pPr>
              <w:spacing w:after="0" w:line="259" w:lineRule="auto"/>
              <w:ind w:left="0" w:right="69" w:firstLine="0"/>
              <w:jc w:val="right"/>
            </w:pPr>
            <w:r w:rsidRPr="00BA5F13">
              <w:t xml:space="preserve">0.4 </w:t>
            </w:r>
          </w:p>
        </w:tc>
        <w:tc>
          <w:tcPr>
            <w:tcW w:w="1366" w:type="dxa"/>
            <w:tcBorders>
              <w:top w:val="single" w:sz="6" w:space="0" w:color="000000"/>
              <w:left w:val="single" w:sz="6" w:space="0" w:color="000000"/>
              <w:bottom w:val="single" w:sz="6" w:space="0" w:color="000000"/>
              <w:right w:val="single" w:sz="6" w:space="0" w:color="000000"/>
            </w:tcBorders>
            <w:vAlign w:val="center"/>
          </w:tcPr>
          <w:p w14:paraId="7B9E20AF" w14:textId="77777777" w:rsidR="00BA5F13" w:rsidRPr="00BA5F13" w:rsidRDefault="00BA5F13" w:rsidP="00BA5F13">
            <w:pPr>
              <w:spacing w:after="0" w:line="259" w:lineRule="auto"/>
              <w:ind w:left="0" w:right="69" w:firstLine="0"/>
              <w:jc w:val="right"/>
            </w:pPr>
            <w:r w:rsidRPr="00BA5F13">
              <w:t xml:space="preserve">0.4 </w:t>
            </w:r>
          </w:p>
        </w:tc>
      </w:tr>
      <w:tr w:rsidR="00BA5F13" w:rsidRPr="00BA5F13" w14:paraId="1F478F6E" w14:textId="77777777" w:rsidTr="004C09BE">
        <w:trPr>
          <w:trHeight w:val="1202"/>
        </w:trPr>
        <w:tc>
          <w:tcPr>
            <w:tcW w:w="5525" w:type="dxa"/>
            <w:tcBorders>
              <w:top w:val="single" w:sz="6" w:space="0" w:color="000000"/>
              <w:left w:val="single" w:sz="6" w:space="0" w:color="000000"/>
              <w:bottom w:val="single" w:sz="6" w:space="0" w:color="000000"/>
              <w:right w:val="single" w:sz="6" w:space="0" w:color="000000"/>
            </w:tcBorders>
          </w:tcPr>
          <w:p w14:paraId="7962251F" w14:textId="77777777" w:rsidR="00BA5F13" w:rsidRPr="00BA5F13" w:rsidRDefault="00BA5F13" w:rsidP="00BA5F13">
            <w:pPr>
              <w:spacing w:after="0" w:line="259" w:lineRule="auto"/>
              <w:ind w:left="0" w:right="97" w:firstLine="0"/>
            </w:pPr>
            <w:r w:rsidRPr="00BA5F13">
              <w:t xml:space="preserve">Innovation Fund - to meet the costs of new initiatives / developments which improve service delivery of fire fighter safety subject to approval of the Executive Board. </w:t>
            </w:r>
          </w:p>
        </w:tc>
        <w:tc>
          <w:tcPr>
            <w:tcW w:w="1337" w:type="dxa"/>
            <w:tcBorders>
              <w:top w:val="single" w:sz="6" w:space="0" w:color="000000"/>
              <w:left w:val="single" w:sz="6" w:space="0" w:color="000000"/>
              <w:bottom w:val="single" w:sz="6" w:space="0" w:color="000000"/>
              <w:right w:val="single" w:sz="6" w:space="0" w:color="000000"/>
            </w:tcBorders>
            <w:vAlign w:val="center"/>
          </w:tcPr>
          <w:p w14:paraId="4537083A" w14:textId="77777777" w:rsidR="00BA5F13" w:rsidRPr="00BA5F13" w:rsidRDefault="00BA5F13" w:rsidP="00BA5F13">
            <w:pPr>
              <w:spacing w:after="0" w:line="259" w:lineRule="auto"/>
              <w:ind w:left="0" w:right="84" w:firstLine="0"/>
              <w:jc w:val="right"/>
            </w:pPr>
            <w:r w:rsidRPr="00BA5F13">
              <w:t xml:space="preserve">0.5 </w:t>
            </w:r>
          </w:p>
        </w:tc>
        <w:tc>
          <w:tcPr>
            <w:tcW w:w="1471" w:type="dxa"/>
            <w:tcBorders>
              <w:top w:val="single" w:sz="6" w:space="0" w:color="000000"/>
              <w:left w:val="single" w:sz="6" w:space="0" w:color="000000"/>
              <w:bottom w:val="single" w:sz="6" w:space="0" w:color="000000"/>
              <w:right w:val="single" w:sz="6" w:space="0" w:color="000000"/>
            </w:tcBorders>
            <w:vAlign w:val="center"/>
          </w:tcPr>
          <w:p w14:paraId="6B437D8C" w14:textId="77777777" w:rsidR="00BA5F13" w:rsidRPr="00BA5F13" w:rsidRDefault="00BA5F13" w:rsidP="00BA5F13">
            <w:pPr>
              <w:spacing w:after="0" w:line="259" w:lineRule="auto"/>
              <w:ind w:left="0" w:right="69" w:firstLine="0"/>
              <w:jc w:val="right"/>
            </w:pPr>
            <w:r w:rsidRPr="00BA5F13">
              <w:t xml:space="preserve">0.4 </w:t>
            </w:r>
          </w:p>
        </w:tc>
        <w:tc>
          <w:tcPr>
            <w:tcW w:w="1516" w:type="dxa"/>
            <w:tcBorders>
              <w:top w:val="single" w:sz="6" w:space="0" w:color="000000"/>
              <w:left w:val="single" w:sz="6" w:space="0" w:color="000000"/>
              <w:bottom w:val="single" w:sz="6" w:space="0" w:color="000000"/>
              <w:right w:val="single" w:sz="6" w:space="0" w:color="000000"/>
            </w:tcBorders>
            <w:vAlign w:val="center"/>
          </w:tcPr>
          <w:p w14:paraId="173453F4" w14:textId="77777777" w:rsidR="00BA5F13" w:rsidRPr="00BA5F13" w:rsidRDefault="00BA5F13" w:rsidP="00BA5F13">
            <w:pPr>
              <w:spacing w:after="0" w:line="259" w:lineRule="auto"/>
              <w:ind w:left="0" w:right="69" w:firstLine="0"/>
              <w:jc w:val="right"/>
            </w:pPr>
            <w:r w:rsidRPr="00BA5F13">
              <w:t xml:space="preserve">0.3 </w:t>
            </w:r>
          </w:p>
        </w:tc>
        <w:tc>
          <w:tcPr>
            <w:tcW w:w="1366" w:type="dxa"/>
            <w:tcBorders>
              <w:top w:val="single" w:sz="6" w:space="0" w:color="000000"/>
              <w:left w:val="single" w:sz="6" w:space="0" w:color="000000"/>
              <w:bottom w:val="single" w:sz="6" w:space="0" w:color="000000"/>
              <w:right w:val="single" w:sz="6" w:space="0" w:color="000000"/>
            </w:tcBorders>
            <w:vAlign w:val="center"/>
          </w:tcPr>
          <w:p w14:paraId="4D85874A" w14:textId="77777777" w:rsidR="00BA5F13" w:rsidRPr="00BA5F13" w:rsidRDefault="00BA5F13" w:rsidP="00BA5F13">
            <w:pPr>
              <w:spacing w:after="0" w:line="259" w:lineRule="auto"/>
              <w:ind w:left="0" w:right="69" w:firstLine="0"/>
              <w:jc w:val="right"/>
            </w:pPr>
            <w:r w:rsidRPr="00BA5F13">
              <w:t xml:space="preserve">0.2 </w:t>
            </w:r>
          </w:p>
        </w:tc>
        <w:tc>
          <w:tcPr>
            <w:tcW w:w="1367" w:type="dxa"/>
            <w:tcBorders>
              <w:top w:val="single" w:sz="6" w:space="0" w:color="000000"/>
              <w:left w:val="single" w:sz="6" w:space="0" w:color="000000"/>
              <w:bottom w:val="single" w:sz="6" w:space="0" w:color="000000"/>
              <w:right w:val="single" w:sz="6" w:space="0" w:color="000000"/>
            </w:tcBorders>
            <w:vAlign w:val="center"/>
          </w:tcPr>
          <w:p w14:paraId="16A3FEF2" w14:textId="77777777" w:rsidR="00BA5F13" w:rsidRPr="00BA5F13" w:rsidRDefault="00BA5F13" w:rsidP="00BA5F13">
            <w:pPr>
              <w:spacing w:after="0" w:line="259" w:lineRule="auto"/>
              <w:ind w:left="0" w:right="69" w:firstLine="0"/>
              <w:jc w:val="right"/>
            </w:pPr>
            <w:r w:rsidRPr="00BA5F13">
              <w:t xml:space="preserve">0.1 </w:t>
            </w:r>
          </w:p>
        </w:tc>
        <w:tc>
          <w:tcPr>
            <w:tcW w:w="1366" w:type="dxa"/>
            <w:tcBorders>
              <w:top w:val="single" w:sz="6" w:space="0" w:color="000000"/>
              <w:left w:val="single" w:sz="6" w:space="0" w:color="000000"/>
              <w:bottom w:val="single" w:sz="6" w:space="0" w:color="000000"/>
              <w:right w:val="single" w:sz="6" w:space="0" w:color="000000"/>
            </w:tcBorders>
            <w:vAlign w:val="center"/>
          </w:tcPr>
          <w:p w14:paraId="2C785452" w14:textId="77777777" w:rsidR="00BA5F13" w:rsidRPr="00BA5F13" w:rsidRDefault="00BA5F13" w:rsidP="00BA5F13">
            <w:pPr>
              <w:spacing w:after="0" w:line="259" w:lineRule="auto"/>
              <w:ind w:left="0" w:right="69" w:firstLine="0"/>
              <w:jc w:val="right"/>
            </w:pPr>
            <w:r w:rsidRPr="00BA5F13">
              <w:t xml:space="preserve">0.0 </w:t>
            </w:r>
          </w:p>
        </w:tc>
      </w:tr>
      <w:tr w:rsidR="00BA5F13" w:rsidRPr="00BA5F13" w14:paraId="069481E0" w14:textId="77777777" w:rsidTr="004C09BE">
        <w:trPr>
          <w:trHeight w:val="331"/>
        </w:trPr>
        <w:tc>
          <w:tcPr>
            <w:tcW w:w="5525" w:type="dxa"/>
            <w:tcBorders>
              <w:top w:val="single" w:sz="6" w:space="0" w:color="000000"/>
              <w:left w:val="single" w:sz="6" w:space="0" w:color="000000"/>
              <w:bottom w:val="single" w:sz="6" w:space="0" w:color="000000"/>
              <w:right w:val="single" w:sz="6" w:space="0" w:color="000000"/>
            </w:tcBorders>
          </w:tcPr>
          <w:p w14:paraId="175626EF" w14:textId="77777777" w:rsidR="00BA5F13" w:rsidRPr="00BA5F13" w:rsidRDefault="00BA5F13" w:rsidP="00BA5F13">
            <w:pPr>
              <w:spacing w:after="0" w:line="259" w:lineRule="auto"/>
              <w:ind w:left="0" w:right="0" w:firstLine="0"/>
              <w:jc w:val="left"/>
            </w:pPr>
            <w:r w:rsidRPr="00BA5F13">
              <w:rPr>
                <w:b/>
              </w:rPr>
              <w:t xml:space="preserve">Total  </w:t>
            </w:r>
          </w:p>
        </w:tc>
        <w:tc>
          <w:tcPr>
            <w:tcW w:w="1337" w:type="dxa"/>
            <w:tcBorders>
              <w:top w:val="single" w:sz="6" w:space="0" w:color="000000"/>
              <w:left w:val="single" w:sz="6" w:space="0" w:color="000000"/>
              <w:bottom w:val="single" w:sz="6" w:space="0" w:color="000000"/>
              <w:right w:val="single" w:sz="6" w:space="0" w:color="000000"/>
            </w:tcBorders>
          </w:tcPr>
          <w:p w14:paraId="5F206C99" w14:textId="77777777" w:rsidR="00BA5F13" w:rsidRPr="00BA5F13" w:rsidRDefault="00BA5F13" w:rsidP="00BA5F13">
            <w:pPr>
              <w:spacing w:after="0" w:line="259" w:lineRule="auto"/>
              <w:ind w:left="0" w:right="84" w:firstLine="0"/>
              <w:jc w:val="right"/>
            </w:pPr>
            <w:r w:rsidRPr="00BA5F13">
              <w:rPr>
                <w:b/>
              </w:rPr>
              <w:t xml:space="preserve">30.2 </w:t>
            </w:r>
          </w:p>
        </w:tc>
        <w:tc>
          <w:tcPr>
            <w:tcW w:w="1471" w:type="dxa"/>
            <w:tcBorders>
              <w:top w:val="single" w:sz="6" w:space="0" w:color="000000"/>
              <w:left w:val="single" w:sz="6" w:space="0" w:color="000000"/>
              <w:bottom w:val="single" w:sz="6" w:space="0" w:color="000000"/>
              <w:right w:val="single" w:sz="6" w:space="0" w:color="000000"/>
            </w:tcBorders>
          </w:tcPr>
          <w:p w14:paraId="79F3183F" w14:textId="77777777" w:rsidR="00BA5F13" w:rsidRPr="00BA5F13" w:rsidRDefault="00BA5F13" w:rsidP="00BA5F13">
            <w:pPr>
              <w:spacing w:after="0" w:line="259" w:lineRule="auto"/>
              <w:ind w:left="0" w:right="69" w:firstLine="0"/>
              <w:jc w:val="right"/>
            </w:pPr>
            <w:r w:rsidRPr="00BA5F13">
              <w:rPr>
                <w:b/>
              </w:rPr>
              <w:t xml:space="preserve">22.1 </w:t>
            </w:r>
          </w:p>
        </w:tc>
        <w:tc>
          <w:tcPr>
            <w:tcW w:w="1516" w:type="dxa"/>
            <w:tcBorders>
              <w:top w:val="single" w:sz="6" w:space="0" w:color="000000"/>
              <w:left w:val="single" w:sz="6" w:space="0" w:color="000000"/>
              <w:bottom w:val="single" w:sz="6" w:space="0" w:color="000000"/>
              <w:right w:val="single" w:sz="6" w:space="0" w:color="000000"/>
            </w:tcBorders>
          </w:tcPr>
          <w:p w14:paraId="7DF633F3" w14:textId="77777777" w:rsidR="00BA5F13" w:rsidRPr="00BA5F13" w:rsidRDefault="00BA5F13" w:rsidP="00BA5F13">
            <w:pPr>
              <w:spacing w:after="0" w:line="259" w:lineRule="auto"/>
              <w:ind w:left="0" w:right="69" w:firstLine="0"/>
              <w:jc w:val="right"/>
            </w:pPr>
            <w:r w:rsidRPr="00BA5F13">
              <w:rPr>
                <w:b/>
              </w:rPr>
              <w:t xml:space="preserve">10.9 </w:t>
            </w:r>
          </w:p>
        </w:tc>
        <w:tc>
          <w:tcPr>
            <w:tcW w:w="1366" w:type="dxa"/>
            <w:tcBorders>
              <w:top w:val="single" w:sz="6" w:space="0" w:color="000000"/>
              <w:left w:val="single" w:sz="6" w:space="0" w:color="000000"/>
              <w:bottom w:val="single" w:sz="6" w:space="0" w:color="000000"/>
              <w:right w:val="single" w:sz="6" w:space="0" w:color="000000"/>
            </w:tcBorders>
          </w:tcPr>
          <w:p w14:paraId="6933F646" w14:textId="77777777" w:rsidR="00BA5F13" w:rsidRPr="00BA5F13" w:rsidRDefault="00BA5F13" w:rsidP="00BA5F13">
            <w:pPr>
              <w:spacing w:after="0" w:line="259" w:lineRule="auto"/>
              <w:ind w:left="0" w:right="69" w:firstLine="0"/>
              <w:jc w:val="right"/>
            </w:pPr>
            <w:r w:rsidRPr="00BA5F13">
              <w:rPr>
                <w:b/>
              </w:rPr>
              <w:t xml:space="preserve">10.2 </w:t>
            </w:r>
          </w:p>
        </w:tc>
        <w:tc>
          <w:tcPr>
            <w:tcW w:w="1367" w:type="dxa"/>
            <w:tcBorders>
              <w:top w:val="single" w:sz="6" w:space="0" w:color="000000"/>
              <w:left w:val="single" w:sz="6" w:space="0" w:color="000000"/>
              <w:bottom w:val="single" w:sz="6" w:space="0" w:color="000000"/>
              <w:right w:val="single" w:sz="6" w:space="0" w:color="000000"/>
            </w:tcBorders>
          </w:tcPr>
          <w:p w14:paraId="097BC528" w14:textId="77777777" w:rsidR="00BA5F13" w:rsidRPr="00BA5F13" w:rsidRDefault="00BA5F13" w:rsidP="00BA5F13">
            <w:pPr>
              <w:spacing w:after="0" w:line="259" w:lineRule="auto"/>
              <w:ind w:left="0" w:right="69" w:firstLine="0"/>
              <w:jc w:val="right"/>
            </w:pPr>
            <w:r w:rsidRPr="00BA5F13">
              <w:rPr>
                <w:b/>
              </w:rPr>
              <w:t xml:space="preserve">9.9 </w:t>
            </w:r>
          </w:p>
        </w:tc>
        <w:tc>
          <w:tcPr>
            <w:tcW w:w="1366" w:type="dxa"/>
            <w:tcBorders>
              <w:top w:val="single" w:sz="6" w:space="0" w:color="000000"/>
              <w:left w:val="single" w:sz="6" w:space="0" w:color="000000"/>
              <w:bottom w:val="single" w:sz="6" w:space="0" w:color="000000"/>
              <w:right w:val="single" w:sz="6" w:space="0" w:color="000000"/>
            </w:tcBorders>
          </w:tcPr>
          <w:p w14:paraId="6C474E52" w14:textId="77777777" w:rsidR="00BA5F13" w:rsidRPr="00BA5F13" w:rsidRDefault="00BA5F13" w:rsidP="00BA5F13">
            <w:pPr>
              <w:spacing w:after="0" w:line="259" w:lineRule="auto"/>
              <w:ind w:left="0" w:right="69" w:firstLine="0"/>
              <w:jc w:val="right"/>
            </w:pPr>
            <w:r w:rsidRPr="00BA5F13">
              <w:rPr>
                <w:b/>
              </w:rPr>
              <w:t xml:space="preserve">9.4 </w:t>
            </w:r>
          </w:p>
        </w:tc>
      </w:tr>
    </w:tbl>
    <w:p w14:paraId="0A471903" w14:textId="77777777" w:rsidR="00BA5F13" w:rsidRPr="00BA5F13" w:rsidRDefault="00BA5F13" w:rsidP="00BA5F13">
      <w:pPr>
        <w:spacing w:after="0" w:line="259" w:lineRule="auto"/>
        <w:ind w:left="0" w:right="0" w:firstLine="0"/>
        <w:jc w:val="left"/>
      </w:pPr>
      <w:r w:rsidRPr="00BA5F13">
        <w:rPr>
          <w:i/>
          <w:sz w:val="29"/>
        </w:rPr>
        <w:t xml:space="preserve"> </w:t>
      </w:r>
    </w:p>
    <w:p w14:paraId="7258BFC3" w14:textId="64974920" w:rsidR="00BA5F13" w:rsidRPr="00BA5F13" w:rsidRDefault="00BA5F13" w:rsidP="00BA5F13">
      <w:pPr>
        <w:spacing w:after="14"/>
        <w:ind w:left="0" w:right="441" w:firstLine="0"/>
        <w:rPr>
          <w:iCs/>
        </w:rPr>
      </w:pPr>
    </w:p>
    <w:p w14:paraId="2674ACAC" w14:textId="77777777" w:rsidR="00110406" w:rsidRDefault="00110406" w:rsidP="00110406">
      <w:pPr>
        <w:spacing w:after="228" w:line="259" w:lineRule="auto"/>
        <w:ind w:left="30" w:right="0" w:firstLine="0"/>
        <w:jc w:val="left"/>
      </w:pPr>
      <w:r>
        <w:lastRenderedPageBreak/>
        <w:t xml:space="preserve">  </w:t>
      </w:r>
    </w:p>
    <w:p w14:paraId="65111C8C" w14:textId="77777777" w:rsidR="00110406" w:rsidRDefault="00110406" w:rsidP="00110406">
      <w:pPr>
        <w:spacing w:after="257" w:line="259" w:lineRule="auto"/>
        <w:ind w:right="458"/>
        <w:jc w:val="right"/>
      </w:pPr>
      <w:r>
        <w:rPr>
          <w:b/>
        </w:rPr>
        <w:t xml:space="preserve">Appendix D </w:t>
      </w:r>
    </w:p>
    <w:p w14:paraId="5C810D6F" w14:textId="77777777" w:rsidR="00110406" w:rsidRDefault="00110406" w:rsidP="00110406">
      <w:pPr>
        <w:spacing w:after="156" w:line="259" w:lineRule="auto"/>
        <w:ind w:left="0" w:right="0" w:firstLine="0"/>
        <w:jc w:val="left"/>
      </w:pPr>
      <w:r>
        <w:rPr>
          <w:b/>
          <w:sz w:val="29"/>
        </w:rPr>
        <w:t xml:space="preserve">Treasury Management Strategy </w:t>
      </w:r>
    </w:p>
    <w:p w14:paraId="5DED4EB6" w14:textId="77777777" w:rsidR="00110406" w:rsidRDefault="00110406" w:rsidP="00110406">
      <w:pPr>
        <w:pStyle w:val="Heading1"/>
        <w:spacing w:after="169"/>
        <w:ind w:left="25"/>
      </w:pPr>
      <w:r>
        <w:t xml:space="preserve">Introduction </w:t>
      </w:r>
    </w:p>
    <w:p w14:paraId="73F191D4" w14:textId="77777777" w:rsidR="00110406" w:rsidRDefault="00110406" w:rsidP="00110406">
      <w:pPr>
        <w:spacing w:after="226"/>
        <w:ind w:left="15" w:right="611" w:firstLine="0"/>
      </w:pPr>
      <w:r>
        <w:t xml:space="preserve">Treasury Management is defined as “The management of the Authority’s investments and cash flows, its banking, money market and capital market transactions; the effective control of the risks associated with those activities; and the pursuit of optimum performance consistent with those risks.” </w:t>
      </w:r>
    </w:p>
    <w:p w14:paraId="15745992" w14:textId="77777777" w:rsidR="00110406" w:rsidRDefault="00110406" w:rsidP="00110406">
      <w:pPr>
        <w:spacing w:after="242"/>
        <w:ind w:left="15" w:right="611" w:firstLine="0"/>
      </w:pPr>
      <w:r>
        <w:t xml:space="preserve">The Local Government Act 2003 (the Act), and supporting Regulations, requires the Authority to “have regard to” the CIPFA Prudential Code and the CIPFA Treasury Management Code of Practice to set Prudential and Treasury Indicators for the next three years to ensure that the Authority’s capital investment plans are affordable, prudent, and sustainable. The Code also requires the Authority to approve a treasury management strategy before the start of each financial year. The authority also adheres to investment guidance issued by the then Ministry of Housing, Communities and Local Government (MHCLG). </w:t>
      </w:r>
    </w:p>
    <w:p w14:paraId="2B9CEAB7" w14:textId="77777777" w:rsidR="00110406" w:rsidRDefault="00110406" w:rsidP="00110406">
      <w:pPr>
        <w:spacing w:after="227"/>
        <w:ind w:left="15" w:right="611" w:firstLine="0"/>
      </w:pPr>
      <w:r>
        <w:t xml:space="preserve">The definition of investments in the codes is wide raging and includes </w:t>
      </w:r>
      <w:proofErr w:type="spellStart"/>
      <w:r>
        <w:t>nontreasury</w:t>
      </w:r>
      <w:proofErr w:type="spellEnd"/>
      <w:r>
        <w:t xml:space="preserve"> investments for example loans to third parties and the holding of property to make a profit. Where these are held a separate strategy is required. However, it is not considered that the Combined Fire Authority hold any such assets and it does not propose to engage in any such investments in 2024/25.  </w:t>
      </w:r>
    </w:p>
    <w:p w14:paraId="3DE53C8E" w14:textId="77777777" w:rsidR="00110406" w:rsidRDefault="00110406" w:rsidP="00110406">
      <w:pPr>
        <w:pStyle w:val="Heading1"/>
        <w:ind w:left="25"/>
      </w:pPr>
      <w:r>
        <w:t xml:space="preserve">Treasury Management Strategy for 2024/25 </w:t>
      </w:r>
    </w:p>
    <w:p w14:paraId="1E50F7C4" w14:textId="77777777" w:rsidR="00110406" w:rsidRDefault="00110406" w:rsidP="00110406">
      <w:pPr>
        <w:ind w:left="25" w:right="468" w:firstLine="0"/>
      </w:pPr>
      <w:r>
        <w:t xml:space="preserve">This Strategy Statement has been prepared in accordance with the CIPFA Treasury Management Code of Practice. Accordingly, the Lancashire Combined </w:t>
      </w:r>
    </w:p>
    <w:p w14:paraId="233DEE6D" w14:textId="77777777" w:rsidR="00110406" w:rsidRDefault="00110406" w:rsidP="00110406">
      <w:pPr>
        <w:ind w:left="25" w:right="531" w:firstLine="0"/>
      </w:pPr>
      <w:r>
        <w:t xml:space="preserve">Fire Authority's Treasury Management Strategy will be approved by the full Authority, and there will also be a mid-year and a year-end outturn report presented to the Resources Committee. In addition, there will be monitoring and review reports to members in the event of any changes to Treasury </w:t>
      </w:r>
    </w:p>
    <w:p w14:paraId="19F0855F" w14:textId="77777777" w:rsidR="00110406" w:rsidRDefault="00110406" w:rsidP="00110406">
      <w:pPr>
        <w:spacing w:after="242"/>
        <w:ind w:left="25" w:right="587" w:firstLine="0"/>
      </w:pPr>
      <w:r>
        <w:t xml:space="preserve">Management policies or practices. The aim of these reporting arrangements is to ensure that those with ultimate responsibility for the treasury management function appreciate fully the implications of treasury management policies and activities, and that </w:t>
      </w:r>
      <w:r>
        <w:lastRenderedPageBreak/>
        <w:t xml:space="preserve">those implementing policies and executing transactions have properly fulfilled their responsibilities regarding delegation and reporting.  </w:t>
      </w:r>
    </w:p>
    <w:p w14:paraId="3B3942B6" w14:textId="77777777" w:rsidR="00110406" w:rsidRDefault="00110406" w:rsidP="00110406">
      <w:pPr>
        <w:spacing w:after="227"/>
        <w:ind w:left="25" w:right="468" w:firstLine="0"/>
      </w:pPr>
      <w:r>
        <w:t xml:space="preserve">This Authority has adopted the following reporting arrangements in accordance with the requirements of the revised Code:  </w:t>
      </w:r>
    </w:p>
    <w:p w14:paraId="1EC1189C" w14:textId="77777777" w:rsidR="00110406" w:rsidRDefault="00110406" w:rsidP="00110406">
      <w:pPr>
        <w:ind w:left="25" w:right="468"/>
      </w:pPr>
      <w:r>
        <w:t xml:space="preserve">Table 1 Treasury Management reporting arrangements </w:t>
      </w:r>
    </w:p>
    <w:tbl>
      <w:tblPr>
        <w:tblStyle w:val="TableGrid"/>
        <w:tblW w:w="9252" w:type="dxa"/>
        <w:tblInd w:w="-8" w:type="dxa"/>
        <w:tblCellMar>
          <w:top w:w="0" w:type="dxa"/>
          <w:left w:w="112" w:type="dxa"/>
          <w:bottom w:w="0" w:type="dxa"/>
          <w:right w:w="46" w:type="dxa"/>
        </w:tblCellMar>
        <w:tblLook w:val="04A0" w:firstRow="1" w:lastRow="0" w:firstColumn="1" w:lastColumn="0" w:noHBand="0" w:noVBand="1"/>
      </w:tblPr>
      <w:tblGrid>
        <w:gridCol w:w="3680"/>
        <w:gridCol w:w="2388"/>
        <w:gridCol w:w="3184"/>
      </w:tblGrid>
      <w:tr w:rsidR="00110406" w14:paraId="273FCE06" w14:textId="77777777" w:rsidTr="004C09BE">
        <w:trPr>
          <w:trHeight w:val="480"/>
        </w:trPr>
        <w:tc>
          <w:tcPr>
            <w:tcW w:w="3680" w:type="dxa"/>
            <w:tcBorders>
              <w:top w:val="single" w:sz="6" w:space="0" w:color="000000"/>
              <w:left w:val="single" w:sz="6" w:space="0" w:color="000000"/>
              <w:bottom w:val="single" w:sz="6" w:space="0" w:color="000000"/>
              <w:right w:val="single" w:sz="6" w:space="0" w:color="000000"/>
            </w:tcBorders>
          </w:tcPr>
          <w:p w14:paraId="70D9E000" w14:textId="77777777" w:rsidR="00110406" w:rsidRDefault="00110406" w:rsidP="004C09BE">
            <w:pPr>
              <w:spacing w:after="0" w:line="259" w:lineRule="auto"/>
              <w:ind w:left="0" w:right="0" w:firstLine="0"/>
              <w:jc w:val="left"/>
            </w:pPr>
            <w:r>
              <w:rPr>
                <w:b/>
              </w:rPr>
              <w:t xml:space="preserve">Area of Responsibility  </w:t>
            </w:r>
          </w:p>
        </w:tc>
        <w:tc>
          <w:tcPr>
            <w:tcW w:w="2388" w:type="dxa"/>
            <w:tcBorders>
              <w:top w:val="single" w:sz="6" w:space="0" w:color="000000"/>
              <w:left w:val="single" w:sz="6" w:space="0" w:color="000000"/>
              <w:bottom w:val="single" w:sz="6" w:space="0" w:color="000000"/>
              <w:right w:val="single" w:sz="6" w:space="0" w:color="000000"/>
            </w:tcBorders>
          </w:tcPr>
          <w:p w14:paraId="71735D34" w14:textId="77777777" w:rsidR="00110406" w:rsidRDefault="00110406" w:rsidP="004C09BE">
            <w:pPr>
              <w:spacing w:after="0" w:line="259" w:lineRule="auto"/>
              <w:ind w:left="1" w:right="0" w:firstLine="0"/>
            </w:pPr>
            <w:r>
              <w:rPr>
                <w:b/>
              </w:rPr>
              <w:t xml:space="preserve">Committee/ Officer </w:t>
            </w:r>
          </w:p>
        </w:tc>
        <w:tc>
          <w:tcPr>
            <w:tcW w:w="3184" w:type="dxa"/>
            <w:tcBorders>
              <w:top w:val="single" w:sz="6" w:space="0" w:color="000000"/>
              <w:left w:val="single" w:sz="6" w:space="0" w:color="000000"/>
              <w:bottom w:val="single" w:sz="6" w:space="0" w:color="000000"/>
              <w:right w:val="single" w:sz="6" w:space="0" w:color="000000"/>
            </w:tcBorders>
          </w:tcPr>
          <w:p w14:paraId="71CB81CF" w14:textId="77777777" w:rsidR="00110406" w:rsidRDefault="00110406" w:rsidP="004C09BE">
            <w:pPr>
              <w:spacing w:after="0" w:line="259" w:lineRule="auto"/>
              <w:ind w:left="1" w:right="0" w:firstLine="0"/>
              <w:jc w:val="left"/>
            </w:pPr>
            <w:r>
              <w:rPr>
                <w:b/>
              </w:rPr>
              <w:t xml:space="preserve">Frequency  </w:t>
            </w:r>
          </w:p>
        </w:tc>
      </w:tr>
      <w:tr w:rsidR="00110406" w14:paraId="40BFF32D" w14:textId="77777777" w:rsidTr="004C09BE">
        <w:trPr>
          <w:trHeight w:val="721"/>
        </w:trPr>
        <w:tc>
          <w:tcPr>
            <w:tcW w:w="3680" w:type="dxa"/>
            <w:tcBorders>
              <w:top w:val="single" w:sz="6" w:space="0" w:color="000000"/>
              <w:left w:val="single" w:sz="6" w:space="0" w:color="000000"/>
              <w:bottom w:val="single" w:sz="6" w:space="0" w:color="000000"/>
              <w:right w:val="single" w:sz="6" w:space="0" w:color="000000"/>
            </w:tcBorders>
          </w:tcPr>
          <w:p w14:paraId="55CF7E57" w14:textId="77777777" w:rsidR="00110406" w:rsidRDefault="00110406" w:rsidP="004C09BE">
            <w:pPr>
              <w:spacing w:after="0" w:line="259" w:lineRule="auto"/>
              <w:ind w:left="0" w:right="0" w:firstLine="0"/>
              <w:jc w:val="left"/>
            </w:pPr>
            <w:r>
              <w:t xml:space="preserve">Treasury Management Policy Statement   </w:t>
            </w:r>
          </w:p>
        </w:tc>
        <w:tc>
          <w:tcPr>
            <w:tcW w:w="2388" w:type="dxa"/>
            <w:tcBorders>
              <w:top w:val="single" w:sz="6" w:space="0" w:color="000000"/>
              <w:left w:val="single" w:sz="6" w:space="0" w:color="000000"/>
              <w:bottom w:val="single" w:sz="6" w:space="0" w:color="000000"/>
              <w:right w:val="single" w:sz="6" w:space="0" w:color="000000"/>
            </w:tcBorders>
          </w:tcPr>
          <w:p w14:paraId="142EB85C" w14:textId="77777777" w:rsidR="00110406" w:rsidRDefault="00110406" w:rsidP="004C09BE">
            <w:pPr>
              <w:spacing w:after="2" w:line="259" w:lineRule="auto"/>
              <w:ind w:left="1" w:right="0" w:firstLine="0"/>
              <w:jc w:val="left"/>
            </w:pPr>
            <w:r>
              <w:t xml:space="preserve">Resources </w:t>
            </w:r>
          </w:p>
          <w:p w14:paraId="5F635259" w14:textId="77777777" w:rsidR="00110406" w:rsidRDefault="00110406" w:rsidP="004C09BE">
            <w:pPr>
              <w:spacing w:after="0" w:line="259" w:lineRule="auto"/>
              <w:ind w:left="1" w:right="0" w:firstLine="0"/>
              <w:jc w:val="left"/>
            </w:pPr>
            <w:r>
              <w:t xml:space="preserve">Committee/Authority </w:t>
            </w:r>
          </w:p>
        </w:tc>
        <w:tc>
          <w:tcPr>
            <w:tcW w:w="3184" w:type="dxa"/>
            <w:tcBorders>
              <w:top w:val="single" w:sz="6" w:space="0" w:color="000000"/>
              <w:left w:val="single" w:sz="6" w:space="0" w:color="000000"/>
              <w:bottom w:val="single" w:sz="6" w:space="0" w:color="000000"/>
              <w:right w:val="single" w:sz="6" w:space="0" w:color="000000"/>
            </w:tcBorders>
          </w:tcPr>
          <w:p w14:paraId="005B11A1" w14:textId="77777777" w:rsidR="00110406" w:rsidRDefault="00110406" w:rsidP="004C09BE">
            <w:pPr>
              <w:spacing w:after="0" w:line="259" w:lineRule="auto"/>
              <w:ind w:left="1" w:right="0" w:firstLine="0"/>
              <w:jc w:val="left"/>
            </w:pPr>
            <w:r>
              <w:t xml:space="preserve">Annually </w:t>
            </w:r>
          </w:p>
        </w:tc>
      </w:tr>
      <w:tr w:rsidR="00110406" w14:paraId="4DF01E98" w14:textId="77777777" w:rsidTr="004C09BE">
        <w:trPr>
          <w:trHeight w:val="1186"/>
        </w:trPr>
        <w:tc>
          <w:tcPr>
            <w:tcW w:w="3680" w:type="dxa"/>
            <w:tcBorders>
              <w:top w:val="single" w:sz="6" w:space="0" w:color="000000"/>
              <w:left w:val="single" w:sz="6" w:space="0" w:color="000000"/>
              <w:bottom w:val="single" w:sz="6" w:space="0" w:color="000000"/>
              <w:right w:val="single" w:sz="6" w:space="0" w:color="000000"/>
            </w:tcBorders>
          </w:tcPr>
          <w:p w14:paraId="1EE0ED34" w14:textId="77777777" w:rsidR="00110406" w:rsidRDefault="00110406" w:rsidP="004C09BE">
            <w:pPr>
              <w:spacing w:after="2" w:line="259" w:lineRule="auto"/>
              <w:ind w:left="0" w:right="0" w:firstLine="0"/>
            </w:pPr>
            <w:r>
              <w:t xml:space="preserve">Treasury Management Strategy  </w:t>
            </w:r>
          </w:p>
          <w:p w14:paraId="35F89C50" w14:textId="77777777" w:rsidR="00110406" w:rsidRDefault="00110406" w:rsidP="004C09BE">
            <w:pPr>
              <w:spacing w:after="0" w:line="259" w:lineRule="auto"/>
              <w:ind w:left="0" w:right="307" w:firstLine="0"/>
            </w:pPr>
            <w:r>
              <w:t xml:space="preserve">/ Annual Investment Strategy / MRP policy – scrutiny and approval  </w:t>
            </w:r>
          </w:p>
        </w:tc>
        <w:tc>
          <w:tcPr>
            <w:tcW w:w="2388" w:type="dxa"/>
            <w:tcBorders>
              <w:top w:val="single" w:sz="6" w:space="0" w:color="000000"/>
              <w:left w:val="single" w:sz="6" w:space="0" w:color="000000"/>
              <w:bottom w:val="single" w:sz="6" w:space="0" w:color="000000"/>
              <w:right w:val="single" w:sz="6" w:space="0" w:color="000000"/>
            </w:tcBorders>
            <w:vAlign w:val="center"/>
          </w:tcPr>
          <w:p w14:paraId="1D917A4A" w14:textId="77777777" w:rsidR="00110406" w:rsidRDefault="00110406" w:rsidP="004C09BE">
            <w:pPr>
              <w:spacing w:after="0" w:line="259" w:lineRule="auto"/>
              <w:ind w:left="1" w:right="0" w:firstLine="0"/>
              <w:jc w:val="left"/>
            </w:pPr>
            <w:r>
              <w:t xml:space="preserve">Resources </w:t>
            </w:r>
          </w:p>
          <w:p w14:paraId="710D1876" w14:textId="77777777" w:rsidR="00110406" w:rsidRDefault="00110406" w:rsidP="004C09BE">
            <w:pPr>
              <w:spacing w:after="0" w:line="259" w:lineRule="auto"/>
              <w:ind w:left="1" w:right="0" w:firstLine="0"/>
              <w:jc w:val="left"/>
            </w:pPr>
            <w:r>
              <w:t xml:space="preserve">Committee/ </w:t>
            </w:r>
          </w:p>
          <w:p w14:paraId="1E704DD2" w14:textId="77777777" w:rsidR="00110406" w:rsidRDefault="00110406" w:rsidP="004C09BE">
            <w:pPr>
              <w:spacing w:after="0" w:line="259" w:lineRule="auto"/>
              <w:ind w:left="1" w:right="0" w:firstLine="0"/>
              <w:jc w:val="left"/>
            </w:pPr>
            <w:r>
              <w:t xml:space="preserve">Authority </w:t>
            </w:r>
          </w:p>
        </w:tc>
        <w:tc>
          <w:tcPr>
            <w:tcW w:w="3184" w:type="dxa"/>
            <w:tcBorders>
              <w:top w:val="single" w:sz="6" w:space="0" w:color="000000"/>
              <w:left w:val="single" w:sz="6" w:space="0" w:color="000000"/>
              <w:bottom w:val="single" w:sz="6" w:space="0" w:color="000000"/>
              <w:right w:val="single" w:sz="6" w:space="0" w:color="000000"/>
            </w:tcBorders>
            <w:vAlign w:val="center"/>
          </w:tcPr>
          <w:p w14:paraId="55663AF1" w14:textId="77777777" w:rsidR="00110406" w:rsidRDefault="00110406" w:rsidP="004C09BE">
            <w:pPr>
              <w:spacing w:after="0" w:line="259" w:lineRule="auto"/>
              <w:ind w:left="1" w:right="0" w:firstLine="0"/>
            </w:pPr>
            <w:r>
              <w:t xml:space="preserve">Annually before the start of the year  </w:t>
            </w:r>
          </w:p>
        </w:tc>
      </w:tr>
    </w:tbl>
    <w:p w14:paraId="0FD28E67" w14:textId="77777777" w:rsidR="00110406" w:rsidRDefault="00110406" w:rsidP="00110406">
      <w:pPr>
        <w:spacing w:after="120" w:line="259" w:lineRule="auto"/>
        <w:ind w:right="465"/>
        <w:jc w:val="center"/>
      </w:pPr>
      <w:r>
        <w:t xml:space="preserve">1  </w:t>
      </w:r>
    </w:p>
    <w:tbl>
      <w:tblPr>
        <w:tblStyle w:val="TableGrid"/>
        <w:tblW w:w="9252" w:type="dxa"/>
        <w:tblInd w:w="-8" w:type="dxa"/>
        <w:tblCellMar>
          <w:top w:w="15" w:type="dxa"/>
          <w:left w:w="0" w:type="dxa"/>
          <w:bottom w:w="0" w:type="dxa"/>
          <w:right w:w="38" w:type="dxa"/>
        </w:tblCellMar>
        <w:tblLook w:val="04A0" w:firstRow="1" w:lastRow="0" w:firstColumn="1" w:lastColumn="0" w:noHBand="0" w:noVBand="1"/>
      </w:tblPr>
      <w:tblGrid>
        <w:gridCol w:w="3680"/>
        <w:gridCol w:w="2388"/>
        <w:gridCol w:w="3184"/>
      </w:tblGrid>
      <w:tr w:rsidR="00110406" w14:paraId="1A7E0D42" w14:textId="77777777" w:rsidTr="004C09BE">
        <w:trPr>
          <w:trHeight w:val="480"/>
        </w:trPr>
        <w:tc>
          <w:tcPr>
            <w:tcW w:w="3680" w:type="dxa"/>
            <w:tcBorders>
              <w:top w:val="single" w:sz="6" w:space="0" w:color="000000"/>
              <w:left w:val="single" w:sz="6" w:space="0" w:color="000000"/>
              <w:bottom w:val="single" w:sz="6" w:space="0" w:color="000000"/>
              <w:right w:val="single" w:sz="6" w:space="0" w:color="000000"/>
            </w:tcBorders>
          </w:tcPr>
          <w:p w14:paraId="1BADCF73" w14:textId="77777777" w:rsidR="00110406" w:rsidRDefault="00110406" w:rsidP="004C09BE">
            <w:pPr>
              <w:spacing w:after="0" w:line="259" w:lineRule="auto"/>
              <w:ind w:left="112" w:right="0" w:firstLine="0"/>
              <w:jc w:val="left"/>
            </w:pPr>
            <w:r>
              <w:rPr>
                <w:b/>
              </w:rPr>
              <w:t xml:space="preserve">Area of Responsibility  </w:t>
            </w:r>
          </w:p>
        </w:tc>
        <w:tc>
          <w:tcPr>
            <w:tcW w:w="2388" w:type="dxa"/>
            <w:tcBorders>
              <w:top w:val="single" w:sz="6" w:space="0" w:color="000000"/>
              <w:left w:val="single" w:sz="6" w:space="0" w:color="000000"/>
              <w:bottom w:val="single" w:sz="6" w:space="0" w:color="000000"/>
              <w:right w:val="single" w:sz="6" w:space="0" w:color="000000"/>
            </w:tcBorders>
          </w:tcPr>
          <w:p w14:paraId="75FC33EF" w14:textId="77777777" w:rsidR="00110406" w:rsidRDefault="00110406" w:rsidP="004C09BE">
            <w:pPr>
              <w:spacing w:after="0" w:line="259" w:lineRule="auto"/>
              <w:ind w:left="113" w:right="0" w:firstLine="0"/>
            </w:pPr>
            <w:r>
              <w:rPr>
                <w:b/>
              </w:rPr>
              <w:t xml:space="preserve">Committee/ Officer </w:t>
            </w:r>
          </w:p>
        </w:tc>
        <w:tc>
          <w:tcPr>
            <w:tcW w:w="3184" w:type="dxa"/>
            <w:tcBorders>
              <w:top w:val="single" w:sz="6" w:space="0" w:color="000000"/>
              <w:left w:val="single" w:sz="6" w:space="0" w:color="000000"/>
              <w:bottom w:val="single" w:sz="6" w:space="0" w:color="000000"/>
              <w:right w:val="single" w:sz="6" w:space="0" w:color="000000"/>
            </w:tcBorders>
          </w:tcPr>
          <w:p w14:paraId="67614AC3" w14:textId="77777777" w:rsidR="00110406" w:rsidRDefault="00110406" w:rsidP="004C09BE">
            <w:pPr>
              <w:spacing w:after="0" w:line="259" w:lineRule="auto"/>
              <w:ind w:left="113" w:right="0" w:firstLine="0"/>
              <w:jc w:val="left"/>
            </w:pPr>
            <w:r>
              <w:rPr>
                <w:b/>
              </w:rPr>
              <w:t xml:space="preserve">Frequency  </w:t>
            </w:r>
          </w:p>
        </w:tc>
      </w:tr>
      <w:tr w:rsidR="00110406" w14:paraId="2971E3A8" w14:textId="77777777" w:rsidTr="004C09BE">
        <w:trPr>
          <w:trHeight w:val="796"/>
        </w:trPr>
        <w:tc>
          <w:tcPr>
            <w:tcW w:w="3680" w:type="dxa"/>
            <w:tcBorders>
              <w:top w:val="single" w:sz="6" w:space="0" w:color="000000"/>
              <w:left w:val="single" w:sz="6" w:space="0" w:color="000000"/>
              <w:bottom w:val="single" w:sz="6" w:space="0" w:color="000000"/>
              <w:right w:val="single" w:sz="6" w:space="0" w:color="000000"/>
            </w:tcBorders>
          </w:tcPr>
          <w:p w14:paraId="70CF5E76" w14:textId="77777777" w:rsidR="00110406" w:rsidRDefault="00110406" w:rsidP="004C09BE">
            <w:pPr>
              <w:spacing w:after="0" w:line="259" w:lineRule="auto"/>
              <w:ind w:left="112" w:right="0" w:firstLine="0"/>
              <w:jc w:val="left"/>
            </w:pPr>
            <w:r>
              <w:t xml:space="preserve">Treasury Management mid-year report,  </w:t>
            </w:r>
          </w:p>
        </w:tc>
        <w:tc>
          <w:tcPr>
            <w:tcW w:w="2388" w:type="dxa"/>
            <w:tcBorders>
              <w:top w:val="single" w:sz="6" w:space="0" w:color="000000"/>
              <w:left w:val="single" w:sz="6" w:space="0" w:color="000000"/>
              <w:bottom w:val="single" w:sz="6" w:space="0" w:color="000000"/>
              <w:right w:val="single" w:sz="6" w:space="0" w:color="000000"/>
            </w:tcBorders>
            <w:vAlign w:val="center"/>
          </w:tcPr>
          <w:p w14:paraId="5E67CBA1" w14:textId="77777777" w:rsidR="00110406" w:rsidRDefault="00110406" w:rsidP="004C09BE">
            <w:pPr>
              <w:spacing w:after="0" w:line="259" w:lineRule="auto"/>
              <w:ind w:left="113" w:right="0" w:firstLine="0"/>
              <w:jc w:val="left"/>
            </w:pPr>
            <w:r>
              <w:t xml:space="preserve">Resources Committee </w:t>
            </w:r>
          </w:p>
        </w:tc>
        <w:tc>
          <w:tcPr>
            <w:tcW w:w="3184" w:type="dxa"/>
            <w:tcBorders>
              <w:top w:val="single" w:sz="6" w:space="0" w:color="000000"/>
              <w:left w:val="single" w:sz="6" w:space="0" w:color="000000"/>
              <w:bottom w:val="single" w:sz="6" w:space="0" w:color="000000"/>
              <w:right w:val="single" w:sz="6" w:space="0" w:color="000000"/>
            </w:tcBorders>
            <w:vAlign w:val="center"/>
          </w:tcPr>
          <w:p w14:paraId="4EFBB595" w14:textId="77777777" w:rsidR="00110406" w:rsidRDefault="00110406" w:rsidP="004C09BE">
            <w:pPr>
              <w:spacing w:after="0" w:line="259" w:lineRule="auto"/>
              <w:ind w:left="113" w:right="0" w:firstLine="0"/>
              <w:jc w:val="left"/>
            </w:pPr>
            <w:r>
              <w:t xml:space="preserve">Mid-year  </w:t>
            </w:r>
          </w:p>
        </w:tc>
      </w:tr>
      <w:tr w:rsidR="00110406" w14:paraId="1792D9BB" w14:textId="77777777" w:rsidTr="004C09BE">
        <w:trPr>
          <w:trHeight w:val="1201"/>
        </w:trPr>
        <w:tc>
          <w:tcPr>
            <w:tcW w:w="3680" w:type="dxa"/>
            <w:tcBorders>
              <w:top w:val="single" w:sz="6" w:space="0" w:color="000000"/>
              <w:left w:val="single" w:sz="6" w:space="0" w:color="000000"/>
              <w:bottom w:val="single" w:sz="6" w:space="0" w:color="000000"/>
              <w:right w:val="single" w:sz="6" w:space="0" w:color="000000"/>
            </w:tcBorders>
          </w:tcPr>
          <w:p w14:paraId="1137654C" w14:textId="77777777" w:rsidR="00110406" w:rsidRDefault="00110406" w:rsidP="004C09BE">
            <w:pPr>
              <w:spacing w:after="2" w:line="259" w:lineRule="auto"/>
              <w:ind w:left="112" w:right="0" w:firstLine="0"/>
            </w:pPr>
            <w:r>
              <w:t xml:space="preserve">Treasury Management Strategy  </w:t>
            </w:r>
          </w:p>
          <w:p w14:paraId="1535D01B" w14:textId="77777777" w:rsidR="00110406" w:rsidRDefault="00110406" w:rsidP="004C09BE">
            <w:pPr>
              <w:spacing w:after="0" w:line="259" w:lineRule="auto"/>
              <w:ind w:left="112" w:right="315" w:firstLine="0"/>
            </w:pPr>
            <w:r>
              <w:t xml:space="preserve">/ Annual Investment Strategy / MRP policy – updates or revisions at other times   </w:t>
            </w:r>
          </w:p>
        </w:tc>
        <w:tc>
          <w:tcPr>
            <w:tcW w:w="2388" w:type="dxa"/>
            <w:tcBorders>
              <w:top w:val="single" w:sz="6" w:space="0" w:color="000000"/>
              <w:left w:val="single" w:sz="6" w:space="0" w:color="000000"/>
              <w:bottom w:val="single" w:sz="6" w:space="0" w:color="000000"/>
              <w:right w:val="single" w:sz="6" w:space="0" w:color="000000"/>
            </w:tcBorders>
            <w:vAlign w:val="center"/>
          </w:tcPr>
          <w:p w14:paraId="4C7D57D3" w14:textId="77777777" w:rsidR="00110406" w:rsidRDefault="00110406" w:rsidP="004C09BE">
            <w:pPr>
              <w:spacing w:after="0" w:line="259" w:lineRule="auto"/>
              <w:ind w:left="113" w:right="0" w:firstLine="0"/>
              <w:jc w:val="left"/>
            </w:pPr>
            <w:r>
              <w:t xml:space="preserve">Resources Committee </w:t>
            </w:r>
          </w:p>
        </w:tc>
        <w:tc>
          <w:tcPr>
            <w:tcW w:w="3184" w:type="dxa"/>
            <w:tcBorders>
              <w:top w:val="single" w:sz="6" w:space="0" w:color="000000"/>
              <w:left w:val="single" w:sz="6" w:space="0" w:color="000000"/>
              <w:bottom w:val="single" w:sz="6" w:space="0" w:color="000000"/>
              <w:right w:val="single" w:sz="6" w:space="0" w:color="000000"/>
            </w:tcBorders>
            <w:vAlign w:val="center"/>
          </w:tcPr>
          <w:p w14:paraId="7F9F2672" w14:textId="77777777" w:rsidR="00110406" w:rsidRDefault="00110406" w:rsidP="004C09BE">
            <w:pPr>
              <w:spacing w:after="0" w:line="259" w:lineRule="auto"/>
              <w:ind w:left="113" w:right="0" w:firstLine="0"/>
              <w:jc w:val="left"/>
            </w:pPr>
            <w:r>
              <w:t xml:space="preserve">As required  </w:t>
            </w:r>
          </w:p>
        </w:tc>
      </w:tr>
      <w:tr w:rsidR="00110406" w14:paraId="537D7199" w14:textId="77777777" w:rsidTr="004C09BE">
        <w:trPr>
          <w:trHeight w:val="870"/>
        </w:trPr>
        <w:tc>
          <w:tcPr>
            <w:tcW w:w="3680" w:type="dxa"/>
            <w:tcBorders>
              <w:top w:val="single" w:sz="6" w:space="0" w:color="000000"/>
              <w:left w:val="single" w:sz="6" w:space="0" w:color="000000"/>
              <w:bottom w:val="single" w:sz="6" w:space="0" w:color="000000"/>
              <w:right w:val="single" w:sz="6" w:space="0" w:color="000000"/>
            </w:tcBorders>
            <w:vAlign w:val="center"/>
          </w:tcPr>
          <w:p w14:paraId="77B78737" w14:textId="77777777" w:rsidR="00110406" w:rsidRDefault="00110406" w:rsidP="004C09BE">
            <w:pPr>
              <w:spacing w:after="0" w:line="259" w:lineRule="auto"/>
              <w:ind w:left="112" w:right="0" w:firstLine="0"/>
            </w:pPr>
            <w:r>
              <w:t xml:space="preserve">Annual Treasury Management Outturn Report  </w:t>
            </w:r>
          </w:p>
        </w:tc>
        <w:tc>
          <w:tcPr>
            <w:tcW w:w="2388" w:type="dxa"/>
            <w:tcBorders>
              <w:top w:val="single" w:sz="6" w:space="0" w:color="000000"/>
              <w:left w:val="single" w:sz="6" w:space="0" w:color="000000"/>
              <w:bottom w:val="single" w:sz="6" w:space="0" w:color="000000"/>
              <w:right w:val="single" w:sz="6" w:space="0" w:color="000000"/>
            </w:tcBorders>
          </w:tcPr>
          <w:p w14:paraId="56CB303B" w14:textId="77777777" w:rsidR="00110406" w:rsidRDefault="00110406" w:rsidP="004C09BE">
            <w:pPr>
              <w:spacing w:after="0" w:line="259" w:lineRule="auto"/>
              <w:ind w:left="113" w:right="0" w:firstLine="0"/>
              <w:jc w:val="left"/>
            </w:pPr>
            <w:r>
              <w:t xml:space="preserve">Resources </w:t>
            </w:r>
          </w:p>
          <w:p w14:paraId="4C062CF6" w14:textId="77777777" w:rsidR="00110406" w:rsidRDefault="00110406" w:rsidP="004C09BE">
            <w:pPr>
              <w:spacing w:after="2" w:line="259" w:lineRule="auto"/>
              <w:ind w:left="113" w:right="0" w:firstLine="0"/>
              <w:jc w:val="left"/>
            </w:pPr>
            <w:r>
              <w:t xml:space="preserve">Committee/ </w:t>
            </w:r>
          </w:p>
          <w:p w14:paraId="23F7B7EE" w14:textId="77777777" w:rsidR="00110406" w:rsidRDefault="00110406" w:rsidP="004C09BE">
            <w:pPr>
              <w:spacing w:after="0" w:line="259" w:lineRule="auto"/>
              <w:ind w:left="113" w:right="0" w:firstLine="0"/>
              <w:jc w:val="left"/>
            </w:pPr>
            <w:r>
              <w:t xml:space="preserve">Authority </w:t>
            </w:r>
          </w:p>
        </w:tc>
        <w:tc>
          <w:tcPr>
            <w:tcW w:w="3184" w:type="dxa"/>
            <w:tcBorders>
              <w:top w:val="single" w:sz="6" w:space="0" w:color="000000"/>
              <w:left w:val="single" w:sz="6" w:space="0" w:color="000000"/>
              <w:bottom w:val="single" w:sz="6" w:space="0" w:color="000000"/>
              <w:right w:val="single" w:sz="6" w:space="0" w:color="000000"/>
            </w:tcBorders>
            <w:vAlign w:val="center"/>
          </w:tcPr>
          <w:p w14:paraId="7157E1C7" w14:textId="77777777" w:rsidR="00110406" w:rsidRDefault="00110406" w:rsidP="004C09BE">
            <w:pPr>
              <w:spacing w:after="0" w:line="259" w:lineRule="auto"/>
              <w:ind w:left="113" w:right="0" w:firstLine="0"/>
            </w:pPr>
            <w:r>
              <w:t xml:space="preserve">Annually by 30 September after the end of the year  </w:t>
            </w:r>
          </w:p>
        </w:tc>
      </w:tr>
      <w:tr w:rsidR="00110406" w14:paraId="4DEAC9E9" w14:textId="77777777" w:rsidTr="004C09BE">
        <w:trPr>
          <w:trHeight w:val="721"/>
        </w:trPr>
        <w:tc>
          <w:tcPr>
            <w:tcW w:w="3680" w:type="dxa"/>
            <w:tcBorders>
              <w:top w:val="single" w:sz="6" w:space="0" w:color="000000"/>
              <w:left w:val="single" w:sz="6" w:space="0" w:color="000000"/>
              <w:bottom w:val="single" w:sz="6" w:space="0" w:color="000000"/>
              <w:right w:val="single" w:sz="6" w:space="0" w:color="000000"/>
            </w:tcBorders>
          </w:tcPr>
          <w:p w14:paraId="0E7BE06A" w14:textId="77777777" w:rsidR="00110406" w:rsidRDefault="00110406" w:rsidP="004C09BE">
            <w:pPr>
              <w:spacing w:after="0" w:line="259" w:lineRule="auto"/>
              <w:ind w:left="112" w:right="0" w:firstLine="0"/>
            </w:pPr>
            <w:r>
              <w:t xml:space="preserve">Treasury Management Monitoring Reports  </w:t>
            </w:r>
          </w:p>
        </w:tc>
        <w:tc>
          <w:tcPr>
            <w:tcW w:w="2388" w:type="dxa"/>
            <w:tcBorders>
              <w:top w:val="single" w:sz="6" w:space="0" w:color="000000"/>
              <w:left w:val="single" w:sz="6" w:space="0" w:color="000000"/>
              <w:bottom w:val="single" w:sz="6" w:space="0" w:color="000000"/>
              <w:right w:val="single" w:sz="6" w:space="0" w:color="000000"/>
            </w:tcBorders>
          </w:tcPr>
          <w:p w14:paraId="415CF037" w14:textId="77777777" w:rsidR="00110406" w:rsidRDefault="00110406" w:rsidP="004C09BE">
            <w:pPr>
              <w:spacing w:after="2" w:line="259" w:lineRule="auto"/>
              <w:ind w:left="113" w:right="0" w:firstLine="0"/>
              <w:jc w:val="left"/>
            </w:pPr>
            <w:r>
              <w:t xml:space="preserve">Director of </w:t>
            </w:r>
          </w:p>
          <w:p w14:paraId="2578402E" w14:textId="77777777" w:rsidR="00110406" w:rsidRDefault="00110406" w:rsidP="004C09BE">
            <w:pPr>
              <w:spacing w:after="0" w:line="259" w:lineRule="auto"/>
              <w:ind w:left="113" w:right="0" w:firstLine="0"/>
              <w:jc w:val="left"/>
            </w:pPr>
            <w:r>
              <w:t xml:space="preserve">Corporate Services </w:t>
            </w:r>
          </w:p>
        </w:tc>
        <w:tc>
          <w:tcPr>
            <w:tcW w:w="3184" w:type="dxa"/>
            <w:tcBorders>
              <w:top w:val="single" w:sz="6" w:space="0" w:color="000000"/>
              <w:left w:val="single" w:sz="6" w:space="0" w:color="000000"/>
              <w:bottom w:val="single" w:sz="6" w:space="0" w:color="000000"/>
              <w:right w:val="single" w:sz="6" w:space="0" w:color="000000"/>
            </w:tcBorders>
            <w:vAlign w:val="center"/>
          </w:tcPr>
          <w:p w14:paraId="1142E228" w14:textId="77777777" w:rsidR="00110406" w:rsidRDefault="00110406" w:rsidP="004C09BE">
            <w:pPr>
              <w:spacing w:after="0" w:line="259" w:lineRule="auto"/>
              <w:ind w:left="113" w:right="0" w:firstLine="0"/>
              <w:jc w:val="left"/>
            </w:pPr>
            <w:r>
              <w:t xml:space="preserve">Quarterly   </w:t>
            </w:r>
          </w:p>
        </w:tc>
      </w:tr>
      <w:tr w:rsidR="00110406" w14:paraId="2DB8F97A" w14:textId="77777777" w:rsidTr="004C09BE">
        <w:trPr>
          <w:trHeight w:val="601"/>
        </w:trPr>
        <w:tc>
          <w:tcPr>
            <w:tcW w:w="3680" w:type="dxa"/>
            <w:tcBorders>
              <w:top w:val="single" w:sz="6" w:space="0" w:color="000000"/>
              <w:left w:val="single" w:sz="6" w:space="0" w:color="000000"/>
              <w:bottom w:val="single" w:sz="6" w:space="0" w:color="000000"/>
              <w:right w:val="single" w:sz="6" w:space="0" w:color="000000"/>
            </w:tcBorders>
          </w:tcPr>
          <w:p w14:paraId="4350BE05" w14:textId="77777777" w:rsidR="00110406" w:rsidRDefault="00110406" w:rsidP="004C09BE">
            <w:pPr>
              <w:spacing w:after="0" w:line="259" w:lineRule="auto"/>
              <w:ind w:left="112" w:right="0" w:firstLine="0"/>
            </w:pPr>
            <w:r>
              <w:lastRenderedPageBreak/>
              <w:t xml:space="preserve">Treasury Management Practices </w:t>
            </w:r>
          </w:p>
        </w:tc>
        <w:tc>
          <w:tcPr>
            <w:tcW w:w="2388" w:type="dxa"/>
            <w:tcBorders>
              <w:top w:val="single" w:sz="6" w:space="0" w:color="000000"/>
              <w:left w:val="single" w:sz="6" w:space="0" w:color="000000"/>
              <w:bottom w:val="single" w:sz="6" w:space="0" w:color="000000"/>
              <w:right w:val="single" w:sz="6" w:space="0" w:color="000000"/>
            </w:tcBorders>
          </w:tcPr>
          <w:p w14:paraId="0B969F82" w14:textId="77777777" w:rsidR="00110406" w:rsidRDefault="00110406" w:rsidP="004C09BE">
            <w:pPr>
              <w:spacing w:after="3" w:line="259" w:lineRule="auto"/>
              <w:ind w:left="-23" w:right="0" w:firstLine="0"/>
              <w:jc w:val="left"/>
            </w:pPr>
            <w:r>
              <w:t xml:space="preserve"> Director of </w:t>
            </w:r>
          </w:p>
          <w:p w14:paraId="2C7201F7" w14:textId="77777777" w:rsidR="00110406" w:rsidRDefault="00110406" w:rsidP="004C09BE">
            <w:pPr>
              <w:spacing w:after="0" w:line="259" w:lineRule="auto"/>
              <w:ind w:left="113" w:right="0" w:firstLine="0"/>
              <w:jc w:val="left"/>
            </w:pPr>
            <w:r>
              <w:t xml:space="preserve">Corporate Services </w:t>
            </w:r>
          </w:p>
        </w:tc>
        <w:tc>
          <w:tcPr>
            <w:tcW w:w="3184" w:type="dxa"/>
            <w:tcBorders>
              <w:top w:val="single" w:sz="6" w:space="0" w:color="000000"/>
              <w:left w:val="single" w:sz="6" w:space="0" w:color="000000"/>
              <w:bottom w:val="single" w:sz="6" w:space="0" w:color="000000"/>
              <w:right w:val="single" w:sz="6" w:space="0" w:color="000000"/>
            </w:tcBorders>
            <w:vAlign w:val="center"/>
          </w:tcPr>
          <w:p w14:paraId="2CC21C00" w14:textId="77777777" w:rsidR="00110406" w:rsidRDefault="00110406" w:rsidP="004C09BE">
            <w:pPr>
              <w:spacing w:after="0" w:line="259" w:lineRule="auto"/>
              <w:ind w:left="113" w:right="0" w:firstLine="0"/>
              <w:jc w:val="left"/>
            </w:pPr>
            <w:r>
              <w:t xml:space="preserve">Annually  </w:t>
            </w:r>
          </w:p>
        </w:tc>
      </w:tr>
    </w:tbl>
    <w:p w14:paraId="2C47901E" w14:textId="77777777" w:rsidR="00110406" w:rsidRDefault="00110406" w:rsidP="00110406">
      <w:pPr>
        <w:spacing w:after="108" w:line="259" w:lineRule="auto"/>
        <w:ind w:left="30" w:right="0" w:firstLine="0"/>
        <w:jc w:val="left"/>
      </w:pPr>
      <w:r>
        <w:t xml:space="preserve">  </w:t>
      </w:r>
    </w:p>
    <w:p w14:paraId="50709DB9" w14:textId="77777777" w:rsidR="00110406" w:rsidRDefault="00110406" w:rsidP="00110406">
      <w:pPr>
        <w:spacing w:after="259"/>
        <w:ind w:left="0" w:right="468" w:firstLine="0"/>
      </w:pPr>
      <w:r>
        <w:t xml:space="preserve">The Treasury Management Strategy, covers the following aspects of the Treasury Management function: </w:t>
      </w:r>
    </w:p>
    <w:p w14:paraId="0B5F9F59" w14:textId="77777777" w:rsidR="00110406" w:rsidRDefault="00110406" w:rsidP="001D69CB">
      <w:pPr>
        <w:pStyle w:val="ListParagraph"/>
        <w:numPr>
          <w:ilvl w:val="0"/>
          <w:numId w:val="33"/>
        </w:numPr>
        <w:spacing w:after="139"/>
        <w:ind w:right="468"/>
      </w:pPr>
      <w:r>
        <w:t xml:space="preserve">Prudential Indicators which will provide a controlling framework for the capital expenditure and treasury management activities of the Authority.  </w:t>
      </w:r>
    </w:p>
    <w:p w14:paraId="6E70C457" w14:textId="77777777" w:rsidR="00110406" w:rsidRDefault="00110406" w:rsidP="001D69CB">
      <w:pPr>
        <w:pStyle w:val="ListParagraph"/>
        <w:numPr>
          <w:ilvl w:val="0"/>
          <w:numId w:val="33"/>
        </w:numPr>
        <w:spacing w:after="76"/>
        <w:ind w:right="468"/>
      </w:pPr>
      <w:r>
        <w:t xml:space="preserve">Current Long-term debt and investments.  </w:t>
      </w:r>
    </w:p>
    <w:p w14:paraId="7729217B" w14:textId="77777777" w:rsidR="00110406" w:rsidRDefault="00110406" w:rsidP="001D69CB">
      <w:pPr>
        <w:pStyle w:val="ListParagraph"/>
        <w:numPr>
          <w:ilvl w:val="0"/>
          <w:numId w:val="33"/>
        </w:numPr>
        <w:spacing w:after="92"/>
        <w:ind w:right="468"/>
      </w:pPr>
      <w:r>
        <w:t xml:space="preserve">Prospects for interest rates.  </w:t>
      </w:r>
    </w:p>
    <w:p w14:paraId="7FF670D4" w14:textId="77777777" w:rsidR="00110406" w:rsidRDefault="00110406" w:rsidP="001D69CB">
      <w:pPr>
        <w:pStyle w:val="ListParagraph"/>
        <w:numPr>
          <w:ilvl w:val="0"/>
          <w:numId w:val="33"/>
        </w:numPr>
        <w:spacing w:after="77"/>
        <w:ind w:right="468"/>
      </w:pPr>
      <w:r>
        <w:t xml:space="preserve">The Borrowing Strategy.  </w:t>
      </w:r>
    </w:p>
    <w:p w14:paraId="2C536CAD" w14:textId="77777777" w:rsidR="00110406" w:rsidRDefault="00110406" w:rsidP="001D69CB">
      <w:pPr>
        <w:pStyle w:val="ListParagraph"/>
        <w:numPr>
          <w:ilvl w:val="0"/>
          <w:numId w:val="33"/>
        </w:numPr>
        <w:spacing w:after="91"/>
        <w:ind w:right="468"/>
      </w:pPr>
      <w:r>
        <w:t xml:space="preserve">The Investment Strategy.  </w:t>
      </w:r>
    </w:p>
    <w:p w14:paraId="177D05D6" w14:textId="77777777" w:rsidR="00110406" w:rsidRDefault="00110406" w:rsidP="001D69CB">
      <w:pPr>
        <w:pStyle w:val="ListParagraph"/>
        <w:numPr>
          <w:ilvl w:val="0"/>
          <w:numId w:val="33"/>
        </w:numPr>
        <w:spacing w:after="60"/>
        <w:ind w:right="468"/>
      </w:pPr>
      <w:r>
        <w:t xml:space="preserve">Policy on borrowing in advance of need.  </w:t>
      </w:r>
    </w:p>
    <w:p w14:paraId="3255A62E" w14:textId="77777777" w:rsidR="00110406" w:rsidRDefault="00110406" w:rsidP="00110406">
      <w:pPr>
        <w:pStyle w:val="Heading1"/>
        <w:ind w:left="0" w:firstLine="0"/>
      </w:pPr>
      <w:r>
        <w:t xml:space="preserve">Setting the Treasury Management Strategy for 2024/25 </w:t>
      </w:r>
    </w:p>
    <w:p w14:paraId="1AD4F879" w14:textId="77777777" w:rsidR="00110406" w:rsidRDefault="00110406" w:rsidP="00110406">
      <w:pPr>
        <w:spacing w:after="259"/>
        <w:ind w:left="0" w:right="468" w:firstLine="0"/>
      </w:pPr>
      <w:r>
        <w:t xml:space="preserve">In setting the treasury management strategy the following factors need to be considered as they may have a strong influence over the strategy adopted:  </w:t>
      </w:r>
    </w:p>
    <w:p w14:paraId="774CF18D" w14:textId="77777777" w:rsidR="00110406" w:rsidRDefault="00110406" w:rsidP="001D69CB">
      <w:pPr>
        <w:pStyle w:val="ListParagraph"/>
        <w:numPr>
          <w:ilvl w:val="0"/>
          <w:numId w:val="34"/>
        </w:numPr>
        <w:spacing w:after="77"/>
        <w:ind w:right="468"/>
      </w:pPr>
      <w:r>
        <w:t xml:space="preserve">economic position and forecasts.  </w:t>
      </w:r>
    </w:p>
    <w:p w14:paraId="5DDBA5E2" w14:textId="77777777" w:rsidR="00110406" w:rsidRDefault="00110406" w:rsidP="001D69CB">
      <w:pPr>
        <w:pStyle w:val="ListParagraph"/>
        <w:numPr>
          <w:ilvl w:val="0"/>
          <w:numId w:val="34"/>
        </w:numPr>
        <w:spacing w:after="91"/>
        <w:ind w:right="468"/>
      </w:pPr>
      <w:r>
        <w:t xml:space="preserve">Interest rate forecasts. </w:t>
      </w:r>
    </w:p>
    <w:p w14:paraId="4E77AC16" w14:textId="77777777" w:rsidR="00110406" w:rsidRDefault="00110406" w:rsidP="001D69CB">
      <w:pPr>
        <w:pStyle w:val="ListParagraph"/>
        <w:numPr>
          <w:ilvl w:val="0"/>
          <w:numId w:val="34"/>
        </w:numPr>
        <w:ind w:right="468"/>
      </w:pPr>
      <w:r>
        <w:t xml:space="preserve">the current structure of the investment and debt portfolio. </w:t>
      </w:r>
    </w:p>
    <w:p w14:paraId="6011B1CA" w14:textId="77777777" w:rsidR="00110406" w:rsidRDefault="00110406" w:rsidP="001D69CB">
      <w:pPr>
        <w:pStyle w:val="ListParagraph"/>
        <w:numPr>
          <w:ilvl w:val="0"/>
          <w:numId w:val="34"/>
        </w:numPr>
        <w:spacing w:after="180"/>
        <w:ind w:right="468"/>
      </w:pPr>
      <w:r>
        <w:t xml:space="preserve">Future Capital Programme and underlying cash forecasts. </w:t>
      </w:r>
    </w:p>
    <w:p w14:paraId="21DE7E82" w14:textId="77777777" w:rsidR="00110406" w:rsidRDefault="00110406" w:rsidP="00110406">
      <w:pPr>
        <w:spacing w:after="113" w:line="253" w:lineRule="auto"/>
        <w:ind w:left="0" w:right="0" w:firstLine="0"/>
        <w:jc w:val="left"/>
      </w:pPr>
      <w:r w:rsidRPr="00A54A3F">
        <w:rPr>
          <w:b/>
        </w:rPr>
        <w:t xml:space="preserve">Economic background:  </w:t>
      </w:r>
    </w:p>
    <w:p w14:paraId="6FA7F8D2" w14:textId="77777777" w:rsidR="00110406" w:rsidRDefault="00110406" w:rsidP="00110406">
      <w:pPr>
        <w:spacing w:after="241"/>
        <w:ind w:left="0" w:right="468" w:firstLine="0"/>
      </w:pPr>
      <w:r>
        <w:t xml:space="preserve">The impact on the UK from higher interest rates and inflation, a weakening economic outlook, an uncertain political climate due to an upcoming general election, together with war in Ukraine and the Middle East, will be major influences on the Authority’s treasury management strategy for 2024/25.  </w:t>
      </w:r>
    </w:p>
    <w:p w14:paraId="1A0187F4" w14:textId="77777777" w:rsidR="00110406" w:rsidRDefault="00110406" w:rsidP="00110406">
      <w:pPr>
        <w:spacing w:after="227"/>
        <w:ind w:left="0" w:right="468" w:firstLine="0"/>
      </w:pPr>
      <w:r>
        <w:t xml:space="preserve">The Bank of England (BoE) increased Bank Rate to 5.25% in August 2023, before maintaining this level in September and then again in November. </w:t>
      </w:r>
    </w:p>
    <w:p w14:paraId="47C95243" w14:textId="77777777" w:rsidR="00110406" w:rsidRDefault="00110406" w:rsidP="00110406">
      <w:pPr>
        <w:ind w:left="0" w:right="468" w:firstLine="0"/>
      </w:pPr>
      <w:r>
        <w:lastRenderedPageBreak/>
        <w:t xml:space="preserve">The November quarterly Monetary Policy Report (MPR) forecast a prolonged period of weak Gross Domestic Product (GDP) growth with the potential for a mild contraction due to ongoing weak economic activity. The outlook for </w:t>
      </w:r>
    </w:p>
    <w:p w14:paraId="1165BE24" w14:textId="77777777" w:rsidR="00110406" w:rsidRDefault="00110406" w:rsidP="00110406">
      <w:pPr>
        <w:spacing w:after="231" w:line="243" w:lineRule="auto"/>
        <w:ind w:left="0" w:right="462" w:firstLine="0"/>
        <w:jc w:val="left"/>
      </w:pPr>
      <w:r>
        <w:t xml:space="preserve">Consumer Price Index (CPI) inflation was deemed to be highly uncertain, with near-term risks to CPI falling to the 2% target coming from potential energy price increases, strong domestic wage growth and persistence in price-setting.  </w:t>
      </w:r>
    </w:p>
    <w:p w14:paraId="073C30D7" w14:textId="77777777" w:rsidR="00110406" w:rsidRDefault="00110406" w:rsidP="00110406">
      <w:pPr>
        <w:spacing w:after="231" w:line="243" w:lineRule="auto"/>
        <w:ind w:left="0" w:right="468" w:firstLine="0"/>
      </w:pPr>
      <w:r>
        <w:t xml:space="preserve">The UK economy grew by 0.2% between April and June 2023. The BoE forecasts GDP will likely stagnate in Q3 but increase modestly by 0.1% in Q4, a deterioration in the outlook compared to the August MPR. The BoE forecasts that higher interest rates will constrain GDP growth, which will remain weak over the entire forecast horizon.  </w:t>
      </w:r>
    </w:p>
    <w:p w14:paraId="2B2A5FB4" w14:textId="77777777" w:rsidR="00110406" w:rsidRDefault="00110406" w:rsidP="00110406">
      <w:pPr>
        <w:spacing w:after="231" w:line="243" w:lineRule="auto"/>
        <w:ind w:left="0" w:right="468" w:firstLine="0"/>
      </w:pPr>
      <w:r>
        <w:t xml:space="preserve">Office for National Statistics (ONS) figures showed CPI inflation was 6.7% in September 2023, unchanged from the previous month but above the 6.6% expected. Core CPI inflation fell to 6.1% from 6.2%, in line with predictions. Looking ahead, using the interest rate path implied by financial markets the BoE expects CPI inflation to continue falling, declining to around 4% by the end of calendar 2023 but taking until early 2025 to reach the 2% target and then falling below target during the second half 2025 and into 2026. </w:t>
      </w:r>
    </w:p>
    <w:p w14:paraId="13A64DB1" w14:textId="77777777" w:rsidR="00110406" w:rsidRDefault="00110406" w:rsidP="00110406">
      <w:pPr>
        <w:pStyle w:val="Heading1"/>
        <w:ind w:left="25"/>
      </w:pPr>
      <w:r>
        <w:t xml:space="preserve">Interest rate Forecast </w:t>
      </w:r>
    </w:p>
    <w:p w14:paraId="6DFF35D9" w14:textId="77777777" w:rsidR="00110406" w:rsidRDefault="00110406" w:rsidP="00110406">
      <w:pPr>
        <w:ind w:left="15" w:right="468" w:firstLine="0"/>
      </w:pPr>
      <w:r>
        <w:t xml:space="preserve">Many commentators consider that with inflation and wage growth falling, the </w:t>
      </w:r>
    </w:p>
    <w:p w14:paraId="72C1A8A9" w14:textId="77777777" w:rsidR="00110406" w:rsidRDefault="00110406" w:rsidP="00110406">
      <w:pPr>
        <w:spacing w:after="227"/>
        <w:ind w:left="15" w:right="468" w:firstLine="0"/>
      </w:pPr>
      <w:r>
        <w:t xml:space="preserve">Bank Rate has peaked at 5.25%. It is anticipated that the Bank of England’s Monetary Policy Committee will cut rates in the medium term to stimulate the UK economy but will be reluctant to do so until it is sure there will be no lingering second-round effects. Both the forward markets and the County Councils treasury management adviser are anticipating cuts to start by mid-2024 and that they will fall to around 3% by September 2026.  </w:t>
      </w:r>
    </w:p>
    <w:p w14:paraId="0A704BB7" w14:textId="77777777" w:rsidR="00110406" w:rsidRDefault="00110406" w:rsidP="00110406">
      <w:pPr>
        <w:pStyle w:val="Heading1"/>
        <w:ind w:left="15" w:firstLine="0"/>
      </w:pPr>
      <w:r>
        <w:t xml:space="preserve">Current Treasury Portfolio Position  </w:t>
      </w:r>
    </w:p>
    <w:p w14:paraId="111569C0" w14:textId="77777777" w:rsidR="00110406" w:rsidRDefault="00110406" w:rsidP="00110406">
      <w:pPr>
        <w:ind w:left="15" w:right="767" w:firstLine="0"/>
      </w:pPr>
      <w:r>
        <w:t xml:space="preserve">At the 31 December 2023, the debt and investments balances </w:t>
      </w:r>
      <w:proofErr w:type="gramStart"/>
      <w:r>
        <w:t>were:</w:t>
      </w:r>
      <w:proofErr w:type="gramEnd"/>
      <w:r>
        <w:t xml:space="preserve">   Table 2 Debt and Investments balances </w:t>
      </w:r>
    </w:p>
    <w:tbl>
      <w:tblPr>
        <w:tblStyle w:val="TableGrid"/>
        <w:tblW w:w="9447" w:type="dxa"/>
        <w:tblInd w:w="8" w:type="dxa"/>
        <w:tblCellMar>
          <w:top w:w="0" w:type="dxa"/>
          <w:left w:w="0" w:type="dxa"/>
          <w:bottom w:w="0" w:type="dxa"/>
          <w:right w:w="59" w:type="dxa"/>
        </w:tblCellMar>
        <w:tblLook w:val="04A0" w:firstRow="1" w:lastRow="0" w:firstColumn="1" w:lastColumn="0" w:noHBand="0" w:noVBand="1"/>
      </w:tblPr>
      <w:tblGrid>
        <w:gridCol w:w="6278"/>
        <w:gridCol w:w="1772"/>
        <w:gridCol w:w="1397"/>
      </w:tblGrid>
      <w:tr w:rsidR="00110406" w14:paraId="37976CB9" w14:textId="77777777" w:rsidTr="004C09BE">
        <w:trPr>
          <w:trHeight w:val="315"/>
        </w:trPr>
        <w:tc>
          <w:tcPr>
            <w:tcW w:w="6278" w:type="dxa"/>
            <w:vMerge w:val="restart"/>
            <w:tcBorders>
              <w:top w:val="single" w:sz="6" w:space="0" w:color="000000"/>
              <w:left w:val="single" w:sz="6" w:space="0" w:color="000000"/>
              <w:bottom w:val="single" w:sz="6" w:space="0" w:color="000000"/>
              <w:right w:val="single" w:sz="6" w:space="0" w:color="000000"/>
            </w:tcBorders>
            <w:vAlign w:val="center"/>
          </w:tcPr>
          <w:p w14:paraId="7D869C0D" w14:textId="77777777" w:rsidR="00110406" w:rsidRDefault="00110406" w:rsidP="004C09BE">
            <w:pPr>
              <w:spacing w:after="0" w:line="259" w:lineRule="auto"/>
              <w:ind w:left="8" w:right="0" w:firstLine="0"/>
              <w:jc w:val="left"/>
            </w:pPr>
            <w:r>
              <w:rPr>
                <w:b/>
              </w:rPr>
              <w:t xml:space="preserve">Debt  </w:t>
            </w:r>
          </w:p>
        </w:tc>
        <w:tc>
          <w:tcPr>
            <w:tcW w:w="1772" w:type="dxa"/>
            <w:tcBorders>
              <w:top w:val="single" w:sz="6" w:space="0" w:color="000000"/>
              <w:left w:val="single" w:sz="6" w:space="0" w:color="000000"/>
              <w:bottom w:val="single" w:sz="6" w:space="0" w:color="FFFFFF"/>
              <w:right w:val="single" w:sz="6" w:space="0" w:color="000000"/>
            </w:tcBorders>
          </w:tcPr>
          <w:p w14:paraId="301D8C7E" w14:textId="77777777" w:rsidR="00110406" w:rsidRDefault="00110406" w:rsidP="004C09BE">
            <w:pPr>
              <w:spacing w:after="0" w:line="259" w:lineRule="auto"/>
              <w:ind w:left="64" w:right="0" w:firstLine="0"/>
              <w:jc w:val="center"/>
            </w:pPr>
            <w:r>
              <w:rPr>
                <w:b/>
              </w:rPr>
              <w:t xml:space="preserve">Principal </w:t>
            </w:r>
          </w:p>
        </w:tc>
        <w:tc>
          <w:tcPr>
            <w:tcW w:w="1397" w:type="dxa"/>
            <w:vMerge w:val="restart"/>
            <w:tcBorders>
              <w:top w:val="single" w:sz="6" w:space="0" w:color="000000"/>
              <w:left w:val="single" w:sz="6" w:space="0" w:color="000000"/>
              <w:bottom w:val="single" w:sz="6" w:space="0" w:color="000000"/>
              <w:right w:val="single" w:sz="6" w:space="0" w:color="000000"/>
            </w:tcBorders>
            <w:vAlign w:val="center"/>
          </w:tcPr>
          <w:p w14:paraId="78A39BA8" w14:textId="77777777" w:rsidR="00110406" w:rsidRDefault="00110406" w:rsidP="004C09BE">
            <w:pPr>
              <w:spacing w:after="0" w:line="259" w:lineRule="auto"/>
              <w:ind w:left="63" w:right="0" w:firstLine="0"/>
              <w:jc w:val="center"/>
            </w:pPr>
            <w:r>
              <w:rPr>
                <w:b/>
              </w:rPr>
              <w:t xml:space="preserve">% </w:t>
            </w:r>
          </w:p>
        </w:tc>
      </w:tr>
      <w:tr w:rsidR="00110406" w14:paraId="5F6EBA4C" w14:textId="77777777" w:rsidTr="004C09BE">
        <w:trPr>
          <w:trHeight w:val="315"/>
        </w:trPr>
        <w:tc>
          <w:tcPr>
            <w:tcW w:w="0" w:type="auto"/>
            <w:vMerge/>
            <w:tcBorders>
              <w:top w:val="nil"/>
              <w:left w:val="single" w:sz="6" w:space="0" w:color="000000"/>
              <w:bottom w:val="single" w:sz="6" w:space="0" w:color="000000"/>
              <w:right w:val="single" w:sz="6" w:space="0" w:color="000000"/>
            </w:tcBorders>
          </w:tcPr>
          <w:p w14:paraId="4732D63D" w14:textId="77777777" w:rsidR="00110406" w:rsidRDefault="00110406" w:rsidP="004C09BE">
            <w:pPr>
              <w:spacing w:after="160" w:line="259" w:lineRule="auto"/>
              <w:ind w:left="0" w:right="0" w:firstLine="0"/>
              <w:jc w:val="left"/>
            </w:pPr>
          </w:p>
        </w:tc>
        <w:tc>
          <w:tcPr>
            <w:tcW w:w="1772" w:type="dxa"/>
            <w:tcBorders>
              <w:top w:val="single" w:sz="6" w:space="0" w:color="FFFFFF"/>
              <w:left w:val="single" w:sz="6" w:space="0" w:color="000000"/>
              <w:bottom w:val="single" w:sz="6" w:space="0" w:color="000000"/>
              <w:right w:val="single" w:sz="6" w:space="0" w:color="000000"/>
            </w:tcBorders>
          </w:tcPr>
          <w:p w14:paraId="0451C49F" w14:textId="77777777" w:rsidR="00110406" w:rsidRDefault="00110406" w:rsidP="004C09BE">
            <w:pPr>
              <w:spacing w:after="0" w:line="259" w:lineRule="auto"/>
              <w:ind w:left="62" w:right="0" w:firstLine="0"/>
              <w:jc w:val="center"/>
            </w:pPr>
            <w:r>
              <w:rPr>
                <w:b/>
              </w:rPr>
              <w:t xml:space="preserve">£m </w:t>
            </w:r>
          </w:p>
        </w:tc>
        <w:tc>
          <w:tcPr>
            <w:tcW w:w="0" w:type="auto"/>
            <w:vMerge/>
            <w:tcBorders>
              <w:top w:val="nil"/>
              <w:left w:val="single" w:sz="6" w:space="0" w:color="000000"/>
              <w:bottom w:val="single" w:sz="6" w:space="0" w:color="000000"/>
              <w:right w:val="single" w:sz="6" w:space="0" w:color="000000"/>
            </w:tcBorders>
          </w:tcPr>
          <w:p w14:paraId="4FF0AECC" w14:textId="77777777" w:rsidR="00110406" w:rsidRDefault="00110406" w:rsidP="004C09BE">
            <w:pPr>
              <w:spacing w:after="160" w:line="259" w:lineRule="auto"/>
              <w:ind w:left="0" w:right="0" w:firstLine="0"/>
              <w:jc w:val="left"/>
            </w:pPr>
          </w:p>
        </w:tc>
      </w:tr>
      <w:tr w:rsidR="00110406" w14:paraId="76E0B601" w14:textId="77777777" w:rsidTr="004C09BE">
        <w:trPr>
          <w:trHeight w:val="346"/>
        </w:trPr>
        <w:tc>
          <w:tcPr>
            <w:tcW w:w="6278" w:type="dxa"/>
            <w:tcBorders>
              <w:top w:val="single" w:sz="6" w:space="0" w:color="000000"/>
              <w:left w:val="single" w:sz="6" w:space="0" w:color="000000"/>
              <w:bottom w:val="single" w:sz="6" w:space="0" w:color="000000"/>
              <w:right w:val="single" w:sz="6" w:space="0" w:color="000000"/>
            </w:tcBorders>
          </w:tcPr>
          <w:p w14:paraId="35EDEEEB" w14:textId="77777777" w:rsidR="00110406" w:rsidRDefault="00110406" w:rsidP="004C09BE">
            <w:pPr>
              <w:spacing w:after="0" w:line="259" w:lineRule="auto"/>
              <w:ind w:left="38" w:right="0" w:firstLine="0"/>
              <w:jc w:val="left"/>
            </w:pPr>
            <w:r>
              <w:t xml:space="preserve">Fixed rate loans from the Public Works Loan Board  </w:t>
            </w:r>
          </w:p>
        </w:tc>
        <w:tc>
          <w:tcPr>
            <w:tcW w:w="1772" w:type="dxa"/>
            <w:tcBorders>
              <w:top w:val="single" w:sz="6" w:space="0" w:color="000000"/>
              <w:left w:val="single" w:sz="6" w:space="0" w:color="000000"/>
              <w:bottom w:val="single" w:sz="6" w:space="0" w:color="000000"/>
              <w:right w:val="single" w:sz="6" w:space="0" w:color="000000"/>
            </w:tcBorders>
          </w:tcPr>
          <w:p w14:paraId="03F38A23" w14:textId="77777777" w:rsidR="00110406" w:rsidRDefault="00110406" w:rsidP="004C09BE">
            <w:pPr>
              <w:spacing w:after="0" w:line="259" w:lineRule="auto"/>
              <w:ind w:left="71" w:right="0" w:firstLine="0"/>
              <w:jc w:val="center"/>
            </w:pPr>
            <w:r>
              <w:t xml:space="preserve">2.000 </w:t>
            </w:r>
          </w:p>
        </w:tc>
        <w:tc>
          <w:tcPr>
            <w:tcW w:w="1397" w:type="dxa"/>
            <w:tcBorders>
              <w:top w:val="single" w:sz="6" w:space="0" w:color="000000"/>
              <w:left w:val="single" w:sz="6" w:space="0" w:color="000000"/>
              <w:bottom w:val="single" w:sz="6" w:space="0" w:color="000000"/>
              <w:right w:val="single" w:sz="6" w:space="0" w:color="000000"/>
            </w:tcBorders>
          </w:tcPr>
          <w:p w14:paraId="31070F3F" w14:textId="77777777" w:rsidR="00110406" w:rsidRDefault="00110406" w:rsidP="004C09BE">
            <w:pPr>
              <w:spacing w:after="0" w:line="259" w:lineRule="auto"/>
              <w:ind w:left="43" w:right="0" w:firstLine="0"/>
              <w:jc w:val="center"/>
            </w:pPr>
            <w:r>
              <w:t xml:space="preserve">100 </w:t>
            </w:r>
          </w:p>
        </w:tc>
      </w:tr>
      <w:tr w:rsidR="00110406" w14:paraId="61F4CC6F" w14:textId="77777777" w:rsidTr="004C09BE">
        <w:trPr>
          <w:trHeight w:val="330"/>
        </w:trPr>
        <w:tc>
          <w:tcPr>
            <w:tcW w:w="6278" w:type="dxa"/>
            <w:tcBorders>
              <w:top w:val="single" w:sz="6" w:space="0" w:color="000000"/>
              <w:left w:val="single" w:sz="6" w:space="0" w:color="000000"/>
              <w:bottom w:val="single" w:sz="6" w:space="0" w:color="000000"/>
              <w:right w:val="single" w:sz="6" w:space="0" w:color="000000"/>
            </w:tcBorders>
          </w:tcPr>
          <w:p w14:paraId="25B34791" w14:textId="77777777" w:rsidR="00110406" w:rsidRDefault="00110406" w:rsidP="004C09BE">
            <w:pPr>
              <w:spacing w:after="0" w:line="259" w:lineRule="auto"/>
              <w:ind w:left="38" w:right="0" w:firstLine="0"/>
              <w:jc w:val="left"/>
            </w:pPr>
            <w:r>
              <w:t xml:space="preserve">Variable rate loans  </w:t>
            </w:r>
          </w:p>
        </w:tc>
        <w:tc>
          <w:tcPr>
            <w:tcW w:w="1772" w:type="dxa"/>
            <w:tcBorders>
              <w:top w:val="single" w:sz="6" w:space="0" w:color="000000"/>
              <w:left w:val="single" w:sz="6" w:space="0" w:color="000000"/>
              <w:bottom w:val="single" w:sz="6" w:space="0" w:color="000000"/>
              <w:right w:val="single" w:sz="6" w:space="0" w:color="000000"/>
            </w:tcBorders>
          </w:tcPr>
          <w:p w14:paraId="69CD3B3F" w14:textId="77777777" w:rsidR="00110406" w:rsidRDefault="00110406" w:rsidP="004C09BE">
            <w:pPr>
              <w:spacing w:after="0" w:line="259" w:lineRule="auto"/>
              <w:ind w:left="4" w:right="0" w:firstLine="0"/>
              <w:jc w:val="center"/>
            </w:pPr>
            <w:r>
              <w:t xml:space="preserve">-  </w:t>
            </w:r>
          </w:p>
        </w:tc>
        <w:tc>
          <w:tcPr>
            <w:tcW w:w="1397" w:type="dxa"/>
            <w:tcBorders>
              <w:top w:val="single" w:sz="6" w:space="0" w:color="000000"/>
              <w:left w:val="single" w:sz="6" w:space="0" w:color="000000"/>
              <w:bottom w:val="single" w:sz="6" w:space="0" w:color="000000"/>
              <w:right w:val="single" w:sz="6" w:space="0" w:color="000000"/>
            </w:tcBorders>
          </w:tcPr>
          <w:p w14:paraId="0166DB39" w14:textId="77777777" w:rsidR="00110406" w:rsidRDefault="00110406" w:rsidP="004C09BE">
            <w:pPr>
              <w:spacing w:after="0" w:line="259" w:lineRule="auto"/>
              <w:ind w:left="50" w:right="0" w:firstLine="0"/>
              <w:jc w:val="center"/>
            </w:pPr>
            <w:r>
              <w:t xml:space="preserve">- </w:t>
            </w:r>
          </w:p>
        </w:tc>
      </w:tr>
      <w:tr w:rsidR="00110406" w14:paraId="62EA9AA6" w14:textId="77777777" w:rsidTr="004C09BE">
        <w:trPr>
          <w:trHeight w:val="345"/>
        </w:trPr>
        <w:tc>
          <w:tcPr>
            <w:tcW w:w="6278" w:type="dxa"/>
            <w:tcBorders>
              <w:top w:val="single" w:sz="6" w:space="0" w:color="000000"/>
              <w:left w:val="single" w:sz="6" w:space="0" w:color="000000"/>
              <w:bottom w:val="single" w:sz="6" w:space="0" w:color="000000"/>
              <w:right w:val="single" w:sz="6" w:space="0" w:color="000000"/>
            </w:tcBorders>
          </w:tcPr>
          <w:p w14:paraId="0753970B" w14:textId="77777777" w:rsidR="00110406" w:rsidRDefault="00110406" w:rsidP="004C09BE">
            <w:pPr>
              <w:spacing w:after="0" w:line="259" w:lineRule="auto"/>
              <w:ind w:left="38" w:right="0" w:firstLine="0"/>
              <w:jc w:val="left"/>
            </w:pPr>
            <w:r>
              <w:rPr>
                <w:b/>
              </w:rPr>
              <w:t xml:space="preserve">Total  </w:t>
            </w:r>
          </w:p>
        </w:tc>
        <w:tc>
          <w:tcPr>
            <w:tcW w:w="1772" w:type="dxa"/>
            <w:tcBorders>
              <w:top w:val="single" w:sz="6" w:space="0" w:color="000000"/>
              <w:left w:val="single" w:sz="6" w:space="0" w:color="000000"/>
              <w:bottom w:val="single" w:sz="6" w:space="0" w:color="000000"/>
              <w:right w:val="single" w:sz="6" w:space="0" w:color="000000"/>
            </w:tcBorders>
          </w:tcPr>
          <w:p w14:paraId="2CD64256" w14:textId="77777777" w:rsidR="00110406" w:rsidRDefault="00110406" w:rsidP="004C09BE">
            <w:pPr>
              <w:spacing w:after="0" w:line="259" w:lineRule="auto"/>
              <w:ind w:left="71" w:right="0" w:firstLine="0"/>
              <w:jc w:val="center"/>
            </w:pPr>
            <w:r>
              <w:rPr>
                <w:b/>
              </w:rPr>
              <w:t xml:space="preserve">2.000 </w:t>
            </w:r>
          </w:p>
        </w:tc>
        <w:tc>
          <w:tcPr>
            <w:tcW w:w="1397" w:type="dxa"/>
            <w:tcBorders>
              <w:top w:val="single" w:sz="6" w:space="0" w:color="000000"/>
              <w:left w:val="single" w:sz="6" w:space="0" w:color="000000"/>
              <w:bottom w:val="single" w:sz="6" w:space="0" w:color="000000"/>
              <w:right w:val="single" w:sz="6" w:space="0" w:color="000000"/>
            </w:tcBorders>
          </w:tcPr>
          <w:p w14:paraId="32BB9FB4" w14:textId="77777777" w:rsidR="00110406" w:rsidRDefault="00110406" w:rsidP="004C09BE">
            <w:pPr>
              <w:spacing w:after="0" w:line="259" w:lineRule="auto"/>
              <w:ind w:left="43" w:right="0" w:firstLine="0"/>
              <w:jc w:val="center"/>
            </w:pPr>
            <w:r>
              <w:rPr>
                <w:b/>
              </w:rPr>
              <w:t xml:space="preserve">100 </w:t>
            </w:r>
          </w:p>
        </w:tc>
      </w:tr>
      <w:tr w:rsidR="00110406" w14:paraId="383C54A3" w14:textId="77777777" w:rsidTr="004C09BE">
        <w:trPr>
          <w:trHeight w:val="346"/>
        </w:trPr>
        <w:tc>
          <w:tcPr>
            <w:tcW w:w="6278" w:type="dxa"/>
            <w:tcBorders>
              <w:top w:val="single" w:sz="6" w:space="0" w:color="000000"/>
              <w:left w:val="single" w:sz="6" w:space="0" w:color="000000"/>
              <w:bottom w:val="single" w:sz="6" w:space="0" w:color="000000"/>
              <w:right w:val="single" w:sz="6" w:space="0" w:color="000000"/>
            </w:tcBorders>
          </w:tcPr>
          <w:p w14:paraId="5D3BBF79" w14:textId="77777777" w:rsidR="00110406" w:rsidRDefault="00110406" w:rsidP="004C09BE">
            <w:pPr>
              <w:spacing w:after="0" w:line="259" w:lineRule="auto"/>
              <w:ind w:left="38" w:right="0" w:firstLine="0"/>
              <w:jc w:val="left"/>
            </w:pPr>
            <w:r>
              <w:rPr>
                <w:b/>
              </w:rPr>
              <w:lastRenderedPageBreak/>
              <w:t>Investments</w:t>
            </w:r>
            <w:r>
              <w:t xml:space="preserve"> </w:t>
            </w:r>
            <w:r>
              <w:rPr>
                <w:b/>
              </w:rPr>
              <w:t xml:space="preserve"> </w:t>
            </w:r>
          </w:p>
        </w:tc>
        <w:tc>
          <w:tcPr>
            <w:tcW w:w="1772" w:type="dxa"/>
            <w:tcBorders>
              <w:top w:val="single" w:sz="6" w:space="0" w:color="000000"/>
              <w:left w:val="single" w:sz="6" w:space="0" w:color="000000"/>
              <w:bottom w:val="single" w:sz="6" w:space="0" w:color="000000"/>
              <w:right w:val="single" w:sz="6" w:space="0" w:color="000000"/>
            </w:tcBorders>
          </w:tcPr>
          <w:p w14:paraId="582D77BF" w14:textId="77777777" w:rsidR="00110406" w:rsidRDefault="00110406" w:rsidP="004C09BE">
            <w:pPr>
              <w:spacing w:after="0" w:line="259" w:lineRule="auto"/>
              <w:ind w:left="141" w:right="0" w:firstLine="0"/>
              <w:jc w:val="center"/>
            </w:pPr>
            <w:r>
              <w:t xml:space="preserve">  </w:t>
            </w:r>
          </w:p>
        </w:tc>
        <w:tc>
          <w:tcPr>
            <w:tcW w:w="1397" w:type="dxa"/>
            <w:tcBorders>
              <w:top w:val="single" w:sz="6" w:space="0" w:color="000000"/>
              <w:left w:val="single" w:sz="6" w:space="0" w:color="000000"/>
              <w:bottom w:val="single" w:sz="6" w:space="0" w:color="000000"/>
              <w:right w:val="single" w:sz="6" w:space="0" w:color="000000"/>
            </w:tcBorders>
          </w:tcPr>
          <w:p w14:paraId="6357BEB7" w14:textId="77777777" w:rsidR="00110406" w:rsidRDefault="00110406" w:rsidP="004C09BE">
            <w:pPr>
              <w:spacing w:after="0" w:line="259" w:lineRule="auto"/>
              <w:ind w:left="126" w:right="0" w:firstLine="0"/>
              <w:jc w:val="center"/>
            </w:pPr>
            <w:r>
              <w:t xml:space="preserve">  </w:t>
            </w:r>
          </w:p>
        </w:tc>
      </w:tr>
      <w:tr w:rsidR="00110406" w14:paraId="0F40FD9B" w14:textId="77777777" w:rsidTr="004C09BE">
        <w:trPr>
          <w:trHeight w:val="645"/>
        </w:trPr>
        <w:tc>
          <w:tcPr>
            <w:tcW w:w="6278" w:type="dxa"/>
            <w:tcBorders>
              <w:top w:val="single" w:sz="6" w:space="0" w:color="000000"/>
              <w:left w:val="single" w:sz="6" w:space="0" w:color="000000"/>
              <w:bottom w:val="single" w:sz="6" w:space="0" w:color="000000"/>
              <w:right w:val="single" w:sz="6" w:space="0" w:color="000000"/>
            </w:tcBorders>
            <w:vAlign w:val="center"/>
          </w:tcPr>
          <w:p w14:paraId="7D87C91A" w14:textId="77777777" w:rsidR="00110406" w:rsidRDefault="00110406" w:rsidP="004C09BE">
            <w:pPr>
              <w:spacing w:after="0" w:line="259" w:lineRule="auto"/>
              <w:ind w:left="38" w:right="0" w:firstLine="0"/>
            </w:pPr>
            <w:r>
              <w:t xml:space="preserve">Variable rate investments with Lancashire County Council </w:t>
            </w:r>
          </w:p>
        </w:tc>
        <w:tc>
          <w:tcPr>
            <w:tcW w:w="1772" w:type="dxa"/>
            <w:tcBorders>
              <w:top w:val="single" w:sz="6" w:space="0" w:color="000000"/>
              <w:left w:val="single" w:sz="6" w:space="0" w:color="000000"/>
              <w:bottom w:val="single" w:sz="6" w:space="0" w:color="000000"/>
              <w:right w:val="single" w:sz="6" w:space="0" w:color="000000"/>
            </w:tcBorders>
            <w:vAlign w:val="center"/>
          </w:tcPr>
          <w:p w14:paraId="5D3AED1E" w14:textId="77777777" w:rsidR="00110406" w:rsidRDefault="00110406" w:rsidP="004C09BE">
            <w:pPr>
              <w:tabs>
                <w:tab w:val="center" w:pos="892"/>
              </w:tabs>
              <w:spacing w:after="0" w:line="259" w:lineRule="auto"/>
              <w:ind w:left="-23" w:right="0" w:firstLine="0"/>
              <w:jc w:val="left"/>
            </w:pPr>
            <w:r>
              <w:t xml:space="preserve"> </w:t>
            </w:r>
            <w:r>
              <w:tab/>
              <w:t xml:space="preserve">7.695 </w:t>
            </w:r>
          </w:p>
        </w:tc>
        <w:tc>
          <w:tcPr>
            <w:tcW w:w="1397" w:type="dxa"/>
            <w:tcBorders>
              <w:top w:val="single" w:sz="6" w:space="0" w:color="000000"/>
              <w:left w:val="single" w:sz="6" w:space="0" w:color="000000"/>
              <w:bottom w:val="single" w:sz="6" w:space="0" w:color="000000"/>
              <w:right w:val="single" w:sz="6" w:space="0" w:color="000000"/>
            </w:tcBorders>
            <w:vAlign w:val="center"/>
          </w:tcPr>
          <w:p w14:paraId="38A78FB6" w14:textId="77777777" w:rsidR="00110406" w:rsidRDefault="00110406" w:rsidP="004C09BE">
            <w:pPr>
              <w:spacing w:after="0" w:line="259" w:lineRule="auto"/>
              <w:ind w:left="43" w:right="0" w:firstLine="0"/>
              <w:jc w:val="center"/>
            </w:pPr>
            <w:r>
              <w:t xml:space="preserve">25.0 </w:t>
            </w:r>
          </w:p>
        </w:tc>
      </w:tr>
      <w:tr w:rsidR="00110406" w14:paraId="3325978E" w14:textId="77777777" w:rsidTr="004C09BE">
        <w:trPr>
          <w:trHeight w:val="345"/>
        </w:trPr>
        <w:tc>
          <w:tcPr>
            <w:tcW w:w="6278" w:type="dxa"/>
            <w:tcBorders>
              <w:top w:val="single" w:sz="6" w:space="0" w:color="000000"/>
              <w:left w:val="single" w:sz="6" w:space="0" w:color="000000"/>
              <w:bottom w:val="single" w:sz="6" w:space="0" w:color="000000"/>
              <w:right w:val="single" w:sz="6" w:space="0" w:color="000000"/>
            </w:tcBorders>
          </w:tcPr>
          <w:p w14:paraId="4B4DD789" w14:textId="77777777" w:rsidR="00110406" w:rsidRDefault="00110406" w:rsidP="004C09BE">
            <w:pPr>
              <w:spacing w:after="0" w:line="259" w:lineRule="auto"/>
              <w:ind w:left="38" w:right="0" w:firstLine="0"/>
              <w:jc w:val="left"/>
            </w:pPr>
            <w:r>
              <w:t xml:space="preserve">Fixed rate investments </w:t>
            </w:r>
          </w:p>
        </w:tc>
        <w:tc>
          <w:tcPr>
            <w:tcW w:w="1772" w:type="dxa"/>
            <w:tcBorders>
              <w:top w:val="single" w:sz="6" w:space="0" w:color="000000"/>
              <w:left w:val="single" w:sz="6" w:space="0" w:color="000000"/>
              <w:bottom w:val="single" w:sz="6" w:space="0" w:color="000000"/>
              <w:right w:val="single" w:sz="6" w:space="0" w:color="000000"/>
            </w:tcBorders>
          </w:tcPr>
          <w:p w14:paraId="04526D67" w14:textId="77777777" w:rsidR="00110406" w:rsidRDefault="00110406" w:rsidP="004C09BE">
            <w:pPr>
              <w:spacing w:after="0" w:line="259" w:lineRule="auto"/>
              <w:ind w:left="56" w:right="0" w:firstLine="0"/>
              <w:jc w:val="center"/>
            </w:pPr>
            <w:r>
              <w:t xml:space="preserve">23.500 </w:t>
            </w:r>
          </w:p>
        </w:tc>
        <w:tc>
          <w:tcPr>
            <w:tcW w:w="1397" w:type="dxa"/>
            <w:tcBorders>
              <w:top w:val="single" w:sz="6" w:space="0" w:color="000000"/>
              <w:left w:val="single" w:sz="6" w:space="0" w:color="000000"/>
              <w:bottom w:val="single" w:sz="6" w:space="0" w:color="000000"/>
              <w:right w:val="single" w:sz="6" w:space="0" w:color="000000"/>
            </w:tcBorders>
          </w:tcPr>
          <w:p w14:paraId="693BB898" w14:textId="77777777" w:rsidR="00110406" w:rsidRDefault="00110406" w:rsidP="004C09BE">
            <w:pPr>
              <w:spacing w:after="0" w:line="259" w:lineRule="auto"/>
              <w:ind w:left="43" w:right="0" w:firstLine="0"/>
              <w:jc w:val="center"/>
            </w:pPr>
            <w:r>
              <w:t xml:space="preserve">75.0 </w:t>
            </w:r>
          </w:p>
        </w:tc>
      </w:tr>
      <w:tr w:rsidR="00110406" w14:paraId="10B79421" w14:textId="77777777" w:rsidTr="004C09BE">
        <w:trPr>
          <w:trHeight w:val="316"/>
        </w:trPr>
        <w:tc>
          <w:tcPr>
            <w:tcW w:w="6278" w:type="dxa"/>
            <w:tcBorders>
              <w:top w:val="single" w:sz="6" w:space="0" w:color="000000"/>
              <w:left w:val="single" w:sz="6" w:space="0" w:color="000000"/>
              <w:bottom w:val="single" w:sz="6" w:space="0" w:color="000000"/>
              <w:right w:val="single" w:sz="6" w:space="0" w:color="000000"/>
            </w:tcBorders>
          </w:tcPr>
          <w:p w14:paraId="4433F17C" w14:textId="77777777" w:rsidR="00110406" w:rsidRDefault="00110406" w:rsidP="004C09BE">
            <w:pPr>
              <w:spacing w:after="0" w:line="259" w:lineRule="auto"/>
              <w:ind w:left="38" w:right="0" w:firstLine="0"/>
              <w:jc w:val="left"/>
            </w:pPr>
            <w:r>
              <w:rPr>
                <w:b/>
              </w:rPr>
              <w:t xml:space="preserve"> Total </w:t>
            </w:r>
          </w:p>
        </w:tc>
        <w:tc>
          <w:tcPr>
            <w:tcW w:w="1772" w:type="dxa"/>
            <w:tcBorders>
              <w:top w:val="single" w:sz="6" w:space="0" w:color="000000"/>
              <w:left w:val="single" w:sz="6" w:space="0" w:color="000000"/>
              <w:bottom w:val="single" w:sz="6" w:space="0" w:color="000000"/>
              <w:right w:val="single" w:sz="6" w:space="0" w:color="000000"/>
            </w:tcBorders>
          </w:tcPr>
          <w:p w14:paraId="17C40627" w14:textId="77777777" w:rsidR="00110406" w:rsidRDefault="00110406" w:rsidP="004C09BE">
            <w:pPr>
              <w:spacing w:after="0" w:line="259" w:lineRule="auto"/>
              <w:ind w:left="56" w:right="0" w:firstLine="0"/>
              <w:jc w:val="center"/>
            </w:pPr>
            <w:r>
              <w:rPr>
                <w:b/>
              </w:rPr>
              <w:t xml:space="preserve">31.195 </w:t>
            </w:r>
          </w:p>
        </w:tc>
        <w:tc>
          <w:tcPr>
            <w:tcW w:w="1397" w:type="dxa"/>
            <w:tcBorders>
              <w:top w:val="single" w:sz="6" w:space="0" w:color="000000"/>
              <w:left w:val="single" w:sz="6" w:space="0" w:color="000000"/>
              <w:bottom w:val="single" w:sz="6" w:space="0" w:color="000000"/>
              <w:right w:val="single" w:sz="6" w:space="0" w:color="000000"/>
            </w:tcBorders>
          </w:tcPr>
          <w:p w14:paraId="562CD36B" w14:textId="77777777" w:rsidR="00110406" w:rsidRDefault="00110406" w:rsidP="004C09BE">
            <w:pPr>
              <w:spacing w:after="0" w:line="259" w:lineRule="auto"/>
              <w:ind w:left="43" w:right="0" w:firstLine="0"/>
              <w:jc w:val="center"/>
            </w:pPr>
            <w:r>
              <w:rPr>
                <w:b/>
              </w:rPr>
              <w:t xml:space="preserve">100 </w:t>
            </w:r>
          </w:p>
        </w:tc>
      </w:tr>
    </w:tbl>
    <w:p w14:paraId="6DBA6ACF" w14:textId="77777777" w:rsidR="00110406" w:rsidRDefault="00110406" w:rsidP="00110406">
      <w:pPr>
        <w:spacing w:after="148" w:line="259" w:lineRule="auto"/>
        <w:ind w:left="30" w:right="0" w:firstLine="0"/>
        <w:jc w:val="left"/>
      </w:pPr>
      <w:r>
        <w:t xml:space="preserve"> </w:t>
      </w:r>
    </w:p>
    <w:p w14:paraId="23A08994" w14:textId="77777777" w:rsidR="00110406" w:rsidRDefault="00110406" w:rsidP="00110406">
      <w:pPr>
        <w:spacing w:after="227"/>
        <w:ind w:left="0" w:right="767" w:firstLine="0"/>
      </w:pPr>
      <w:r>
        <w:t xml:space="preserve">The level of investments represents the Authority’s cumulative surplus on the General Fund, the balances on other cash-backed earmarked reserves and a cash-flow balance generated by a surplus of creditors over debtors and by grant receipts in advance of payments. There is a net investment figure of £29.195m. </w:t>
      </w:r>
    </w:p>
    <w:p w14:paraId="60CAA856" w14:textId="77777777" w:rsidR="00110406" w:rsidRDefault="00110406" w:rsidP="00110406">
      <w:pPr>
        <w:pStyle w:val="Heading1"/>
        <w:ind w:left="0" w:firstLine="0"/>
      </w:pPr>
      <w:r>
        <w:t xml:space="preserve">Borrowing and Investment Requirement  </w:t>
      </w:r>
    </w:p>
    <w:p w14:paraId="59A8E693" w14:textId="77777777" w:rsidR="00110406" w:rsidRDefault="00110406" w:rsidP="00110406">
      <w:pPr>
        <w:spacing w:after="237"/>
        <w:ind w:left="0" w:right="468" w:firstLine="0"/>
      </w:pPr>
      <w:r>
        <w:t xml:space="preserve">In the medium term, LCFA borrows for capital purposes only. The underlying need to borrow for capital purposes is measured by the Capital Financing Requirement (CFR), while usable reserves and working capital are the underlying resources available for investment. The table below compares the estimated CFR to the debt which currently exists, this gives an indication of the borrowing required. It also shows the estimated resources available for investment. An option is to use these balances to finance the expenditure rather than investing, often referred to as internal borrowing. The table gives an indication of the minimum borrowing or investment requirement through the period. </w:t>
      </w:r>
    </w:p>
    <w:p w14:paraId="3FA26E7E" w14:textId="77777777" w:rsidR="00110406" w:rsidRDefault="00110406" w:rsidP="00110406">
      <w:pPr>
        <w:spacing w:after="231" w:line="243" w:lineRule="auto"/>
        <w:ind w:left="0" w:right="468" w:firstLine="0"/>
      </w:pPr>
      <w:r>
        <w:t xml:space="preserve">The CFR forecast includes the impact of the latest forecast of the funding of the Capital Programme which currently assumes that there will be no borrowing until 2026/27. A voluntary Minimum Revenue Provision (MRP) was made in 2019/20 to take the future loans element of the MRP to nil.  </w:t>
      </w:r>
    </w:p>
    <w:p w14:paraId="5575B07D" w14:textId="77777777" w:rsidR="00110406" w:rsidRDefault="00110406" w:rsidP="00110406">
      <w:pPr>
        <w:ind w:left="0" w:right="468" w:firstLine="0"/>
      </w:pPr>
      <w:r>
        <w:t xml:space="preserve">Table 3 Borrowing/Investment Need </w:t>
      </w:r>
    </w:p>
    <w:tbl>
      <w:tblPr>
        <w:tblStyle w:val="TableGrid"/>
        <w:tblW w:w="10145" w:type="dxa"/>
        <w:tblInd w:w="-8" w:type="dxa"/>
        <w:tblCellMar>
          <w:top w:w="75" w:type="dxa"/>
          <w:left w:w="8" w:type="dxa"/>
          <w:bottom w:w="0" w:type="dxa"/>
          <w:right w:w="0" w:type="dxa"/>
        </w:tblCellMar>
        <w:tblLook w:val="04A0" w:firstRow="1" w:lastRow="0" w:firstColumn="1" w:lastColumn="0" w:noHBand="0" w:noVBand="1"/>
      </w:tblPr>
      <w:tblGrid>
        <w:gridCol w:w="142"/>
        <w:gridCol w:w="3418"/>
        <w:gridCol w:w="142"/>
        <w:gridCol w:w="1435"/>
        <w:gridCol w:w="142"/>
        <w:gridCol w:w="1435"/>
        <w:gridCol w:w="142"/>
        <w:gridCol w:w="1435"/>
        <w:gridCol w:w="142"/>
        <w:gridCol w:w="1570"/>
        <w:gridCol w:w="142"/>
      </w:tblGrid>
      <w:tr w:rsidR="00110406" w14:paraId="3F412F28" w14:textId="77777777" w:rsidTr="00110406">
        <w:trPr>
          <w:gridAfter w:val="1"/>
          <w:wAfter w:w="142" w:type="dxa"/>
          <w:trHeight w:val="466"/>
        </w:trPr>
        <w:tc>
          <w:tcPr>
            <w:tcW w:w="3560" w:type="dxa"/>
            <w:gridSpan w:val="2"/>
            <w:tcBorders>
              <w:top w:val="single" w:sz="6" w:space="0" w:color="000000"/>
              <w:left w:val="single" w:sz="6" w:space="0" w:color="000000"/>
              <w:bottom w:val="single" w:sz="6" w:space="0" w:color="000000"/>
              <w:right w:val="single" w:sz="6" w:space="0" w:color="000000"/>
            </w:tcBorders>
          </w:tcPr>
          <w:p w14:paraId="1F0087A6" w14:textId="77777777" w:rsidR="00110406" w:rsidRDefault="00110406" w:rsidP="004C09BE">
            <w:pPr>
              <w:spacing w:after="0" w:line="259" w:lineRule="auto"/>
              <w:ind w:left="360" w:right="0" w:firstLine="0"/>
              <w:jc w:val="left"/>
            </w:pPr>
          </w:p>
        </w:tc>
        <w:tc>
          <w:tcPr>
            <w:tcW w:w="1577" w:type="dxa"/>
            <w:gridSpan w:val="2"/>
            <w:tcBorders>
              <w:top w:val="single" w:sz="6" w:space="0" w:color="000000"/>
              <w:left w:val="single" w:sz="6" w:space="0" w:color="000000"/>
              <w:bottom w:val="single" w:sz="6" w:space="0" w:color="000000"/>
              <w:right w:val="single" w:sz="6" w:space="0" w:color="000000"/>
            </w:tcBorders>
          </w:tcPr>
          <w:p w14:paraId="7260B5C8" w14:textId="77777777" w:rsidR="00110406" w:rsidRDefault="00110406" w:rsidP="004C09BE">
            <w:pPr>
              <w:spacing w:after="0" w:line="259" w:lineRule="auto"/>
              <w:ind w:left="360" w:right="0" w:firstLine="0"/>
            </w:pPr>
            <w:r>
              <w:t xml:space="preserve">31/03/2024 </w:t>
            </w:r>
          </w:p>
        </w:tc>
        <w:tc>
          <w:tcPr>
            <w:tcW w:w="1577" w:type="dxa"/>
            <w:gridSpan w:val="2"/>
            <w:tcBorders>
              <w:top w:val="single" w:sz="6" w:space="0" w:color="000000"/>
              <w:left w:val="single" w:sz="6" w:space="0" w:color="000000"/>
              <w:bottom w:val="single" w:sz="6" w:space="0" w:color="000000"/>
              <w:right w:val="single" w:sz="6" w:space="0" w:color="000000"/>
            </w:tcBorders>
          </w:tcPr>
          <w:p w14:paraId="032AA8A1" w14:textId="77777777" w:rsidR="00110406" w:rsidRDefault="00110406" w:rsidP="004C09BE">
            <w:pPr>
              <w:spacing w:after="0" w:line="259" w:lineRule="auto"/>
              <w:ind w:left="360" w:right="0" w:firstLine="0"/>
              <w:jc w:val="left"/>
            </w:pPr>
            <w:r>
              <w:t xml:space="preserve">31/03/2025 </w:t>
            </w:r>
          </w:p>
        </w:tc>
        <w:tc>
          <w:tcPr>
            <w:tcW w:w="1577" w:type="dxa"/>
            <w:gridSpan w:val="2"/>
            <w:tcBorders>
              <w:top w:val="single" w:sz="6" w:space="0" w:color="000000"/>
              <w:left w:val="single" w:sz="6" w:space="0" w:color="000000"/>
              <w:bottom w:val="single" w:sz="6" w:space="0" w:color="000000"/>
              <w:right w:val="single" w:sz="6" w:space="0" w:color="000000"/>
            </w:tcBorders>
          </w:tcPr>
          <w:p w14:paraId="1693DC6B" w14:textId="77777777" w:rsidR="00110406" w:rsidRDefault="00110406" w:rsidP="004C09BE">
            <w:pPr>
              <w:spacing w:after="0" w:line="259" w:lineRule="auto"/>
              <w:ind w:left="360" w:right="0" w:firstLine="0"/>
              <w:jc w:val="left"/>
            </w:pPr>
            <w:r>
              <w:t xml:space="preserve">31/03/2026 </w:t>
            </w:r>
          </w:p>
        </w:tc>
        <w:tc>
          <w:tcPr>
            <w:tcW w:w="1712" w:type="dxa"/>
            <w:gridSpan w:val="2"/>
            <w:tcBorders>
              <w:top w:val="single" w:sz="6" w:space="0" w:color="000000"/>
              <w:left w:val="single" w:sz="6" w:space="0" w:color="000000"/>
              <w:bottom w:val="single" w:sz="6" w:space="0" w:color="000000"/>
              <w:right w:val="single" w:sz="6" w:space="0" w:color="000000"/>
            </w:tcBorders>
          </w:tcPr>
          <w:p w14:paraId="417BA3A1" w14:textId="77777777" w:rsidR="00110406" w:rsidRDefault="00110406" w:rsidP="004C09BE">
            <w:pPr>
              <w:spacing w:after="0" w:line="259" w:lineRule="auto"/>
              <w:ind w:left="360" w:right="0" w:firstLine="0"/>
              <w:jc w:val="center"/>
            </w:pPr>
            <w:r>
              <w:t xml:space="preserve">31/03/2027 </w:t>
            </w:r>
          </w:p>
        </w:tc>
      </w:tr>
      <w:tr w:rsidR="00110406" w14:paraId="708F550B" w14:textId="77777777" w:rsidTr="00110406">
        <w:trPr>
          <w:gridAfter w:val="1"/>
          <w:wAfter w:w="142" w:type="dxa"/>
          <w:trHeight w:val="451"/>
        </w:trPr>
        <w:tc>
          <w:tcPr>
            <w:tcW w:w="3560" w:type="dxa"/>
            <w:gridSpan w:val="2"/>
            <w:tcBorders>
              <w:top w:val="single" w:sz="6" w:space="0" w:color="000000"/>
              <w:left w:val="single" w:sz="6" w:space="0" w:color="000000"/>
              <w:bottom w:val="single" w:sz="6" w:space="0" w:color="000000"/>
              <w:right w:val="single" w:sz="6" w:space="0" w:color="000000"/>
            </w:tcBorders>
          </w:tcPr>
          <w:p w14:paraId="42BAD8F0" w14:textId="77777777" w:rsidR="00110406" w:rsidRDefault="00110406" w:rsidP="004C09BE">
            <w:pPr>
              <w:spacing w:after="0" w:line="259" w:lineRule="auto"/>
              <w:ind w:left="360" w:right="0" w:firstLine="0"/>
              <w:jc w:val="left"/>
            </w:pPr>
          </w:p>
        </w:tc>
        <w:tc>
          <w:tcPr>
            <w:tcW w:w="1577" w:type="dxa"/>
            <w:gridSpan w:val="2"/>
            <w:tcBorders>
              <w:top w:val="single" w:sz="6" w:space="0" w:color="000000"/>
              <w:left w:val="single" w:sz="6" w:space="0" w:color="000000"/>
              <w:bottom w:val="single" w:sz="6" w:space="0" w:color="000000"/>
              <w:right w:val="single" w:sz="6" w:space="0" w:color="000000"/>
            </w:tcBorders>
          </w:tcPr>
          <w:p w14:paraId="15214D00" w14:textId="77777777" w:rsidR="00110406" w:rsidRDefault="00110406" w:rsidP="004C09BE">
            <w:pPr>
              <w:spacing w:after="0" w:line="259" w:lineRule="auto"/>
              <w:ind w:left="360" w:right="0" w:firstLine="0"/>
              <w:jc w:val="center"/>
            </w:pPr>
            <w:r>
              <w:t xml:space="preserve">£m </w:t>
            </w:r>
          </w:p>
        </w:tc>
        <w:tc>
          <w:tcPr>
            <w:tcW w:w="1577" w:type="dxa"/>
            <w:gridSpan w:val="2"/>
            <w:tcBorders>
              <w:top w:val="single" w:sz="6" w:space="0" w:color="000000"/>
              <w:left w:val="single" w:sz="6" w:space="0" w:color="000000"/>
              <w:bottom w:val="single" w:sz="6" w:space="0" w:color="000000"/>
              <w:right w:val="single" w:sz="6" w:space="0" w:color="000000"/>
            </w:tcBorders>
          </w:tcPr>
          <w:p w14:paraId="3993BC5C" w14:textId="77777777" w:rsidR="00110406" w:rsidRDefault="00110406" w:rsidP="004C09BE">
            <w:pPr>
              <w:spacing w:after="0" w:line="259" w:lineRule="auto"/>
              <w:ind w:left="360" w:right="0" w:firstLine="0"/>
              <w:jc w:val="center"/>
            </w:pPr>
            <w:r>
              <w:t xml:space="preserve">£m </w:t>
            </w:r>
          </w:p>
        </w:tc>
        <w:tc>
          <w:tcPr>
            <w:tcW w:w="1577" w:type="dxa"/>
            <w:gridSpan w:val="2"/>
            <w:tcBorders>
              <w:top w:val="single" w:sz="6" w:space="0" w:color="000000"/>
              <w:left w:val="single" w:sz="6" w:space="0" w:color="000000"/>
              <w:bottom w:val="single" w:sz="6" w:space="0" w:color="000000"/>
              <w:right w:val="single" w:sz="6" w:space="0" w:color="000000"/>
            </w:tcBorders>
          </w:tcPr>
          <w:p w14:paraId="73ADFA92" w14:textId="77777777" w:rsidR="00110406" w:rsidRDefault="00110406" w:rsidP="004C09BE">
            <w:pPr>
              <w:spacing w:after="0" w:line="259" w:lineRule="auto"/>
              <w:ind w:left="360" w:right="0" w:firstLine="0"/>
              <w:jc w:val="center"/>
            </w:pPr>
            <w:r>
              <w:t xml:space="preserve">£m </w:t>
            </w:r>
          </w:p>
        </w:tc>
        <w:tc>
          <w:tcPr>
            <w:tcW w:w="1712" w:type="dxa"/>
            <w:gridSpan w:val="2"/>
            <w:tcBorders>
              <w:top w:val="single" w:sz="6" w:space="0" w:color="000000"/>
              <w:left w:val="single" w:sz="6" w:space="0" w:color="000000"/>
              <w:bottom w:val="single" w:sz="6" w:space="0" w:color="000000"/>
              <w:right w:val="single" w:sz="6" w:space="0" w:color="000000"/>
            </w:tcBorders>
          </w:tcPr>
          <w:p w14:paraId="7472BB7B" w14:textId="77777777" w:rsidR="00110406" w:rsidRDefault="00110406" w:rsidP="004C09BE">
            <w:pPr>
              <w:spacing w:after="0" w:line="259" w:lineRule="auto"/>
              <w:ind w:left="360" w:right="0" w:firstLine="0"/>
              <w:jc w:val="center"/>
            </w:pPr>
            <w:r>
              <w:t xml:space="preserve">£m </w:t>
            </w:r>
          </w:p>
        </w:tc>
      </w:tr>
      <w:tr w:rsidR="00110406" w14:paraId="64840B55" w14:textId="77777777" w:rsidTr="00110406">
        <w:trPr>
          <w:gridAfter w:val="1"/>
          <w:wAfter w:w="142" w:type="dxa"/>
          <w:trHeight w:val="465"/>
        </w:trPr>
        <w:tc>
          <w:tcPr>
            <w:tcW w:w="3560" w:type="dxa"/>
            <w:gridSpan w:val="2"/>
            <w:tcBorders>
              <w:top w:val="single" w:sz="6" w:space="0" w:color="000000"/>
              <w:left w:val="single" w:sz="6" w:space="0" w:color="000000"/>
              <w:bottom w:val="single" w:sz="6" w:space="0" w:color="000000"/>
              <w:right w:val="single" w:sz="6" w:space="0" w:color="000000"/>
            </w:tcBorders>
          </w:tcPr>
          <w:p w14:paraId="45BE6E79" w14:textId="77777777" w:rsidR="00110406" w:rsidRDefault="00110406" w:rsidP="004C09BE">
            <w:pPr>
              <w:spacing w:after="0" w:line="259" w:lineRule="auto"/>
              <w:ind w:left="360" w:right="0" w:firstLine="0"/>
              <w:jc w:val="left"/>
            </w:pPr>
            <w:r>
              <w:t xml:space="preserve">Capital Financing Requirement  </w:t>
            </w:r>
          </w:p>
        </w:tc>
        <w:tc>
          <w:tcPr>
            <w:tcW w:w="1577" w:type="dxa"/>
            <w:gridSpan w:val="2"/>
            <w:tcBorders>
              <w:top w:val="single" w:sz="6" w:space="0" w:color="000000"/>
              <w:left w:val="single" w:sz="6" w:space="0" w:color="000000"/>
              <w:bottom w:val="single" w:sz="6" w:space="0" w:color="000000"/>
              <w:right w:val="single" w:sz="6" w:space="0" w:color="000000"/>
            </w:tcBorders>
          </w:tcPr>
          <w:p w14:paraId="35A0EBF4" w14:textId="77777777" w:rsidR="00110406" w:rsidRDefault="00110406" w:rsidP="004C09BE">
            <w:pPr>
              <w:spacing w:after="0" w:line="259" w:lineRule="auto"/>
              <w:ind w:left="360" w:right="0" w:firstLine="0"/>
              <w:jc w:val="center"/>
            </w:pPr>
            <w:r>
              <w:t xml:space="preserve">12.351 </w:t>
            </w:r>
          </w:p>
        </w:tc>
        <w:tc>
          <w:tcPr>
            <w:tcW w:w="1577" w:type="dxa"/>
            <w:gridSpan w:val="2"/>
            <w:tcBorders>
              <w:top w:val="single" w:sz="6" w:space="0" w:color="000000"/>
              <w:left w:val="single" w:sz="6" w:space="0" w:color="000000"/>
              <w:bottom w:val="single" w:sz="6" w:space="0" w:color="000000"/>
              <w:right w:val="single" w:sz="6" w:space="0" w:color="000000"/>
            </w:tcBorders>
          </w:tcPr>
          <w:p w14:paraId="7988BADE" w14:textId="77777777" w:rsidR="00110406" w:rsidRDefault="00110406" w:rsidP="004C09BE">
            <w:pPr>
              <w:spacing w:after="0" w:line="259" w:lineRule="auto"/>
              <w:ind w:left="360" w:right="0" w:firstLine="0"/>
              <w:jc w:val="center"/>
            </w:pPr>
            <w:r>
              <w:t xml:space="preserve">11.868 </w:t>
            </w:r>
          </w:p>
        </w:tc>
        <w:tc>
          <w:tcPr>
            <w:tcW w:w="1577" w:type="dxa"/>
            <w:gridSpan w:val="2"/>
            <w:tcBorders>
              <w:top w:val="single" w:sz="6" w:space="0" w:color="000000"/>
              <w:left w:val="single" w:sz="6" w:space="0" w:color="000000"/>
              <w:bottom w:val="single" w:sz="6" w:space="0" w:color="000000"/>
              <w:right w:val="single" w:sz="6" w:space="0" w:color="000000"/>
            </w:tcBorders>
          </w:tcPr>
          <w:p w14:paraId="0D75BE94" w14:textId="77777777" w:rsidR="00110406" w:rsidRDefault="00110406" w:rsidP="004C09BE">
            <w:pPr>
              <w:spacing w:after="0" w:line="259" w:lineRule="auto"/>
              <w:ind w:left="360" w:right="0" w:firstLine="0"/>
              <w:jc w:val="center"/>
            </w:pPr>
            <w:r>
              <w:t xml:space="preserve">17.496 </w:t>
            </w:r>
          </w:p>
        </w:tc>
        <w:tc>
          <w:tcPr>
            <w:tcW w:w="1712" w:type="dxa"/>
            <w:gridSpan w:val="2"/>
            <w:tcBorders>
              <w:top w:val="single" w:sz="6" w:space="0" w:color="000000"/>
              <w:left w:val="single" w:sz="6" w:space="0" w:color="000000"/>
              <w:bottom w:val="single" w:sz="6" w:space="0" w:color="000000"/>
              <w:right w:val="single" w:sz="6" w:space="0" w:color="000000"/>
            </w:tcBorders>
          </w:tcPr>
          <w:p w14:paraId="791CE4D7" w14:textId="77777777" w:rsidR="00110406" w:rsidRDefault="00110406" w:rsidP="004C09BE">
            <w:pPr>
              <w:spacing w:after="0" w:line="259" w:lineRule="auto"/>
              <w:ind w:left="360" w:right="0" w:firstLine="0"/>
              <w:jc w:val="center"/>
            </w:pPr>
            <w:r>
              <w:t xml:space="preserve">32.248 </w:t>
            </w:r>
          </w:p>
        </w:tc>
      </w:tr>
      <w:tr w:rsidR="00110406" w14:paraId="70823B44" w14:textId="77777777" w:rsidTr="00110406">
        <w:trPr>
          <w:gridBefore w:val="1"/>
          <w:wBefore w:w="142" w:type="dxa"/>
          <w:trHeight w:val="901"/>
        </w:trPr>
        <w:tc>
          <w:tcPr>
            <w:tcW w:w="3560" w:type="dxa"/>
            <w:gridSpan w:val="2"/>
            <w:tcBorders>
              <w:top w:val="single" w:sz="6" w:space="0" w:color="000000"/>
              <w:left w:val="single" w:sz="6" w:space="0" w:color="000000"/>
              <w:bottom w:val="single" w:sz="6" w:space="0" w:color="000000"/>
              <w:right w:val="single" w:sz="6" w:space="0" w:color="000000"/>
            </w:tcBorders>
            <w:vAlign w:val="center"/>
          </w:tcPr>
          <w:p w14:paraId="38B3A634" w14:textId="77777777" w:rsidR="00110406" w:rsidRDefault="00110406" w:rsidP="004C09BE">
            <w:pPr>
              <w:spacing w:after="0" w:line="259" w:lineRule="auto"/>
              <w:ind w:left="360" w:right="0" w:firstLine="0"/>
            </w:pPr>
            <w:r>
              <w:lastRenderedPageBreak/>
              <w:t xml:space="preserve">Less long-term liabilities (PFI and finance leases) </w:t>
            </w:r>
          </w:p>
        </w:tc>
        <w:tc>
          <w:tcPr>
            <w:tcW w:w="1577" w:type="dxa"/>
            <w:gridSpan w:val="2"/>
            <w:tcBorders>
              <w:top w:val="single" w:sz="6" w:space="0" w:color="000000"/>
              <w:left w:val="single" w:sz="6" w:space="0" w:color="000000"/>
              <w:bottom w:val="single" w:sz="6" w:space="0" w:color="000000"/>
              <w:right w:val="single" w:sz="6" w:space="0" w:color="000000"/>
            </w:tcBorders>
            <w:vAlign w:val="center"/>
          </w:tcPr>
          <w:p w14:paraId="5EFBE910" w14:textId="77777777" w:rsidR="00110406" w:rsidRDefault="00110406" w:rsidP="004C09BE">
            <w:pPr>
              <w:spacing w:after="0" w:line="259" w:lineRule="auto"/>
              <w:ind w:left="360" w:right="0" w:firstLine="0"/>
              <w:jc w:val="center"/>
            </w:pPr>
            <w:r>
              <w:t xml:space="preserve">-12.351 </w:t>
            </w:r>
          </w:p>
        </w:tc>
        <w:tc>
          <w:tcPr>
            <w:tcW w:w="1577" w:type="dxa"/>
            <w:gridSpan w:val="2"/>
            <w:tcBorders>
              <w:top w:val="single" w:sz="6" w:space="0" w:color="000000"/>
              <w:left w:val="single" w:sz="6" w:space="0" w:color="000000"/>
              <w:bottom w:val="single" w:sz="6" w:space="0" w:color="000000"/>
              <w:right w:val="single" w:sz="6" w:space="0" w:color="000000"/>
            </w:tcBorders>
            <w:vAlign w:val="center"/>
          </w:tcPr>
          <w:p w14:paraId="0128F24B" w14:textId="77777777" w:rsidR="00110406" w:rsidRDefault="00110406" w:rsidP="004C09BE">
            <w:pPr>
              <w:spacing w:after="0" w:line="259" w:lineRule="auto"/>
              <w:ind w:left="360" w:right="0" w:firstLine="0"/>
              <w:jc w:val="center"/>
            </w:pPr>
            <w:r>
              <w:t xml:space="preserve">-11.868 </w:t>
            </w:r>
          </w:p>
        </w:tc>
        <w:tc>
          <w:tcPr>
            <w:tcW w:w="1577" w:type="dxa"/>
            <w:gridSpan w:val="2"/>
            <w:tcBorders>
              <w:top w:val="single" w:sz="6" w:space="0" w:color="000000"/>
              <w:left w:val="single" w:sz="6" w:space="0" w:color="000000"/>
              <w:bottom w:val="single" w:sz="6" w:space="0" w:color="000000"/>
              <w:right w:val="single" w:sz="6" w:space="0" w:color="000000"/>
            </w:tcBorders>
            <w:vAlign w:val="center"/>
          </w:tcPr>
          <w:p w14:paraId="1AE3D4CE" w14:textId="77777777" w:rsidR="00110406" w:rsidRDefault="00110406" w:rsidP="004C09BE">
            <w:pPr>
              <w:spacing w:after="0" w:line="259" w:lineRule="auto"/>
              <w:ind w:left="360" w:right="41" w:firstLine="0"/>
              <w:jc w:val="center"/>
            </w:pPr>
            <w:r>
              <w:t xml:space="preserve">-11.339  </w:t>
            </w:r>
          </w:p>
        </w:tc>
        <w:tc>
          <w:tcPr>
            <w:tcW w:w="1712" w:type="dxa"/>
            <w:gridSpan w:val="2"/>
            <w:tcBorders>
              <w:top w:val="single" w:sz="6" w:space="0" w:color="000000"/>
              <w:left w:val="single" w:sz="6" w:space="0" w:color="000000"/>
              <w:bottom w:val="single" w:sz="6" w:space="0" w:color="000000"/>
              <w:right w:val="single" w:sz="6" w:space="0" w:color="000000"/>
            </w:tcBorders>
            <w:vAlign w:val="center"/>
          </w:tcPr>
          <w:p w14:paraId="3167A719" w14:textId="77777777" w:rsidR="00110406" w:rsidRDefault="00110406" w:rsidP="004C09BE">
            <w:pPr>
              <w:spacing w:after="0" w:line="259" w:lineRule="auto"/>
              <w:ind w:left="360" w:right="0" w:firstLine="0"/>
              <w:jc w:val="center"/>
            </w:pPr>
            <w:r>
              <w:t xml:space="preserve">-10.760 </w:t>
            </w:r>
          </w:p>
        </w:tc>
      </w:tr>
      <w:tr w:rsidR="00110406" w14:paraId="5B6BFB81" w14:textId="77777777" w:rsidTr="00110406">
        <w:trPr>
          <w:gridBefore w:val="1"/>
          <w:wBefore w:w="142" w:type="dxa"/>
          <w:trHeight w:val="465"/>
        </w:trPr>
        <w:tc>
          <w:tcPr>
            <w:tcW w:w="3560" w:type="dxa"/>
            <w:gridSpan w:val="2"/>
            <w:tcBorders>
              <w:top w:val="single" w:sz="6" w:space="0" w:color="000000"/>
              <w:left w:val="single" w:sz="6" w:space="0" w:color="000000"/>
              <w:bottom w:val="single" w:sz="6" w:space="0" w:color="000000"/>
              <w:right w:val="single" w:sz="6" w:space="0" w:color="000000"/>
            </w:tcBorders>
          </w:tcPr>
          <w:p w14:paraId="4F288558" w14:textId="77777777" w:rsidR="00110406" w:rsidRDefault="00110406" w:rsidP="004C09BE">
            <w:pPr>
              <w:spacing w:after="0" w:line="259" w:lineRule="auto"/>
              <w:ind w:left="360" w:right="0" w:firstLine="0"/>
              <w:jc w:val="left"/>
            </w:pPr>
            <w:r>
              <w:t xml:space="preserve">Less external borrowing </w:t>
            </w:r>
          </w:p>
        </w:tc>
        <w:tc>
          <w:tcPr>
            <w:tcW w:w="1577" w:type="dxa"/>
            <w:gridSpan w:val="2"/>
            <w:tcBorders>
              <w:top w:val="single" w:sz="6" w:space="0" w:color="000000"/>
              <w:left w:val="single" w:sz="6" w:space="0" w:color="000000"/>
              <w:bottom w:val="single" w:sz="6" w:space="0" w:color="000000"/>
              <w:right w:val="single" w:sz="6" w:space="0" w:color="000000"/>
            </w:tcBorders>
          </w:tcPr>
          <w:p w14:paraId="609056E9" w14:textId="77777777" w:rsidR="00110406" w:rsidRDefault="00110406" w:rsidP="004C09BE">
            <w:pPr>
              <w:spacing w:after="0" w:line="259" w:lineRule="auto"/>
              <w:ind w:left="360" w:right="0" w:firstLine="0"/>
              <w:jc w:val="center"/>
            </w:pPr>
            <w:r>
              <w:t xml:space="preserve">-2.000 </w:t>
            </w:r>
          </w:p>
        </w:tc>
        <w:tc>
          <w:tcPr>
            <w:tcW w:w="1577" w:type="dxa"/>
            <w:gridSpan w:val="2"/>
            <w:tcBorders>
              <w:top w:val="single" w:sz="6" w:space="0" w:color="000000"/>
              <w:left w:val="single" w:sz="6" w:space="0" w:color="000000"/>
              <w:bottom w:val="single" w:sz="6" w:space="0" w:color="000000"/>
              <w:right w:val="single" w:sz="6" w:space="0" w:color="000000"/>
            </w:tcBorders>
          </w:tcPr>
          <w:p w14:paraId="1C630F99" w14:textId="77777777" w:rsidR="00110406" w:rsidRDefault="00110406" w:rsidP="004C09BE">
            <w:pPr>
              <w:spacing w:after="0" w:line="259" w:lineRule="auto"/>
              <w:ind w:left="360" w:right="0" w:firstLine="0"/>
              <w:jc w:val="center"/>
            </w:pPr>
            <w:r>
              <w:t xml:space="preserve">-2.000 </w:t>
            </w:r>
          </w:p>
        </w:tc>
        <w:tc>
          <w:tcPr>
            <w:tcW w:w="1577" w:type="dxa"/>
            <w:gridSpan w:val="2"/>
            <w:tcBorders>
              <w:top w:val="single" w:sz="6" w:space="0" w:color="000000"/>
              <w:left w:val="single" w:sz="6" w:space="0" w:color="000000"/>
              <w:bottom w:val="single" w:sz="6" w:space="0" w:color="000000"/>
              <w:right w:val="single" w:sz="6" w:space="0" w:color="000000"/>
            </w:tcBorders>
          </w:tcPr>
          <w:p w14:paraId="1F5A2A17" w14:textId="77777777" w:rsidR="00110406" w:rsidRDefault="00110406" w:rsidP="004C09BE">
            <w:pPr>
              <w:spacing w:after="0" w:line="259" w:lineRule="auto"/>
              <w:ind w:left="360" w:right="0" w:firstLine="0"/>
              <w:jc w:val="center"/>
            </w:pPr>
            <w:r>
              <w:t xml:space="preserve">-2.000 </w:t>
            </w:r>
          </w:p>
        </w:tc>
        <w:tc>
          <w:tcPr>
            <w:tcW w:w="1712" w:type="dxa"/>
            <w:gridSpan w:val="2"/>
            <w:tcBorders>
              <w:top w:val="single" w:sz="6" w:space="0" w:color="000000"/>
              <w:left w:val="single" w:sz="6" w:space="0" w:color="000000"/>
              <w:bottom w:val="single" w:sz="6" w:space="0" w:color="000000"/>
              <w:right w:val="single" w:sz="6" w:space="0" w:color="000000"/>
            </w:tcBorders>
          </w:tcPr>
          <w:p w14:paraId="610D6F19" w14:textId="77777777" w:rsidR="00110406" w:rsidRDefault="00110406" w:rsidP="004C09BE">
            <w:pPr>
              <w:spacing w:after="0" w:line="259" w:lineRule="auto"/>
              <w:ind w:left="360" w:right="0" w:firstLine="0"/>
              <w:jc w:val="center"/>
            </w:pPr>
            <w:r>
              <w:t xml:space="preserve">-2.000 </w:t>
            </w:r>
          </w:p>
        </w:tc>
      </w:tr>
      <w:tr w:rsidR="00110406" w14:paraId="6B84F26B" w14:textId="77777777" w:rsidTr="00110406">
        <w:trPr>
          <w:gridBefore w:val="1"/>
          <w:wBefore w:w="142" w:type="dxa"/>
          <w:trHeight w:val="465"/>
        </w:trPr>
        <w:tc>
          <w:tcPr>
            <w:tcW w:w="3560" w:type="dxa"/>
            <w:gridSpan w:val="2"/>
            <w:tcBorders>
              <w:top w:val="single" w:sz="6" w:space="0" w:color="000000"/>
              <w:left w:val="single" w:sz="6" w:space="0" w:color="000000"/>
              <w:bottom w:val="single" w:sz="6" w:space="0" w:color="000000"/>
              <w:right w:val="single" w:sz="6" w:space="0" w:color="000000"/>
            </w:tcBorders>
          </w:tcPr>
          <w:p w14:paraId="589C7381" w14:textId="77777777" w:rsidR="00110406" w:rsidRDefault="00110406" w:rsidP="004C09BE">
            <w:pPr>
              <w:spacing w:after="0" w:line="259" w:lineRule="auto"/>
              <w:ind w:left="360" w:right="0" w:firstLine="0"/>
              <w:jc w:val="left"/>
            </w:pPr>
            <w:r w:rsidRPr="00A54A3F">
              <w:rPr>
                <w:b/>
              </w:rPr>
              <w:t xml:space="preserve">Borrowing requirement </w:t>
            </w:r>
          </w:p>
        </w:tc>
        <w:tc>
          <w:tcPr>
            <w:tcW w:w="1577" w:type="dxa"/>
            <w:gridSpan w:val="2"/>
            <w:tcBorders>
              <w:top w:val="single" w:sz="6" w:space="0" w:color="000000"/>
              <w:left w:val="single" w:sz="6" w:space="0" w:color="000000"/>
              <w:bottom w:val="single" w:sz="6" w:space="0" w:color="000000"/>
              <w:right w:val="single" w:sz="6" w:space="0" w:color="000000"/>
            </w:tcBorders>
          </w:tcPr>
          <w:p w14:paraId="05080E6F" w14:textId="77777777" w:rsidR="00110406" w:rsidRDefault="00110406" w:rsidP="004C09BE">
            <w:pPr>
              <w:spacing w:after="0" w:line="259" w:lineRule="auto"/>
              <w:ind w:left="360" w:right="0" w:firstLine="0"/>
              <w:jc w:val="center"/>
            </w:pPr>
            <w:r w:rsidRPr="00A54A3F">
              <w:rPr>
                <w:b/>
              </w:rPr>
              <w:t xml:space="preserve">-2.000 </w:t>
            </w:r>
          </w:p>
        </w:tc>
        <w:tc>
          <w:tcPr>
            <w:tcW w:w="1577" w:type="dxa"/>
            <w:gridSpan w:val="2"/>
            <w:tcBorders>
              <w:top w:val="single" w:sz="6" w:space="0" w:color="000000"/>
              <w:left w:val="single" w:sz="6" w:space="0" w:color="000000"/>
              <w:bottom w:val="single" w:sz="6" w:space="0" w:color="000000"/>
              <w:right w:val="single" w:sz="6" w:space="0" w:color="000000"/>
            </w:tcBorders>
          </w:tcPr>
          <w:p w14:paraId="211E6163" w14:textId="77777777" w:rsidR="00110406" w:rsidRDefault="00110406" w:rsidP="004C09BE">
            <w:pPr>
              <w:spacing w:after="0" w:line="259" w:lineRule="auto"/>
              <w:ind w:left="360" w:right="0" w:firstLine="0"/>
              <w:jc w:val="center"/>
            </w:pPr>
            <w:r w:rsidRPr="00A54A3F">
              <w:rPr>
                <w:b/>
              </w:rPr>
              <w:t xml:space="preserve">-2.000 </w:t>
            </w:r>
          </w:p>
        </w:tc>
        <w:tc>
          <w:tcPr>
            <w:tcW w:w="1577" w:type="dxa"/>
            <w:gridSpan w:val="2"/>
            <w:tcBorders>
              <w:top w:val="single" w:sz="6" w:space="0" w:color="000000"/>
              <w:left w:val="single" w:sz="6" w:space="0" w:color="000000"/>
              <w:bottom w:val="single" w:sz="6" w:space="0" w:color="000000"/>
              <w:right w:val="single" w:sz="6" w:space="0" w:color="000000"/>
            </w:tcBorders>
          </w:tcPr>
          <w:p w14:paraId="258ADB1F" w14:textId="77777777" w:rsidR="00110406" w:rsidRDefault="00110406" w:rsidP="004C09BE">
            <w:pPr>
              <w:spacing w:after="0" w:line="259" w:lineRule="auto"/>
              <w:ind w:left="360" w:right="0" w:firstLine="0"/>
              <w:jc w:val="center"/>
            </w:pPr>
            <w:r w:rsidRPr="00A54A3F">
              <w:rPr>
                <w:b/>
              </w:rPr>
              <w:t xml:space="preserve">4.157 </w:t>
            </w:r>
          </w:p>
        </w:tc>
        <w:tc>
          <w:tcPr>
            <w:tcW w:w="1712" w:type="dxa"/>
            <w:gridSpan w:val="2"/>
            <w:tcBorders>
              <w:top w:val="single" w:sz="6" w:space="0" w:color="000000"/>
              <w:left w:val="single" w:sz="6" w:space="0" w:color="000000"/>
              <w:bottom w:val="single" w:sz="6" w:space="0" w:color="000000"/>
              <w:right w:val="single" w:sz="6" w:space="0" w:color="000000"/>
            </w:tcBorders>
          </w:tcPr>
          <w:p w14:paraId="5B050B07" w14:textId="77777777" w:rsidR="00110406" w:rsidRDefault="00110406" w:rsidP="004C09BE">
            <w:pPr>
              <w:spacing w:after="0" w:line="259" w:lineRule="auto"/>
              <w:ind w:left="360" w:right="0" w:firstLine="0"/>
              <w:jc w:val="center"/>
            </w:pPr>
            <w:r w:rsidRPr="00A54A3F">
              <w:rPr>
                <w:b/>
              </w:rPr>
              <w:t xml:space="preserve">19.488 </w:t>
            </w:r>
          </w:p>
        </w:tc>
      </w:tr>
      <w:tr w:rsidR="00110406" w14:paraId="1231A9B2" w14:textId="77777777" w:rsidTr="00110406">
        <w:trPr>
          <w:gridBefore w:val="1"/>
          <w:wBefore w:w="142" w:type="dxa"/>
          <w:trHeight w:val="466"/>
        </w:trPr>
        <w:tc>
          <w:tcPr>
            <w:tcW w:w="3560" w:type="dxa"/>
            <w:gridSpan w:val="2"/>
            <w:tcBorders>
              <w:top w:val="single" w:sz="6" w:space="0" w:color="000000"/>
              <w:left w:val="single" w:sz="6" w:space="0" w:color="000000"/>
              <w:bottom w:val="single" w:sz="6" w:space="0" w:color="000000"/>
              <w:right w:val="single" w:sz="6" w:space="0" w:color="000000"/>
            </w:tcBorders>
          </w:tcPr>
          <w:p w14:paraId="6654DBC5" w14:textId="77777777" w:rsidR="00110406" w:rsidRDefault="00110406" w:rsidP="004C09BE">
            <w:pPr>
              <w:spacing w:after="0" w:line="259" w:lineRule="auto"/>
              <w:ind w:left="360" w:right="0" w:firstLine="0"/>
              <w:jc w:val="left"/>
            </w:pPr>
          </w:p>
        </w:tc>
        <w:tc>
          <w:tcPr>
            <w:tcW w:w="1577" w:type="dxa"/>
            <w:gridSpan w:val="2"/>
            <w:tcBorders>
              <w:top w:val="single" w:sz="6" w:space="0" w:color="000000"/>
              <w:left w:val="single" w:sz="6" w:space="0" w:color="000000"/>
              <w:bottom w:val="single" w:sz="6" w:space="0" w:color="000000"/>
              <w:right w:val="single" w:sz="6" w:space="0" w:color="000000"/>
            </w:tcBorders>
          </w:tcPr>
          <w:p w14:paraId="607FF9CB" w14:textId="77777777" w:rsidR="00110406" w:rsidRDefault="00110406" w:rsidP="004C09BE">
            <w:pPr>
              <w:spacing w:after="0" w:line="259" w:lineRule="auto"/>
              <w:ind w:left="360" w:right="0" w:firstLine="0"/>
              <w:jc w:val="center"/>
            </w:pPr>
          </w:p>
        </w:tc>
        <w:tc>
          <w:tcPr>
            <w:tcW w:w="1577" w:type="dxa"/>
            <w:gridSpan w:val="2"/>
            <w:tcBorders>
              <w:top w:val="single" w:sz="6" w:space="0" w:color="000000"/>
              <w:left w:val="single" w:sz="6" w:space="0" w:color="000000"/>
              <w:bottom w:val="single" w:sz="6" w:space="0" w:color="000000"/>
              <w:right w:val="single" w:sz="6" w:space="0" w:color="000000"/>
            </w:tcBorders>
          </w:tcPr>
          <w:p w14:paraId="289EC9CC" w14:textId="77777777" w:rsidR="00110406" w:rsidRDefault="00110406" w:rsidP="004C09BE">
            <w:pPr>
              <w:spacing w:after="0" w:line="259" w:lineRule="auto"/>
              <w:ind w:left="360" w:right="0" w:firstLine="0"/>
              <w:jc w:val="center"/>
            </w:pPr>
          </w:p>
        </w:tc>
        <w:tc>
          <w:tcPr>
            <w:tcW w:w="1577" w:type="dxa"/>
            <w:gridSpan w:val="2"/>
            <w:tcBorders>
              <w:top w:val="single" w:sz="6" w:space="0" w:color="000000"/>
              <w:left w:val="single" w:sz="6" w:space="0" w:color="000000"/>
              <w:bottom w:val="single" w:sz="6" w:space="0" w:color="000000"/>
              <w:right w:val="single" w:sz="6" w:space="0" w:color="000000"/>
            </w:tcBorders>
          </w:tcPr>
          <w:p w14:paraId="6EB063E9" w14:textId="77777777" w:rsidR="00110406" w:rsidRDefault="00110406" w:rsidP="004C09BE">
            <w:pPr>
              <w:spacing w:after="0" w:line="259" w:lineRule="auto"/>
              <w:ind w:left="360" w:right="0" w:firstLine="0"/>
              <w:jc w:val="center"/>
            </w:pPr>
          </w:p>
        </w:tc>
        <w:tc>
          <w:tcPr>
            <w:tcW w:w="1712" w:type="dxa"/>
            <w:gridSpan w:val="2"/>
            <w:tcBorders>
              <w:top w:val="single" w:sz="6" w:space="0" w:color="000000"/>
              <w:left w:val="single" w:sz="6" w:space="0" w:color="000000"/>
              <w:bottom w:val="single" w:sz="6" w:space="0" w:color="000000"/>
              <w:right w:val="single" w:sz="6" w:space="0" w:color="000000"/>
            </w:tcBorders>
          </w:tcPr>
          <w:p w14:paraId="7FF5C273" w14:textId="77777777" w:rsidR="00110406" w:rsidRDefault="00110406" w:rsidP="004C09BE">
            <w:pPr>
              <w:spacing w:after="0" w:line="259" w:lineRule="auto"/>
              <w:ind w:left="360" w:right="0" w:firstLine="0"/>
              <w:jc w:val="center"/>
            </w:pPr>
          </w:p>
        </w:tc>
      </w:tr>
      <w:tr w:rsidR="00110406" w14:paraId="550BE755" w14:textId="77777777" w:rsidTr="00110406">
        <w:trPr>
          <w:gridBefore w:val="1"/>
          <w:wBefore w:w="142" w:type="dxa"/>
          <w:trHeight w:val="465"/>
        </w:trPr>
        <w:tc>
          <w:tcPr>
            <w:tcW w:w="3560" w:type="dxa"/>
            <w:gridSpan w:val="2"/>
            <w:tcBorders>
              <w:top w:val="single" w:sz="6" w:space="0" w:color="000000"/>
              <w:left w:val="single" w:sz="6" w:space="0" w:color="000000"/>
              <w:bottom w:val="single" w:sz="6" w:space="0" w:color="000000"/>
              <w:right w:val="single" w:sz="6" w:space="0" w:color="000000"/>
            </w:tcBorders>
          </w:tcPr>
          <w:p w14:paraId="1647C525" w14:textId="77777777" w:rsidR="00110406" w:rsidRDefault="00110406" w:rsidP="004C09BE">
            <w:pPr>
              <w:spacing w:after="0" w:line="259" w:lineRule="auto"/>
              <w:ind w:left="360" w:right="0" w:firstLine="0"/>
              <w:jc w:val="left"/>
            </w:pPr>
            <w:r>
              <w:t xml:space="preserve">Reserves and working capital </w:t>
            </w:r>
          </w:p>
        </w:tc>
        <w:tc>
          <w:tcPr>
            <w:tcW w:w="1577" w:type="dxa"/>
            <w:gridSpan w:val="2"/>
            <w:tcBorders>
              <w:top w:val="single" w:sz="6" w:space="0" w:color="000000"/>
              <w:left w:val="single" w:sz="6" w:space="0" w:color="000000"/>
              <w:bottom w:val="single" w:sz="6" w:space="0" w:color="000000"/>
              <w:right w:val="single" w:sz="6" w:space="0" w:color="000000"/>
            </w:tcBorders>
          </w:tcPr>
          <w:p w14:paraId="5A62C7C0" w14:textId="77777777" w:rsidR="00110406" w:rsidRDefault="00110406" w:rsidP="004C09BE">
            <w:pPr>
              <w:spacing w:after="0" w:line="259" w:lineRule="auto"/>
              <w:ind w:left="360" w:right="0" w:firstLine="0"/>
              <w:jc w:val="center"/>
            </w:pPr>
            <w:r>
              <w:t xml:space="preserve">31.558 </w:t>
            </w:r>
          </w:p>
        </w:tc>
        <w:tc>
          <w:tcPr>
            <w:tcW w:w="1577" w:type="dxa"/>
            <w:gridSpan w:val="2"/>
            <w:tcBorders>
              <w:top w:val="single" w:sz="6" w:space="0" w:color="000000"/>
              <w:left w:val="single" w:sz="6" w:space="0" w:color="000000"/>
              <w:bottom w:val="single" w:sz="6" w:space="0" w:color="000000"/>
              <w:right w:val="single" w:sz="6" w:space="0" w:color="000000"/>
            </w:tcBorders>
          </w:tcPr>
          <w:p w14:paraId="1A95EA24" w14:textId="77777777" w:rsidR="00110406" w:rsidRDefault="00110406" w:rsidP="004C09BE">
            <w:pPr>
              <w:spacing w:after="0" w:line="259" w:lineRule="auto"/>
              <w:ind w:left="360" w:right="0" w:firstLine="0"/>
              <w:jc w:val="center"/>
            </w:pPr>
            <w:r>
              <w:t xml:space="preserve">30.012 </w:t>
            </w:r>
          </w:p>
        </w:tc>
        <w:tc>
          <w:tcPr>
            <w:tcW w:w="1577" w:type="dxa"/>
            <w:gridSpan w:val="2"/>
            <w:tcBorders>
              <w:top w:val="single" w:sz="6" w:space="0" w:color="000000"/>
              <w:left w:val="single" w:sz="6" w:space="0" w:color="000000"/>
              <w:bottom w:val="single" w:sz="6" w:space="0" w:color="000000"/>
              <w:right w:val="single" w:sz="6" w:space="0" w:color="000000"/>
            </w:tcBorders>
          </w:tcPr>
          <w:p w14:paraId="0444354F" w14:textId="77777777" w:rsidR="00110406" w:rsidRDefault="00110406" w:rsidP="004C09BE">
            <w:pPr>
              <w:spacing w:after="0" w:line="259" w:lineRule="auto"/>
              <w:ind w:left="360" w:right="0" w:firstLine="0"/>
              <w:jc w:val="center"/>
            </w:pPr>
            <w:r>
              <w:t xml:space="preserve">22.316 </w:t>
            </w:r>
          </w:p>
        </w:tc>
        <w:tc>
          <w:tcPr>
            <w:tcW w:w="1712" w:type="dxa"/>
            <w:gridSpan w:val="2"/>
            <w:tcBorders>
              <w:top w:val="single" w:sz="6" w:space="0" w:color="000000"/>
              <w:left w:val="single" w:sz="6" w:space="0" w:color="000000"/>
              <w:bottom w:val="single" w:sz="6" w:space="0" w:color="000000"/>
              <w:right w:val="single" w:sz="6" w:space="0" w:color="000000"/>
            </w:tcBorders>
          </w:tcPr>
          <w:p w14:paraId="47BDBD17" w14:textId="77777777" w:rsidR="00110406" w:rsidRDefault="00110406" w:rsidP="004C09BE">
            <w:pPr>
              <w:spacing w:after="0" w:line="259" w:lineRule="auto"/>
              <w:ind w:left="360" w:right="0" w:firstLine="0"/>
              <w:jc w:val="center"/>
            </w:pPr>
            <w:r>
              <w:t xml:space="preserve">11.214 </w:t>
            </w:r>
          </w:p>
        </w:tc>
      </w:tr>
      <w:tr w:rsidR="00110406" w14:paraId="7A31BD8D" w14:textId="77777777" w:rsidTr="00110406">
        <w:trPr>
          <w:gridBefore w:val="1"/>
          <w:wBefore w:w="142" w:type="dxa"/>
          <w:trHeight w:val="451"/>
        </w:trPr>
        <w:tc>
          <w:tcPr>
            <w:tcW w:w="3560" w:type="dxa"/>
            <w:gridSpan w:val="2"/>
            <w:tcBorders>
              <w:top w:val="single" w:sz="6" w:space="0" w:color="000000"/>
              <w:left w:val="single" w:sz="6" w:space="0" w:color="000000"/>
              <w:bottom w:val="single" w:sz="6" w:space="0" w:color="000000"/>
              <w:right w:val="single" w:sz="6" w:space="0" w:color="000000"/>
            </w:tcBorders>
          </w:tcPr>
          <w:p w14:paraId="44B688C3" w14:textId="77777777" w:rsidR="00110406" w:rsidRDefault="00110406" w:rsidP="004C09BE">
            <w:pPr>
              <w:spacing w:after="0" w:line="259" w:lineRule="auto"/>
              <w:ind w:left="360" w:right="0" w:firstLine="0"/>
              <w:jc w:val="left"/>
            </w:pPr>
            <w:r w:rsidRPr="00A54A3F">
              <w:rPr>
                <w:b/>
              </w:rPr>
              <w:t xml:space="preserve">(Borrowing)/Investment need </w:t>
            </w:r>
          </w:p>
        </w:tc>
        <w:tc>
          <w:tcPr>
            <w:tcW w:w="1577" w:type="dxa"/>
            <w:gridSpan w:val="2"/>
            <w:tcBorders>
              <w:top w:val="single" w:sz="6" w:space="0" w:color="000000"/>
              <w:left w:val="single" w:sz="6" w:space="0" w:color="000000"/>
              <w:bottom w:val="single" w:sz="6" w:space="0" w:color="000000"/>
              <w:right w:val="single" w:sz="6" w:space="0" w:color="000000"/>
            </w:tcBorders>
          </w:tcPr>
          <w:p w14:paraId="29A9755C" w14:textId="77777777" w:rsidR="00110406" w:rsidRDefault="00110406" w:rsidP="004C09BE">
            <w:pPr>
              <w:spacing w:after="0" w:line="259" w:lineRule="auto"/>
              <w:ind w:left="360" w:right="0" w:firstLine="0"/>
              <w:jc w:val="center"/>
            </w:pPr>
            <w:r w:rsidRPr="00A54A3F">
              <w:rPr>
                <w:b/>
              </w:rPr>
              <w:t xml:space="preserve">33.558 </w:t>
            </w:r>
          </w:p>
        </w:tc>
        <w:tc>
          <w:tcPr>
            <w:tcW w:w="1577" w:type="dxa"/>
            <w:gridSpan w:val="2"/>
            <w:tcBorders>
              <w:top w:val="single" w:sz="6" w:space="0" w:color="000000"/>
              <w:left w:val="single" w:sz="6" w:space="0" w:color="000000"/>
              <w:bottom w:val="single" w:sz="6" w:space="0" w:color="000000"/>
              <w:right w:val="single" w:sz="6" w:space="0" w:color="000000"/>
            </w:tcBorders>
          </w:tcPr>
          <w:p w14:paraId="65082010" w14:textId="77777777" w:rsidR="00110406" w:rsidRDefault="00110406" w:rsidP="004C09BE">
            <w:pPr>
              <w:spacing w:after="0" w:line="259" w:lineRule="auto"/>
              <w:ind w:left="360" w:right="0" w:firstLine="0"/>
              <w:jc w:val="center"/>
            </w:pPr>
            <w:r w:rsidRPr="00A54A3F">
              <w:rPr>
                <w:b/>
              </w:rPr>
              <w:t xml:space="preserve">32.012 </w:t>
            </w:r>
          </w:p>
        </w:tc>
        <w:tc>
          <w:tcPr>
            <w:tcW w:w="1577" w:type="dxa"/>
            <w:gridSpan w:val="2"/>
            <w:tcBorders>
              <w:top w:val="single" w:sz="6" w:space="0" w:color="000000"/>
              <w:left w:val="single" w:sz="6" w:space="0" w:color="000000"/>
              <w:bottom w:val="single" w:sz="6" w:space="0" w:color="000000"/>
              <w:right w:val="single" w:sz="6" w:space="0" w:color="000000"/>
            </w:tcBorders>
          </w:tcPr>
          <w:p w14:paraId="03C2F742" w14:textId="77777777" w:rsidR="00110406" w:rsidRDefault="00110406" w:rsidP="004C09BE">
            <w:pPr>
              <w:spacing w:after="0" w:line="259" w:lineRule="auto"/>
              <w:ind w:left="360" w:right="0" w:firstLine="0"/>
              <w:jc w:val="center"/>
            </w:pPr>
            <w:r w:rsidRPr="00A54A3F">
              <w:rPr>
                <w:b/>
              </w:rPr>
              <w:t xml:space="preserve">18.159 </w:t>
            </w:r>
          </w:p>
        </w:tc>
        <w:tc>
          <w:tcPr>
            <w:tcW w:w="1712" w:type="dxa"/>
            <w:gridSpan w:val="2"/>
            <w:tcBorders>
              <w:top w:val="single" w:sz="6" w:space="0" w:color="000000"/>
              <w:left w:val="single" w:sz="6" w:space="0" w:color="000000"/>
              <w:bottom w:val="single" w:sz="6" w:space="0" w:color="000000"/>
              <w:right w:val="single" w:sz="6" w:space="0" w:color="000000"/>
            </w:tcBorders>
          </w:tcPr>
          <w:p w14:paraId="6994529A" w14:textId="77777777" w:rsidR="00110406" w:rsidRDefault="00110406" w:rsidP="004C09BE">
            <w:pPr>
              <w:spacing w:after="0" w:line="259" w:lineRule="auto"/>
              <w:ind w:left="360" w:right="0" w:firstLine="0"/>
              <w:jc w:val="center"/>
            </w:pPr>
            <w:r w:rsidRPr="00A54A3F">
              <w:rPr>
                <w:b/>
              </w:rPr>
              <w:t xml:space="preserve">-8.274 </w:t>
            </w:r>
          </w:p>
        </w:tc>
      </w:tr>
    </w:tbl>
    <w:p w14:paraId="6141C1BB" w14:textId="77777777" w:rsidR="00110406" w:rsidRDefault="00110406" w:rsidP="00110406">
      <w:pPr>
        <w:spacing w:after="162" w:line="259" w:lineRule="auto"/>
        <w:ind w:left="-277" w:right="0" w:firstLine="0"/>
        <w:jc w:val="left"/>
      </w:pPr>
    </w:p>
    <w:p w14:paraId="32B21859" w14:textId="77777777" w:rsidR="00110406" w:rsidRDefault="00110406" w:rsidP="00110406">
      <w:pPr>
        <w:spacing w:after="243"/>
        <w:ind w:left="0" w:right="468" w:firstLine="0"/>
      </w:pPr>
      <w:r>
        <w:t xml:space="preserve">CIPFA’s Prudential Code for Capital Finance in Local Authorities recommends that the Authority’s total debt should be lower than its highest forecast CFR over the next three years. However, the table above shows that the level of loans was above the CFR at 31/3/23. This was the result of the Authority adopting a policy of setting aside additional MRP to generate the cash to repay loans either on maturity or as an early repayment.  </w:t>
      </w:r>
    </w:p>
    <w:p w14:paraId="755CDA02" w14:textId="77777777" w:rsidR="00110406" w:rsidRDefault="00110406" w:rsidP="00110406">
      <w:pPr>
        <w:spacing w:after="231" w:line="243" w:lineRule="auto"/>
        <w:ind w:left="0" w:right="468" w:firstLine="0"/>
      </w:pPr>
      <w:r>
        <w:t xml:space="preserve">The table above indicates that rather than having a need for borrowing it is estimated that the authority has an underlying need to invest until 2025/26 although the available balances are forecast to reduce. Based on the latest capital programme the authority will have a borrowing requirement in 2026/27. </w:t>
      </w:r>
    </w:p>
    <w:p w14:paraId="06246A1A" w14:textId="77777777" w:rsidR="00110406" w:rsidRDefault="00110406" w:rsidP="00110406">
      <w:pPr>
        <w:spacing w:after="227"/>
        <w:ind w:left="0" w:right="468" w:firstLine="0"/>
      </w:pPr>
      <w:r>
        <w:t xml:space="preserve">Although the Authority does not have plans for new borrowing until 2026/27 it does currently hold £2.0m of loans as part of its strategy for funding previous years' capital programmes. </w:t>
      </w:r>
    </w:p>
    <w:p w14:paraId="3E072629" w14:textId="77777777" w:rsidR="00110406" w:rsidRDefault="00110406" w:rsidP="00110406">
      <w:pPr>
        <w:pStyle w:val="Heading1"/>
        <w:ind w:left="0" w:firstLine="0"/>
      </w:pPr>
      <w:r>
        <w:t xml:space="preserve">Liability benchmark </w:t>
      </w:r>
    </w:p>
    <w:p w14:paraId="334FCE02" w14:textId="77777777" w:rsidR="00110406" w:rsidRDefault="00110406" w:rsidP="00110406">
      <w:pPr>
        <w:ind w:left="0" w:right="691" w:firstLine="0"/>
      </w:pPr>
      <w:r>
        <w:t xml:space="preserve">The liability benchmark is an indicator required by the CIPFA Code. It looks to compare the Council’s actual borrowing requirements against an alternative strategy, a liability benchmark, which shows the minimum level of borrowing. </w:t>
      </w:r>
    </w:p>
    <w:p w14:paraId="179EF7C6" w14:textId="77777777" w:rsidR="00110406" w:rsidRDefault="00110406" w:rsidP="00110406">
      <w:pPr>
        <w:ind w:left="0" w:right="468" w:firstLine="0"/>
      </w:pPr>
    </w:p>
    <w:p w14:paraId="489420A0" w14:textId="77777777" w:rsidR="00110406" w:rsidRDefault="00110406" w:rsidP="00110406">
      <w:pPr>
        <w:spacing w:line="247" w:lineRule="auto"/>
        <w:ind w:left="0" w:right="468" w:firstLine="0"/>
      </w:pPr>
      <w:r>
        <w:lastRenderedPageBreak/>
        <w:t xml:space="preserve">This assumes the same forecasts as the table above, but that cash and investment balances are kept to a minimum level of £10m at each year-end to maintain sufficient liquidity but minimise credit risk. In addition, it reflects the latest Capital Programme information which shows a borrowing requirement from 2026/27 onwards. The liability benchmark is shown in the graph below: Graph 1 showing Liability Benchmark and Borrowing Scenarios </w:t>
      </w:r>
    </w:p>
    <w:p w14:paraId="75B46EB7" w14:textId="77777777" w:rsidR="00110406" w:rsidRDefault="00110406" w:rsidP="00110406">
      <w:pPr>
        <w:spacing w:after="51" w:line="259" w:lineRule="auto"/>
        <w:ind w:left="12" w:right="-507" w:firstLine="0"/>
        <w:jc w:val="left"/>
      </w:pPr>
      <w:r>
        <w:rPr>
          <w:noProof/>
        </w:rPr>
        <w:drawing>
          <wp:inline distT="0" distB="0" distL="0" distR="0" wp14:anchorId="19B3E3C6" wp14:editId="1343BD7A">
            <wp:extent cx="6397753" cy="3048000"/>
            <wp:effectExtent l="0" t="0" r="3175" b="0"/>
            <wp:docPr id="34653" name="Picture 34653" descr="A graph on a screen&#10;&#10;Description automatically generated"/>
            <wp:cNvGraphicFramePr/>
            <a:graphic xmlns:a="http://schemas.openxmlformats.org/drawingml/2006/main">
              <a:graphicData uri="http://schemas.openxmlformats.org/drawingml/2006/picture">
                <pic:pic xmlns:pic="http://schemas.openxmlformats.org/drawingml/2006/picture">
                  <pic:nvPicPr>
                    <pic:cNvPr id="34653" name="Picture 34653" descr="A graph on a screen&#10;&#10;Description automatically generated"/>
                    <pic:cNvPicPr/>
                  </pic:nvPicPr>
                  <pic:blipFill>
                    <a:blip r:embed="rId6"/>
                    <a:stretch>
                      <a:fillRect/>
                    </a:stretch>
                  </pic:blipFill>
                  <pic:spPr>
                    <a:xfrm>
                      <a:off x="0" y="0"/>
                      <a:ext cx="6397753" cy="3048000"/>
                    </a:xfrm>
                    <a:prstGeom prst="rect">
                      <a:avLst/>
                    </a:prstGeom>
                    <a:solidFill>
                      <a:schemeClr val="bg1">
                        <a:lumMod val="95000"/>
                      </a:schemeClr>
                    </a:solidFill>
                  </pic:spPr>
                </pic:pic>
              </a:graphicData>
            </a:graphic>
          </wp:inline>
        </w:drawing>
      </w:r>
    </w:p>
    <w:p w14:paraId="26086575" w14:textId="77777777" w:rsidR="00110406" w:rsidRDefault="00110406" w:rsidP="00110406">
      <w:pPr>
        <w:spacing w:after="107" w:line="259" w:lineRule="auto"/>
        <w:ind w:left="30" w:right="0" w:firstLine="0"/>
        <w:jc w:val="left"/>
      </w:pPr>
      <w:r>
        <w:rPr>
          <w:i/>
          <w:color w:val="44546A"/>
        </w:rPr>
        <w:t xml:space="preserve"> </w:t>
      </w:r>
    </w:p>
    <w:p w14:paraId="2B290076" w14:textId="77777777" w:rsidR="00110406" w:rsidRDefault="00110406" w:rsidP="00110406">
      <w:pPr>
        <w:spacing w:after="212"/>
        <w:ind w:right="691"/>
      </w:pPr>
      <w:r>
        <w:t xml:space="preserve">The benchmark shows that from 2026/27 there is likely to be a long-term requirement to borrow but that this does not necessarily have to be at the level of the loans CFR, which represents the maximum borrowing. The borrowing requirement is also reducing over time which may influence the length and type of borrowing to be taken. </w:t>
      </w:r>
    </w:p>
    <w:p w14:paraId="5F03893B" w14:textId="77777777" w:rsidR="00110406" w:rsidRDefault="00110406" w:rsidP="00110406">
      <w:pPr>
        <w:pStyle w:val="Heading1"/>
        <w:ind w:left="25"/>
      </w:pPr>
      <w:r>
        <w:t xml:space="preserve">Borrowing Strategy  </w:t>
      </w:r>
    </w:p>
    <w:p w14:paraId="25B47886" w14:textId="77777777" w:rsidR="00110406" w:rsidRDefault="00110406" w:rsidP="00110406">
      <w:pPr>
        <w:spacing w:after="231" w:line="243" w:lineRule="auto"/>
        <w:ind w:right="465"/>
        <w:jc w:val="left"/>
      </w:pPr>
      <w:r>
        <w:t xml:space="preserve">The draft Capital Programme implies there may be a requirement to use borrowing to fund the capital programme in the later years. At this stage it is extremely unlikely that borrowing will be required in 2024/25. However, it is still best practice to approve a borrowing strategy and a policy on borrowing in advance of need. In considering a borrowing strategy the Authority </w:t>
      </w:r>
      <w:r>
        <w:lastRenderedPageBreak/>
        <w:t xml:space="preserve">needs to make provision to borrow short term to cover unexpected cash flow shortages or to cover any change in the financing of its Capital Programme. </w:t>
      </w:r>
    </w:p>
    <w:p w14:paraId="17806939" w14:textId="77777777" w:rsidR="00110406" w:rsidRDefault="00110406" w:rsidP="00110406">
      <w:pPr>
        <w:spacing w:after="231" w:line="243" w:lineRule="auto"/>
        <w:ind w:right="465"/>
        <w:jc w:val="left"/>
      </w:pPr>
      <w:r>
        <w:t xml:space="preserve">In the past, the Authority has raised all its long-term borrowing from the Public Works Loan Board, but if long term borrowing was required other sources of finance, such as local authority loans, and bank loans, would be investigated that may be available at more favourable rates.  </w:t>
      </w:r>
    </w:p>
    <w:p w14:paraId="3451808E" w14:textId="77777777" w:rsidR="00110406" w:rsidRDefault="00110406" w:rsidP="00110406">
      <w:pPr>
        <w:spacing w:after="243"/>
        <w:ind w:right="465"/>
        <w:jc w:val="left"/>
      </w:pPr>
      <w:r>
        <w:t xml:space="preserve">Short-term borrowing if required would most likely be taken from other local authorities. </w:t>
      </w:r>
    </w:p>
    <w:p w14:paraId="35BDA10D" w14:textId="77777777" w:rsidR="00110406" w:rsidRDefault="00110406" w:rsidP="00110406">
      <w:pPr>
        <w:spacing w:after="241"/>
        <w:ind w:right="465"/>
        <w:jc w:val="left"/>
      </w:pPr>
      <w:r>
        <w:t xml:space="preserve">Therefore, the approved sources of long-term and short-term borrowing are:  </w:t>
      </w:r>
    </w:p>
    <w:p w14:paraId="46D844EB" w14:textId="77777777" w:rsidR="00110406" w:rsidRDefault="00110406" w:rsidP="001D69CB">
      <w:pPr>
        <w:numPr>
          <w:ilvl w:val="1"/>
          <w:numId w:val="30"/>
        </w:numPr>
        <w:spacing w:after="92" w:line="247" w:lineRule="auto"/>
        <w:ind w:left="709" w:right="468" w:hanging="361"/>
      </w:pPr>
      <w:r>
        <w:t xml:space="preserve">Public Works Loan Board. </w:t>
      </w:r>
    </w:p>
    <w:p w14:paraId="71D8B300" w14:textId="77777777" w:rsidR="00110406" w:rsidRDefault="00110406" w:rsidP="001D69CB">
      <w:pPr>
        <w:numPr>
          <w:ilvl w:val="1"/>
          <w:numId w:val="30"/>
        </w:numPr>
        <w:spacing w:after="13" w:line="247" w:lineRule="auto"/>
        <w:ind w:left="709" w:right="468" w:hanging="361"/>
      </w:pPr>
      <w:r>
        <w:t xml:space="preserve">UK local authorities.  </w:t>
      </w:r>
    </w:p>
    <w:p w14:paraId="2157F9B8" w14:textId="77777777" w:rsidR="00110406" w:rsidRDefault="00110406" w:rsidP="001D69CB">
      <w:pPr>
        <w:numPr>
          <w:ilvl w:val="1"/>
          <w:numId w:val="30"/>
        </w:numPr>
        <w:spacing w:after="91" w:line="247" w:lineRule="auto"/>
        <w:ind w:left="709" w:right="468" w:hanging="361"/>
      </w:pPr>
      <w:r>
        <w:t xml:space="preserve">Any institution approved for investments.  </w:t>
      </w:r>
    </w:p>
    <w:p w14:paraId="4713BEEA" w14:textId="77777777" w:rsidR="00110406" w:rsidRDefault="00110406" w:rsidP="001D69CB">
      <w:pPr>
        <w:numPr>
          <w:ilvl w:val="1"/>
          <w:numId w:val="30"/>
        </w:numPr>
        <w:spacing w:after="139" w:line="247" w:lineRule="auto"/>
        <w:ind w:left="709" w:right="468" w:hanging="361"/>
      </w:pPr>
      <w:r>
        <w:t xml:space="preserve">Any other bank or building society authorised by the Prudential Regulation Authority to operate in the UK.  </w:t>
      </w:r>
    </w:p>
    <w:p w14:paraId="5B900440" w14:textId="77777777" w:rsidR="00110406" w:rsidRDefault="00110406" w:rsidP="001D69CB">
      <w:pPr>
        <w:numPr>
          <w:ilvl w:val="1"/>
          <w:numId w:val="30"/>
        </w:numPr>
        <w:spacing w:after="165" w:line="247" w:lineRule="auto"/>
        <w:ind w:left="709" w:right="468" w:hanging="361"/>
      </w:pPr>
      <w:r>
        <w:t xml:space="preserve">UK public and private sector pension funds.  </w:t>
      </w:r>
    </w:p>
    <w:p w14:paraId="3F000502" w14:textId="77777777" w:rsidR="00110406" w:rsidRDefault="00110406" w:rsidP="00110406">
      <w:pPr>
        <w:pStyle w:val="Heading1"/>
        <w:ind w:left="25"/>
      </w:pPr>
      <w:r>
        <w:t xml:space="preserve">Policy on Borrowing in Advance of Need  </w:t>
      </w:r>
    </w:p>
    <w:p w14:paraId="7ECCFDEE" w14:textId="77777777" w:rsidR="00110406" w:rsidRDefault="00110406" w:rsidP="00110406">
      <w:pPr>
        <w:spacing w:after="227"/>
        <w:ind w:right="468"/>
      </w:pPr>
      <w:r>
        <w:t xml:space="preserve">In line with the Prudential Code the Authority will not borrow purely to profit from the investment of the extra sums borrowed. However advance borrowing may be taken if it is considered that current rates are more favourable than future rates and that this advantage outweighs the cost of carrying advance borrowing. Any decision to borrow in advance will be considered carefully to ensure value for money can be demonstrated and that the Authority can ensure the security of such funds and relationships.  </w:t>
      </w:r>
    </w:p>
    <w:p w14:paraId="19369C5C" w14:textId="77777777" w:rsidR="00110406" w:rsidRDefault="00110406" w:rsidP="00110406">
      <w:pPr>
        <w:spacing w:after="242"/>
        <w:ind w:right="468"/>
      </w:pPr>
      <w:r>
        <w:t xml:space="preserve">In determining whether borrowing will be undertaken in advance of need the authority will:  </w:t>
      </w:r>
    </w:p>
    <w:p w14:paraId="5F192380" w14:textId="77777777" w:rsidR="00110406" w:rsidRDefault="00110406" w:rsidP="001D69CB">
      <w:pPr>
        <w:numPr>
          <w:ilvl w:val="1"/>
          <w:numId w:val="31"/>
        </w:numPr>
        <w:spacing w:after="137" w:line="247" w:lineRule="auto"/>
        <w:ind w:left="709" w:right="468" w:hanging="361"/>
      </w:pPr>
      <w:r>
        <w:t xml:space="preserve">Ensure that there is a clear link between the capital programme and the maturity profile of the existing debt portfolio which supports the need to take funding in advance of need.  </w:t>
      </w:r>
    </w:p>
    <w:p w14:paraId="6273DA89" w14:textId="77777777" w:rsidR="00110406" w:rsidRDefault="00110406" w:rsidP="001D69CB">
      <w:pPr>
        <w:numPr>
          <w:ilvl w:val="1"/>
          <w:numId w:val="31"/>
        </w:numPr>
        <w:spacing w:after="123" w:line="247" w:lineRule="auto"/>
        <w:ind w:left="709" w:right="468" w:hanging="361"/>
      </w:pPr>
      <w:r>
        <w:t xml:space="preserve">Ensure the on-going revenue liabilities created, and the implications for </w:t>
      </w:r>
      <w:proofErr w:type="gramStart"/>
      <w:r>
        <w:t>future plans</w:t>
      </w:r>
      <w:proofErr w:type="gramEnd"/>
      <w:r>
        <w:t xml:space="preserve"> and budgets have been considered.  </w:t>
      </w:r>
    </w:p>
    <w:p w14:paraId="1193AF56" w14:textId="77777777" w:rsidR="00110406" w:rsidRDefault="00110406" w:rsidP="001D69CB">
      <w:pPr>
        <w:numPr>
          <w:ilvl w:val="1"/>
          <w:numId w:val="31"/>
        </w:numPr>
        <w:spacing w:after="122" w:line="247" w:lineRule="auto"/>
        <w:ind w:left="709" w:right="468" w:hanging="361"/>
      </w:pPr>
      <w:r>
        <w:t xml:space="preserve">Evaluate the economic and market factors that might influence the manner and timing of any decision to borrow.  </w:t>
      </w:r>
    </w:p>
    <w:p w14:paraId="69BA297E" w14:textId="77777777" w:rsidR="00110406" w:rsidRDefault="00110406" w:rsidP="001D69CB">
      <w:pPr>
        <w:numPr>
          <w:ilvl w:val="1"/>
          <w:numId w:val="31"/>
        </w:numPr>
        <w:spacing w:after="91" w:line="247" w:lineRule="auto"/>
        <w:ind w:left="709" w:right="468" w:hanging="361"/>
      </w:pPr>
      <w:r>
        <w:t xml:space="preserve">Consider the merits and demerits of alternative forms of funding.  </w:t>
      </w:r>
    </w:p>
    <w:p w14:paraId="25D6A9E8" w14:textId="77777777" w:rsidR="00110406" w:rsidRDefault="00110406" w:rsidP="001D69CB">
      <w:pPr>
        <w:numPr>
          <w:ilvl w:val="1"/>
          <w:numId w:val="31"/>
        </w:numPr>
        <w:spacing w:after="228" w:line="247" w:lineRule="auto"/>
        <w:ind w:left="709" w:right="468" w:hanging="361"/>
      </w:pPr>
      <w:r>
        <w:lastRenderedPageBreak/>
        <w:t xml:space="preserve">Consider the alternative interest rate bases available, the most appropriate periods to fund and repayment profiles to use.  </w:t>
      </w:r>
    </w:p>
    <w:p w14:paraId="3740E8AC" w14:textId="77777777" w:rsidR="00110406" w:rsidRDefault="00110406" w:rsidP="00110406">
      <w:pPr>
        <w:pStyle w:val="Heading1"/>
        <w:ind w:left="25"/>
      </w:pPr>
      <w:r>
        <w:t xml:space="preserve">Debt Restructuring  </w:t>
      </w:r>
    </w:p>
    <w:p w14:paraId="502ADB96" w14:textId="77777777" w:rsidR="00110406" w:rsidRDefault="00110406" w:rsidP="00110406">
      <w:pPr>
        <w:spacing w:after="227"/>
        <w:ind w:right="500"/>
      </w:pPr>
      <w:r>
        <w:t xml:space="preserve">The Authorities debt has arisen because of prior years' capital investment decisions. It has not taken any new borrowing out since 2007 as it has been utilising cash balances to pay off debt as it matures, or when deemed appropriate with the authority making early payment of debt. The anticipated holding of debt </w:t>
      </w:r>
      <w:proofErr w:type="gramStart"/>
      <w:r>
        <w:t>at</w:t>
      </w:r>
      <w:proofErr w:type="gramEnd"/>
      <w:r>
        <w:t xml:space="preserve"> 31 March 2024 is £2.0m. All the debt is from the Public Works Loans Board (PWLB) and is all at fixed rates of interest and is repayable on maturity. The table below shows the maturity profile and interest rate applicable on these: </w:t>
      </w:r>
    </w:p>
    <w:p w14:paraId="1736DFD0" w14:textId="77777777" w:rsidR="00110406" w:rsidRDefault="00110406" w:rsidP="00110406">
      <w:pPr>
        <w:ind w:left="25" w:right="468"/>
      </w:pPr>
      <w:r>
        <w:t xml:space="preserve">Table 4 Outstanding Loans </w:t>
      </w:r>
    </w:p>
    <w:tbl>
      <w:tblPr>
        <w:tblStyle w:val="TableGrid"/>
        <w:tblW w:w="5527" w:type="dxa"/>
        <w:tblInd w:w="112" w:type="dxa"/>
        <w:tblCellMar>
          <w:top w:w="0" w:type="dxa"/>
          <w:left w:w="128" w:type="dxa"/>
          <w:bottom w:w="0" w:type="dxa"/>
          <w:right w:w="1" w:type="dxa"/>
        </w:tblCellMar>
        <w:tblLook w:val="04A0" w:firstRow="1" w:lastRow="0" w:firstColumn="1" w:lastColumn="0" w:noHBand="0" w:noVBand="1"/>
      </w:tblPr>
      <w:tblGrid>
        <w:gridCol w:w="1697"/>
        <w:gridCol w:w="2163"/>
        <w:gridCol w:w="1667"/>
      </w:tblGrid>
      <w:tr w:rsidR="00110406" w14:paraId="7F338FBF" w14:textId="77777777" w:rsidTr="004C09BE">
        <w:trPr>
          <w:trHeight w:val="301"/>
        </w:trPr>
        <w:tc>
          <w:tcPr>
            <w:tcW w:w="1698" w:type="dxa"/>
            <w:tcBorders>
              <w:top w:val="single" w:sz="6" w:space="0" w:color="000000"/>
              <w:left w:val="single" w:sz="6" w:space="0" w:color="000000"/>
              <w:bottom w:val="single" w:sz="6" w:space="0" w:color="000000"/>
              <w:right w:val="single" w:sz="6" w:space="0" w:color="000000"/>
            </w:tcBorders>
          </w:tcPr>
          <w:p w14:paraId="2F34EBA1" w14:textId="77777777" w:rsidR="00110406" w:rsidRDefault="00110406" w:rsidP="004C09BE">
            <w:pPr>
              <w:spacing w:after="0" w:line="259" w:lineRule="auto"/>
              <w:ind w:left="1" w:right="0" w:firstLine="0"/>
              <w:jc w:val="left"/>
            </w:pPr>
            <w:r>
              <w:t xml:space="preserve">Loan Amount  </w:t>
            </w:r>
          </w:p>
        </w:tc>
        <w:tc>
          <w:tcPr>
            <w:tcW w:w="2163" w:type="dxa"/>
            <w:tcBorders>
              <w:top w:val="single" w:sz="6" w:space="0" w:color="000000"/>
              <w:left w:val="single" w:sz="6" w:space="0" w:color="000000"/>
              <w:bottom w:val="single" w:sz="6" w:space="0" w:color="000000"/>
              <w:right w:val="single" w:sz="6" w:space="0" w:color="000000"/>
            </w:tcBorders>
          </w:tcPr>
          <w:p w14:paraId="1C405AC1" w14:textId="77777777" w:rsidR="00110406" w:rsidRDefault="00110406" w:rsidP="004C09BE">
            <w:pPr>
              <w:spacing w:after="0" w:line="259" w:lineRule="auto"/>
              <w:ind w:left="0" w:right="0" w:firstLine="0"/>
              <w:jc w:val="left"/>
            </w:pPr>
            <w:r>
              <w:t xml:space="preserve">Maturity Date </w:t>
            </w:r>
          </w:p>
        </w:tc>
        <w:tc>
          <w:tcPr>
            <w:tcW w:w="1667" w:type="dxa"/>
            <w:tcBorders>
              <w:top w:val="single" w:sz="6" w:space="0" w:color="000000"/>
              <w:left w:val="single" w:sz="6" w:space="0" w:color="000000"/>
              <w:bottom w:val="single" w:sz="6" w:space="0" w:color="000000"/>
              <w:right w:val="single" w:sz="6" w:space="0" w:color="000000"/>
            </w:tcBorders>
          </w:tcPr>
          <w:p w14:paraId="6BE65ABA" w14:textId="77777777" w:rsidR="00110406" w:rsidRDefault="00110406" w:rsidP="004C09BE">
            <w:pPr>
              <w:spacing w:after="0" w:line="259" w:lineRule="auto"/>
              <w:ind w:left="15" w:right="0" w:firstLine="0"/>
              <w:jc w:val="left"/>
            </w:pPr>
            <w:r>
              <w:t xml:space="preserve">Interest rate </w:t>
            </w:r>
          </w:p>
        </w:tc>
      </w:tr>
      <w:tr w:rsidR="00110406" w14:paraId="20278E26" w14:textId="77777777" w:rsidTr="004C09BE">
        <w:trPr>
          <w:trHeight w:val="300"/>
        </w:trPr>
        <w:tc>
          <w:tcPr>
            <w:tcW w:w="1698" w:type="dxa"/>
            <w:tcBorders>
              <w:top w:val="single" w:sz="6" w:space="0" w:color="000000"/>
              <w:left w:val="single" w:sz="6" w:space="0" w:color="000000"/>
              <w:bottom w:val="single" w:sz="6" w:space="0" w:color="000000"/>
              <w:right w:val="single" w:sz="6" w:space="0" w:color="000000"/>
            </w:tcBorders>
          </w:tcPr>
          <w:p w14:paraId="781E8E17" w14:textId="77777777" w:rsidR="00110406" w:rsidRDefault="00110406" w:rsidP="004C09BE">
            <w:pPr>
              <w:spacing w:after="0" w:line="259" w:lineRule="auto"/>
              <w:ind w:left="1" w:right="0" w:firstLine="0"/>
              <w:jc w:val="left"/>
            </w:pPr>
            <w:r>
              <w:t xml:space="preserve">£650k </w:t>
            </w:r>
          </w:p>
        </w:tc>
        <w:tc>
          <w:tcPr>
            <w:tcW w:w="2163" w:type="dxa"/>
            <w:tcBorders>
              <w:top w:val="single" w:sz="6" w:space="0" w:color="000000"/>
              <w:left w:val="single" w:sz="6" w:space="0" w:color="000000"/>
              <w:bottom w:val="single" w:sz="6" w:space="0" w:color="000000"/>
              <w:right w:val="single" w:sz="6" w:space="0" w:color="000000"/>
            </w:tcBorders>
          </w:tcPr>
          <w:p w14:paraId="473E045D" w14:textId="77777777" w:rsidR="00110406" w:rsidRDefault="00110406" w:rsidP="004C09BE">
            <w:pPr>
              <w:spacing w:after="0" w:line="259" w:lineRule="auto"/>
              <w:ind w:left="0" w:right="0" w:firstLine="0"/>
              <w:jc w:val="left"/>
            </w:pPr>
            <w:r>
              <w:t xml:space="preserve">December 2035 </w:t>
            </w:r>
          </w:p>
        </w:tc>
        <w:tc>
          <w:tcPr>
            <w:tcW w:w="1667" w:type="dxa"/>
            <w:tcBorders>
              <w:top w:val="single" w:sz="6" w:space="0" w:color="000000"/>
              <w:left w:val="single" w:sz="6" w:space="0" w:color="000000"/>
              <w:bottom w:val="single" w:sz="6" w:space="0" w:color="000000"/>
              <w:right w:val="single" w:sz="6" w:space="0" w:color="000000"/>
            </w:tcBorders>
          </w:tcPr>
          <w:p w14:paraId="313A2EF1" w14:textId="77777777" w:rsidR="00110406" w:rsidRDefault="00110406" w:rsidP="004C09BE">
            <w:pPr>
              <w:spacing w:after="0" w:line="259" w:lineRule="auto"/>
              <w:ind w:left="15" w:right="0" w:firstLine="0"/>
              <w:jc w:val="left"/>
            </w:pPr>
            <w:r>
              <w:t xml:space="preserve">4.49% </w:t>
            </w:r>
          </w:p>
        </w:tc>
      </w:tr>
      <w:tr w:rsidR="00110406" w14:paraId="49FD4878" w14:textId="77777777" w:rsidTr="004C09BE">
        <w:trPr>
          <w:trHeight w:val="300"/>
        </w:trPr>
        <w:tc>
          <w:tcPr>
            <w:tcW w:w="1698" w:type="dxa"/>
            <w:tcBorders>
              <w:top w:val="single" w:sz="6" w:space="0" w:color="000000"/>
              <w:left w:val="single" w:sz="6" w:space="0" w:color="000000"/>
              <w:bottom w:val="single" w:sz="6" w:space="0" w:color="000000"/>
              <w:right w:val="single" w:sz="6" w:space="0" w:color="000000"/>
            </w:tcBorders>
          </w:tcPr>
          <w:p w14:paraId="2884FCEE" w14:textId="77777777" w:rsidR="00110406" w:rsidRDefault="00110406" w:rsidP="004C09BE">
            <w:pPr>
              <w:spacing w:after="0" w:line="259" w:lineRule="auto"/>
              <w:ind w:left="1" w:right="0" w:firstLine="0"/>
              <w:jc w:val="left"/>
            </w:pPr>
            <w:r>
              <w:t xml:space="preserve">£650k </w:t>
            </w:r>
          </w:p>
        </w:tc>
        <w:tc>
          <w:tcPr>
            <w:tcW w:w="2163" w:type="dxa"/>
            <w:tcBorders>
              <w:top w:val="single" w:sz="6" w:space="0" w:color="000000"/>
              <w:left w:val="single" w:sz="6" w:space="0" w:color="000000"/>
              <w:bottom w:val="single" w:sz="6" w:space="0" w:color="000000"/>
              <w:right w:val="single" w:sz="6" w:space="0" w:color="000000"/>
            </w:tcBorders>
          </w:tcPr>
          <w:p w14:paraId="10E807FC" w14:textId="77777777" w:rsidR="00110406" w:rsidRDefault="00110406" w:rsidP="004C09BE">
            <w:pPr>
              <w:spacing w:after="0" w:line="259" w:lineRule="auto"/>
              <w:ind w:left="0" w:right="0" w:firstLine="0"/>
              <w:jc w:val="left"/>
            </w:pPr>
            <w:r>
              <w:t xml:space="preserve">June 2036 </w:t>
            </w:r>
          </w:p>
        </w:tc>
        <w:tc>
          <w:tcPr>
            <w:tcW w:w="1667" w:type="dxa"/>
            <w:tcBorders>
              <w:top w:val="single" w:sz="6" w:space="0" w:color="000000"/>
              <w:left w:val="single" w:sz="6" w:space="0" w:color="000000"/>
              <w:bottom w:val="single" w:sz="6" w:space="0" w:color="000000"/>
              <w:right w:val="single" w:sz="6" w:space="0" w:color="000000"/>
            </w:tcBorders>
          </w:tcPr>
          <w:p w14:paraId="30871A00" w14:textId="77777777" w:rsidR="00110406" w:rsidRDefault="00110406" w:rsidP="004C09BE">
            <w:pPr>
              <w:spacing w:after="0" w:line="259" w:lineRule="auto"/>
              <w:ind w:left="15" w:right="0" w:firstLine="0"/>
              <w:jc w:val="left"/>
            </w:pPr>
            <w:r>
              <w:t xml:space="preserve">4.49% </w:t>
            </w:r>
          </w:p>
        </w:tc>
      </w:tr>
      <w:tr w:rsidR="00110406" w14:paraId="55BCDE9F" w14:textId="77777777" w:rsidTr="004C09BE">
        <w:trPr>
          <w:trHeight w:val="300"/>
        </w:trPr>
        <w:tc>
          <w:tcPr>
            <w:tcW w:w="1698" w:type="dxa"/>
            <w:tcBorders>
              <w:top w:val="single" w:sz="6" w:space="0" w:color="000000"/>
              <w:left w:val="single" w:sz="6" w:space="0" w:color="000000"/>
              <w:bottom w:val="single" w:sz="6" w:space="0" w:color="000000"/>
              <w:right w:val="single" w:sz="6" w:space="0" w:color="000000"/>
            </w:tcBorders>
          </w:tcPr>
          <w:p w14:paraId="14D1EE9A" w14:textId="77777777" w:rsidR="00110406" w:rsidRDefault="00110406" w:rsidP="004C09BE">
            <w:pPr>
              <w:spacing w:after="0" w:line="259" w:lineRule="auto"/>
              <w:ind w:left="1" w:right="0" w:firstLine="0"/>
              <w:jc w:val="left"/>
            </w:pPr>
            <w:r>
              <w:t xml:space="preserve">£700k </w:t>
            </w:r>
          </w:p>
        </w:tc>
        <w:tc>
          <w:tcPr>
            <w:tcW w:w="2163" w:type="dxa"/>
            <w:tcBorders>
              <w:top w:val="single" w:sz="6" w:space="0" w:color="000000"/>
              <w:left w:val="single" w:sz="6" w:space="0" w:color="000000"/>
              <w:bottom w:val="single" w:sz="6" w:space="0" w:color="000000"/>
              <w:right w:val="single" w:sz="6" w:space="0" w:color="000000"/>
            </w:tcBorders>
          </w:tcPr>
          <w:p w14:paraId="54BB369A" w14:textId="77777777" w:rsidR="00110406" w:rsidRDefault="00110406" w:rsidP="004C09BE">
            <w:pPr>
              <w:spacing w:after="0" w:line="259" w:lineRule="auto"/>
              <w:ind w:left="0" w:right="0" w:firstLine="0"/>
              <w:jc w:val="left"/>
            </w:pPr>
            <w:r>
              <w:t xml:space="preserve">June 2037 </w:t>
            </w:r>
          </w:p>
        </w:tc>
        <w:tc>
          <w:tcPr>
            <w:tcW w:w="1667" w:type="dxa"/>
            <w:tcBorders>
              <w:top w:val="single" w:sz="6" w:space="0" w:color="000000"/>
              <w:left w:val="single" w:sz="6" w:space="0" w:color="000000"/>
              <w:bottom w:val="single" w:sz="6" w:space="0" w:color="000000"/>
              <w:right w:val="single" w:sz="6" w:space="0" w:color="000000"/>
            </w:tcBorders>
          </w:tcPr>
          <w:p w14:paraId="2D2A95AD" w14:textId="77777777" w:rsidR="00110406" w:rsidRDefault="00110406" w:rsidP="004C09BE">
            <w:pPr>
              <w:spacing w:after="0" w:line="259" w:lineRule="auto"/>
              <w:ind w:left="15" w:right="0" w:firstLine="0"/>
              <w:jc w:val="left"/>
            </w:pPr>
            <w:r>
              <w:t xml:space="preserve">4.48% </w:t>
            </w:r>
          </w:p>
        </w:tc>
      </w:tr>
    </w:tbl>
    <w:p w14:paraId="49B54C42" w14:textId="77777777" w:rsidR="00110406" w:rsidRDefault="00110406" w:rsidP="00110406">
      <w:pPr>
        <w:spacing w:after="0" w:line="259" w:lineRule="auto"/>
        <w:ind w:left="30" w:right="0" w:firstLine="0"/>
        <w:jc w:val="left"/>
      </w:pPr>
      <w:r>
        <w:t xml:space="preserve"> </w:t>
      </w:r>
    </w:p>
    <w:p w14:paraId="3EDD5981" w14:textId="37DAB3D1" w:rsidR="00110406" w:rsidRDefault="00110406" w:rsidP="001D69CB">
      <w:pPr>
        <w:ind w:left="25" w:right="468"/>
      </w:pPr>
      <w:r>
        <w:t xml:space="preserve">(Note, this debt was taken out in 2007 when the base rate was 5.75% and when the Authority was earning 5.84% return on its investments.) </w:t>
      </w:r>
    </w:p>
    <w:p w14:paraId="4CBF79BD" w14:textId="77777777" w:rsidR="00110406" w:rsidRDefault="00110406" w:rsidP="00110406">
      <w:pPr>
        <w:ind w:right="500"/>
      </w:pPr>
      <w:r>
        <w:t xml:space="preserve">If the loans were to be repaid early there would be an early repayment </w:t>
      </w:r>
    </w:p>
    <w:p w14:paraId="68AE1343" w14:textId="77777777" w:rsidR="00110406" w:rsidRDefault="00110406" w:rsidP="00110406">
      <w:pPr>
        <w:spacing w:after="120" w:line="259" w:lineRule="auto"/>
        <w:ind w:left="0" w:right="391" w:firstLine="0"/>
      </w:pPr>
      <w:r>
        <w:t xml:space="preserve">(premium) charge. Previous reports on treasury management activities have reported that the premium and the potential loss of investment income have been greater than the savings made on the interest payments therefore it has not been considered financially beneficial to repay the loans especially with the potential for increased interest rates. However, at the 30 September the estimated premium charge to repay the three loans was minimal although rates and the premium change daily. To offset the net savings on repaying the loans it was estimated that future interest on investments over the remaining period of the loans would need to be 4.5%. If it is estimated that investment interest rates will be lower than this figure, then it may be beneficial to repay the loans. </w:t>
      </w:r>
    </w:p>
    <w:p w14:paraId="7925D5BE" w14:textId="77777777" w:rsidR="00110406" w:rsidRDefault="00110406" w:rsidP="00110406">
      <w:pPr>
        <w:pStyle w:val="Heading1"/>
        <w:ind w:left="25"/>
      </w:pPr>
      <w:r>
        <w:t xml:space="preserve">Investment Strategy  </w:t>
      </w:r>
    </w:p>
    <w:p w14:paraId="3B85C326" w14:textId="77777777" w:rsidR="00110406" w:rsidRDefault="00110406" w:rsidP="00110406">
      <w:pPr>
        <w:spacing w:after="227"/>
        <w:ind w:right="468"/>
      </w:pPr>
      <w:r>
        <w:t xml:space="preserve">On 31 December 2023, the Authority held £31.195m invested funds, representing income received in advance of expenditure plus existing balances and reserves. During the year, the Authority’s investment balance has ranged between £49m and £26m. </w:t>
      </w:r>
      <w:r>
        <w:lastRenderedPageBreak/>
        <w:t xml:space="preserve">The variation arises principally due to the timing of the receipt of government grants. It is anticipated that there will be reduced cash levels in the forthcoming year, due to a drawdown in reserves to finance capital expenditure.  </w:t>
      </w:r>
    </w:p>
    <w:p w14:paraId="159C5CA7" w14:textId="77777777" w:rsidR="00110406" w:rsidRDefault="00110406" w:rsidP="00110406">
      <w:pPr>
        <w:spacing w:after="241"/>
        <w:ind w:right="468"/>
      </w:pPr>
      <w:r>
        <w:t xml:space="preserve">Both the CIPFA Code and government guidance require the Authority to invest its funds prudently, and to have regard to the security and liquidity of its investments before seeking the highest rate of return, or yield. The Authority’s objective when investing money is to strike an appropriate balance between risk and return, minimising the risk of incurring losses from defaults and the risk receiving unsuitably low investment income. </w:t>
      </w:r>
    </w:p>
    <w:p w14:paraId="2A9B2FF6" w14:textId="77777777" w:rsidR="00110406" w:rsidRDefault="00110406" w:rsidP="00110406">
      <w:pPr>
        <w:spacing w:after="243"/>
        <w:ind w:right="468"/>
      </w:pPr>
      <w:r>
        <w:t xml:space="preserve">Therefore, in line with the guidance the Treasury Management Strategy is developed to ensure the Fire Authority will only use very high-quality counterparties for investments. </w:t>
      </w:r>
    </w:p>
    <w:p w14:paraId="1E8BBA2D" w14:textId="77777777" w:rsidR="00110406" w:rsidRDefault="00110406" w:rsidP="00110406">
      <w:pPr>
        <w:spacing w:after="243"/>
        <w:ind w:right="468"/>
      </w:pPr>
      <w:r>
        <w:t xml:space="preserve">The Authority may invest its surplus funds with any of the counterparties in the table below, subject to the cash and time limits shown.  </w:t>
      </w:r>
    </w:p>
    <w:p w14:paraId="71720099" w14:textId="77777777" w:rsidR="00110406" w:rsidRDefault="00110406" w:rsidP="00110406">
      <w:pPr>
        <w:ind w:left="25" w:right="468"/>
      </w:pPr>
      <w:r>
        <w:t xml:space="preserve">Table 5 Investment Counterparties </w:t>
      </w:r>
    </w:p>
    <w:tbl>
      <w:tblPr>
        <w:tblStyle w:val="TableGrid"/>
        <w:tblW w:w="8951" w:type="dxa"/>
        <w:tblInd w:w="308" w:type="dxa"/>
        <w:tblCellMar>
          <w:top w:w="0" w:type="dxa"/>
          <w:left w:w="23" w:type="dxa"/>
          <w:bottom w:w="0" w:type="dxa"/>
          <w:right w:w="5" w:type="dxa"/>
        </w:tblCellMar>
        <w:tblLook w:val="04A0" w:firstRow="1" w:lastRow="0" w:firstColumn="1" w:lastColumn="0" w:noHBand="0" w:noVBand="1"/>
      </w:tblPr>
      <w:tblGrid>
        <w:gridCol w:w="6353"/>
        <w:gridCol w:w="1232"/>
        <w:gridCol w:w="1366"/>
      </w:tblGrid>
      <w:tr w:rsidR="00110406" w14:paraId="25418692" w14:textId="77777777" w:rsidTr="004C09BE">
        <w:trPr>
          <w:trHeight w:val="556"/>
        </w:trPr>
        <w:tc>
          <w:tcPr>
            <w:tcW w:w="6353" w:type="dxa"/>
            <w:tcBorders>
              <w:top w:val="single" w:sz="6" w:space="0" w:color="000000"/>
              <w:left w:val="single" w:sz="6" w:space="0" w:color="000000"/>
              <w:bottom w:val="single" w:sz="6" w:space="0" w:color="000000"/>
              <w:right w:val="single" w:sz="6" w:space="0" w:color="000000"/>
            </w:tcBorders>
            <w:vAlign w:val="center"/>
          </w:tcPr>
          <w:p w14:paraId="3D8DECE3" w14:textId="77777777" w:rsidR="00110406" w:rsidRDefault="00110406" w:rsidP="004C09BE">
            <w:pPr>
              <w:tabs>
                <w:tab w:val="center" w:pos="5632"/>
              </w:tabs>
              <w:spacing w:after="0" w:line="259" w:lineRule="auto"/>
              <w:ind w:left="0" w:right="0" w:firstLine="0"/>
              <w:jc w:val="left"/>
            </w:pPr>
            <w:proofErr w:type="gramStart"/>
            <w:r>
              <w:rPr>
                <w:b/>
                <w:sz w:val="23"/>
              </w:rPr>
              <w:t xml:space="preserve">Counterparty </w:t>
            </w:r>
            <w:r>
              <w:t xml:space="preserve"> </w:t>
            </w:r>
            <w:r>
              <w:tab/>
            </w:r>
            <w:proofErr w:type="gramEnd"/>
            <w:r>
              <w:rPr>
                <w:sz w:val="37"/>
                <w:vertAlign w:val="superscript"/>
              </w:rPr>
              <w:t xml:space="preserve"> </w:t>
            </w:r>
          </w:p>
        </w:tc>
        <w:tc>
          <w:tcPr>
            <w:tcW w:w="1232" w:type="dxa"/>
            <w:tcBorders>
              <w:top w:val="single" w:sz="6" w:space="0" w:color="000000"/>
              <w:left w:val="single" w:sz="6" w:space="0" w:color="000000"/>
              <w:bottom w:val="single" w:sz="6" w:space="0" w:color="000000"/>
              <w:right w:val="single" w:sz="6" w:space="0" w:color="000000"/>
            </w:tcBorders>
            <w:vAlign w:val="center"/>
          </w:tcPr>
          <w:p w14:paraId="08C58B52" w14:textId="77777777" w:rsidR="00110406" w:rsidRDefault="00110406" w:rsidP="004C09BE">
            <w:pPr>
              <w:spacing w:after="0" w:line="259" w:lineRule="auto"/>
              <w:ind w:left="105" w:right="0" w:firstLine="0"/>
              <w:jc w:val="left"/>
            </w:pPr>
            <w:r>
              <w:rPr>
                <w:b/>
                <w:sz w:val="23"/>
              </w:rPr>
              <w:t xml:space="preserve">Cash limit </w:t>
            </w:r>
          </w:p>
        </w:tc>
        <w:tc>
          <w:tcPr>
            <w:tcW w:w="1366" w:type="dxa"/>
            <w:tcBorders>
              <w:top w:val="single" w:sz="6" w:space="0" w:color="000000"/>
              <w:left w:val="single" w:sz="6" w:space="0" w:color="000000"/>
              <w:bottom w:val="single" w:sz="6" w:space="0" w:color="000000"/>
              <w:right w:val="single" w:sz="6" w:space="0" w:color="000000"/>
            </w:tcBorders>
          </w:tcPr>
          <w:p w14:paraId="1D7E8DE0" w14:textId="77777777" w:rsidR="00110406" w:rsidRDefault="00110406" w:rsidP="004C09BE">
            <w:pPr>
              <w:spacing w:after="0" w:line="259" w:lineRule="auto"/>
              <w:ind w:left="105" w:right="0" w:firstLine="0"/>
              <w:jc w:val="left"/>
            </w:pPr>
            <w:r>
              <w:rPr>
                <w:b/>
                <w:sz w:val="23"/>
              </w:rPr>
              <w:t xml:space="preserve">Rating / </w:t>
            </w:r>
          </w:p>
          <w:p w14:paraId="1B158FFC" w14:textId="77777777" w:rsidR="00110406" w:rsidRDefault="00110406" w:rsidP="004C09BE">
            <w:pPr>
              <w:spacing w:after="0" w:line="259" w:lineRule="auto"/>
              <w:ind w:left="105" w:right="0" w:firstLine="0"/>
              <w:jc w:val="left"/>
            </w:pPr>
            <w:r>
              <w:rPr>
                <w:b/>
                <w:sz w:val="23"/>
              </w:rPr>
              <w:t xml:space="preserve">Time limit  </w:t>
            </w:r>
          </w:p>
        </w:tc>
      </w:tr>
      <w:tr w:rsidR="00110406" w14:paraId="005B3DAF" w14:textId="77777777" w:rsidTr="004C09BE">
        <w:trPr>
          <w:trHeight w:val="1651"/>
        </w:trPr>
        <w:tc>
          <w:tcPr>
            <w:tcW w:w="6353" w:type="dxa"/>
            <w:tcBorders>
              <w:top w:val="single" w:sz="6" w:space="0" w:color="000000"/>
              <w:left w:val="single" w:sz="6" w:space="0" w:color="000000"/>
              <w:bottom w:val="single" w:sz="6" w:space="0" w:color="000000"/>
              <w:right w:val="single" w:sz="6" w:space="0" w:color="000000"/>
            </w:tcBorders>
          </w:tcPr>
          <w:p w14:paraId="5DD46894" w14:textId="77777777" w:rsidR="00110406" w:rsidRDefault="00110406" w:rsidP="001D69CB">
            <w:pPr>
              <w:spacing w:after="0" w:line="266" w:lineRule="auto"/>
              <w:ind w:left="105" w:right="1119" w:firstLine="0"/>
              <w:jc w:val="left"/>
            </w:pPr>
            <w:r>
              <w:rPr>
                <w:sz w:val="23"/>
              </w:rPr>
              <w:t xml:space="preserve">Banks and other organisations and securities whose       lowest published long-term credit rating from Fitch, Moody’s and Standard &amp; Poor’s is: </w:t>
            </w:r>
            <w:r>
              <w:t xml:space="preserve"> </w:t>
            </w:r>
          </w:p>
          <w:p w14:paraId="38BCD1EE" w14:textId="77777777" w:rsidR="00110406" w:rsidRDefault="00110406" w:rsidP="001D69CB">
            <w:pPr>
              <w:spacing w:after="0" w:line="259" w:lineRule="auto"/>
              <w:ind w:left="105" w:right="0" w:firstLine="0"/>
              <w:jc w:val="left"/>
            </w:pPr>
            <w:r>
              <w:rPr>
                <w:sz w:val="23"/>
              </w:rPr>
              <w:t xml:space="preserve"> </w:t>
            </w:r>
          </w:p>
        </w:tc>
        <w:tc>
          <w:tcPr>
            <w:tcW w:w="1232" w:type="dxa"/>
            <w:tcBorders>
              <w:top w:val="single" w:sz="6" w:space="0" w:color="000000"/>
              <w:left w:val="single" w:sz="6" w:space="0" w:color="000000"/>
              <w:bottom w:val="single" w:sz="6" w:space="0" w:color="000000"/>
              <w:right w:val="single" w:sz="6" w:space="0" w:color="000000"/>
            </w:tcBorders>
          </w:tcPr>
          <w:p w14:paraId="3ECE5AF9" w14:textId="77777777" w:rsidR="00110406" w:rsidRDefault="00110406" w:rsidP="004C09BE">
            <w:pPr>
              <w:spacing w:after="0" w:line="259" w:lineRule="auto"/>
              <w:ind w:left="105" w:right="0" w:firstLine="0"/>
              <w:jc w:val="left"/>
            </w:pPr>
            <w:r>
              <w:rPr>
                <w:sz w:val="23"/>
              </w:rPr>
              <w:t xml:space="preserve">£5m each </w:t>
            </w:r>
          </w:p>
        </w:tc>
        <w:tc>
          <w:tcPr>
            <w:tcW w:w="1366" w:type="dxa"/>
            <w:tcBorders>
              <w:top w:val="single" w:sz="6" w:space="0" w:color="000000"/>
              <w:left w:val="single" w:sz="6" w:space="0" w:color="000000"/>
              <w:bottom w:val="single" w:sz="6" w:space="0" w:color="000000"/>
              <w:right w:val="single" w:sz="6" w:space="0" w:color="000000"/>
            </w:tcBorders>
          </w:tcPr>
          <w:p w14:paraId="0D84CF30" w14:textId="77777777" w:rsidR="00110406" w:rsidRDefault="00110406" w:rsidP="004C09BE">
            <w:pPr>
              <w:spacing w:after="0" w:line="254" w:lineRule="auto"/>
              <w:ind w:left="0" w:right="146" w:firstLine="0"/>
            </w:pPr>
            <w:r>
              <w:rPr>
                <w:sz w:val="23"/>
              </w:rPr>
              <w:t xml:space="preserve">AAA / 5 years AA+ / 3 years AA / 2 years </w:t>
            </w:r>
          </w:p>
          <w:p w14:paraId="3B0D17EA" w14:textId="77777777" w:rsidR="00110406" w:rsidRDefault="00110406" w:rsidP="004C09BE">
            <w:pPr>
              <w:spacing w:after="0" w:line="259" w:lineRule="auto"/>
              <w:ind w:left="0" w:right="0" w:firstLine="0"/>
            </w:pPr>
            <w:r>
              <w:rPr>
                <w:sz w:val="23"/>
              </w:rPr>
              <w:t xml:space="preserve">AA- / 2 years </w:t>
            </w:r>
          </w:p>
        </w:tc>
      </w:tr>
      <w:tr w:rsidR="00110406" w14:paraId="533ED7CE" w14:textId="77777777" w:rsidTr="004C09BE">
        <w:trPr>
          <w:trHeight w:val="556"/>
        </w:trPr>
        <w:tc>
          <w:tcPr>
            <w:tcW w:w="6353" w:type="dxa"/>
            <w:tcBorders>
              <w:top w:val="single" w:sz="6" w:space="0" w:color="000000"/>
              <w:left w:val="single" w:sz="6" w:space="0" w:color="000000"/>
              <w:bottom w:val="single" w:sz="6" w:space="0" w:color="000000"/>
              <w:right w:val="single" w:sz="6" w:space="0" w:color="000000"/>
            </w:tcBorders>
          </w:tcPr>
          <w:p w14:paraId="475A159A" w14:textId="77777777" w:rsidR="00110406" w:rsidRDefault="00110406" w:rsidP="001D69CB">
            <w:pPr>
              <w:spacing w:after="0" w:line="259" w:lineRule="auto"/>
              <w:ind w:right="0"/>
            </w:pPr>
            <w:r>
              <w:rPr>
                <w:sz w:val="23"/>
              </w:rPr>
              <w:t xml:space="preserve">Call Accounts with banks and other organisations with  </w:t>
            </w:r>
            <w:r>
              <w:t xml:space="preserve"> </w:t>
            </w:r>
            <w:r>
              <w:rPr>
                <w:sz w:val="23"/>
              </w:rPr>
              <w:t xml:space="preserve">minimum A- credit rating </w:t>
            </w:r>
            <w:r>
              <w:t xml:space="preserve"> </w:t>
            </w:r>
          </w:p>
        </w:tc>
        <w:tc>
          <w:tcPr>
            <w:tcW w:w="1232" w:type="dxa"/>
            <w:tcBorders>
              <w:top w:val="single" w:sz="6" w:space="0" w:color="000000"/>
              <w:left w:val="single" w:sz="6" w:space="0" w:color="000000"/>
              <w:bottom w:val="single" w:sz="6" w:space="0" w:color="000000"/>
              <w:right w:val="single" w:sz="6" w:space="0" w:color="000000"/>
            </w:tcBorders>
          </w:tcPr>
          <w:p w14:paraId="65FB832C" w14:textId="77777777" w:rsidR="00110406" w:rsidRDefault="00110406" w:rsidP="004C09BE">
            <w:pPr>
              <w:spacing w:after="0" w:line="259" w:lineRule="auto"/>
              <w:ind w:left="0" w:right="26" w:firstLine="0"/>
              <w:jc w:val="center"/>
            </w:pPr>
            <w:r>
              <w:rPr>
                <w:sz w:val="23"/>
              </w:rPr>
              <w:t>£10m</w:t>
            </w:r>
            <w:r>
              <w:t xml:space="preserve"> </w:t>
            </w:r>
          </w:p>
        </w:tc>
        <w:tc>
          <w:tcPr>
            <w:tcW w:w="1366" w:type="dxa"/>
            <w:tcBorders>
              <w:top w:val="single" w:sz="6" w:space="0" w:color="000000"/>
              <w:left w:val="single" w:sz="6" w:space="0" w:color="000000"/>
              <w:bottom w:val="single" w:sz="6" w:space="0" w:color="000000"/>
              <w:right w:val="single" w:sz="6" w:space="0" w:color="000000"/>
            </w:tcBorders>
          </w:tcPr>
          <w:p w14:paraId="7CE4091F" w14:textId="77777777" w:rsidR="00110406" w:rsidRDefault="00110406" w:rsidP="004C09BE">
            <w:pPr>
              <w:spacing w:after="0" w:line="259" w:lineRule="auto"/>
              <w:ind w:left="0" w:right="0" w:firstLine="0"/>
              <w:jc w:val="left"/>
            </w:pPr>
            <w:r>
              <w:rPr>
                <w:sz w:val="23"/>
              </w:rPr>
              <w:t>next day</w:t>
            </w:r>
            <w:r>
              <w:t xml:space="preserve"> </w:t>
            </w:r>
          </w:p>
        </w:tc>
      </w:tr>
      <w:tr w:rsidR="00110406" w14:paraId="2D8EC061" w14:textId="77777777" w:rsidTr="004C09BE">
        <w:trPr>
          <w:trHeight w:val="525"/>
        </w:trPr>
        <w:tc>
          <w:tcPr>
            <w:tcW w:w="6353" w:type="dxa"/>
            <w:tcBorders>
              <w:top w:val="single" w:sz="6" w:space="0" w:color="000000"/>
              <w:left w:val="single" w:sz="6" w:space="0" w:color="000000"/>
              <w:bottom w:val="single" w:sz="6" w:space="0" w:color="000000"/>
              <w:right w:val="single" w:sz="6" w:space="0" w:color="000000"/>
            </w:tcBorders>
          </w:tcPr>
          <w:p w14:paraId="2CE9E941" w14:textId="77777777" w:rsidR="00110406" w:rsidRDefault="00110406" w:rsidP="004C09BE">
            <w:pPr>
              <w:tabs>
                <w:tab w:val="center" w:pos="5617"/>
              </w:tabs>
              <w:spacing w:after="0" w:line="259" w:lineRule="auto"/>
              <w:ind w:left="0" w:right="0" w:firstLine="0"/>
              <w:jc w:val="left"/>
            </w:pPr>
            <w:r>
              <w:rPr>
                <w:sz w:val="23"/>
              </w:rPr>
              <w:t xml:space="preserve">Call Account with Lancashire County Council </w:t>
            </w:r>
            <w:r>
              <w:rPr>
                <w:sz w:val="23"/>
              </w:rPr>
              <w:tab/>
              <w:t xml:space="preserve"> </w:t>
            </w:r>
          </w:p>
        </w:tc>
        <w:tc>
          <w:tcPr>
            <w:tcW w:w="1232" w:type="dxa"/>
            <w:tcBorders>
              <w:top w:val="single" w:sz="6" w:space="0" w:color="000000"/>
              <w:left w:val="single" w:sz="6" w:space="0" w:color="000000"/>
              <w:bottom w:val="single" w:sz="6" w:space="0" w:color="000000"/>
              <w:right w:val="single" w:sz="6" w:space="0" w:color="000000"/>
            </w:tcBorders>
          </w:tcPr>
          <w:p w14:paraId="24A64047" w14:textId="77777777" w:rsidR="00110406" w:rsidRDefault="00110406" w:rsidP="004C09BE">
            <w:pPr>
              <w:spacing w:after="0" w:line="259" w:lineRule="auto"/>
              <w:ind w:left="165" w:right="0" w:firstLine="0"/>
              <w:jc w:val="left"/>
            </w:pPr>
            <w:r>
              <w:rPr>
                <w:sz w:val="23"/>
              </w:rPr>
              <w:t xml:space="preserve">unlimited </w:t>
            </w:r>
          </w:p>
        </w:tc>
        <w:tc>
          <w:tcPr>
            <w:tcW w:w="1366" w:type="dxa"/>
            <w:tcBorders>
              <w:top w:val="single" w:sz="6" w:space="0" w:color="000000"/>
              <w:left w:val="single" w:sz="6" w:space="0" w:color="000000"/>
              <w:bottom w:val="single" w:sz="6" w:space="0" w:color="000000"/>
              <w:right w:val="single" w:sz="6" w:space="0" w:color="000000"/>
            </w:tcBorders>
          </w:tcPr>
          <w:p w14:paraId="18FC9938" w14:textId="77777777" w:rsidR="00110406" w:rsidRDefault="00110406" w:rsidP="004C09BE">
            <w:pPr>
              <w:spacing w:after="0" w:line="259" w:lineRule="auto"/>
              <w:ind w:left="0" w:right="0" w:firstLine="0"/>
              <w:jc w:val="left"/>
            </w:pPr>
            <w:r>
              <w:rPr>
                <w:sz w:val="23"/>
              </w:rPr>
              <w:t xml:space="preserve">next day </w:t>
            </w:r>
          </w:p>
        </w:tc>
      </w:tr>
      <w:tr w:rsidR="00110406" w14:paraId="2E937774" w14:textId="77777777" w:rsidTr="004C09BE">
        <w:trPr>
          <w:trHeight w:val="465"/>
        </w:trPr>
        <w:tc>
          <w:tcPr>
            <w:tcW w:w="6353" w:type="dxa"/>
            <w:tcBorders>
              <w:top w:val="single" w:sz="6" w:space="0" w:color="000000"/>
              <w:left w:val="single" w:sz="6" w:space="0" w:color="000000"/>
              <w:bottom w:val="single" w:sz="6" w:space="0" w:color="000000"/>
              <w:right w:val="single" w:sz="6" w:space="0" w:color="000000"/>
            </w:tcBorders>
          </w:tcPr>
          <w:p w14:paraId="58770435" w14:textId="77777777" w:rsidR="00110406" w:rsidRDefault="00110406" w:rsidP="004C09BE">
            <w:pPr>
              <w:tabs>
                <w:tab w:val="center" w:pos="5632"/>
              </w:tabs>
              <w:spacing w:after="0" w:line="259" w:lineRule="auto"/>
              <w:ind w:left="0" w:right="0" w:firstLine="0"/>
              <w:jc w:val="left"/>
            </w:pPr>
            <w:r>
              <w:rPr>
                <w:sz w:val="23"/>
              </w:rPr>
              <w:t xml:space="preserve">UK Central Government (irrespective of credit </w:t>
            </w:r>
            <w:proofErr w:type="gramStart"/>
            <w:r>
              <w:rPr>
                <w:sz w:val="23"/>
              </w:rPr>
              <w:t xml:space="preserve">rating) </w:t>
            </w:r>
            <w:r>
              <w:t xml:space="preserve"> </w:t>
            </w:r>
            <w:r>
              <w:tab/>
            </w:r>
            <w:proofErr w:type="gramEnd"/>
            <w:r>
              <w:t xml:space="preserve"> </w:t>
            </w:r>
          </w:p>
        </w:tc>
        <w:tc>
          <w:tcPr>
            <w:tcW w:w="1232" w:type="dxa"/>
            <w:tcBorders>
              <w:top w:val="single" w:sz="6" w:space="0" w:color="000000"/>
              <w:left w:val="single" w:sz="6" w:space="0" w:color="000000"/>
              <w:bottom w:val="single" w:sz="6" w:space="0" w:color="000000"/>
              <w:right w:val="single" w:sz="6" w:space="0" w:color="000000"/>
            </w:tcBorders>
          </w:tcPr>
          <w:p w14:paraId="68E93D38" w14:textId="77777777" w:rsidR="00110406" w:rsidRDefault="00110406" w:rsidP="004C09BE">
            <w:pPr>
              <w:spacing w:after="0" w:line="259" w:lineRule="auto"/>
              <w:ind w:left="165" w:right="0" w:firstLine="0"/>
              <w:jc w:val="left"/>
            </w:pPr>
            <w:r>
              <w:rPr>
                <w:sz w:val="23"/>
              </w:rPr>
              <w:t>unlimited</w:t>
            </w:r>
            <w:r>
              <w:t xml:space="preserve"> </w:t>
            </w:r>
          </w:p>
        </w:tc>
        <w:tc>
          <w:tcPr>
            <w:tcW w:w="1366" w:type="dxa"/>
            <w:tcBorders>
              <w:top w:val="single" w:sz="6" w:space="0" w:color="000000"/>
              <w:left w:val="single" w:sz="6" w:space="0" w:color="000000"/>
              <w:bottom w:val="single" w:sz="6" w:space="0" w:color="000000"/>
              <w:right w:val="single" w:sz="6" w:space="0" w:color="000000"/>
            </w:tcBorders>
          </w:tcPr>
          <w:p w14:paraId="56DE709F" w14:textId="77777777" w:rsidR="00110406" w:rsidRDefault="00110406" w:rsidP="004C09BE">
            <w:pPr>
              <w:spacing w:after="0" w:line="259" w:lineRule="auto"/>
              <w:ind w:left="15" w:right="0" w:firstLine="0"/>
              <w:jc w:val="left"/>
            </w:pPr>
            <w:r>
              <w:rPr>
                <w:sz w:val="23"/>
              </w:rPr>
              <w:t>50 years</w:t>
            </w:r>
            <w:r>
              <w:t xml:space="preserve"> </w:t>
            </w:r>
          </w:p>
        </w:tc>
      </w:tr>
      <w:tr w:rsidR="00110406" w14:paraId="504EEDBA" w14:textId="77777777" w:rsidTr="004C09BE">
        <w:trPr>
          <w:trHeight w:val="466"/>
        </w:trPr>
        <w:tc>
          <w:tcPr>
            <w:tcW w:w="6353" w:type="dxa"/>
            <w:tcBorders>
              <w:top w:val="single" w:sz="6" w:space="0" w:color="000000"/>
              <w:left w:val="single" w:sz="6" w:space="0" w:color="000000"/>
              <w:bottom w:val="single" w:sz="6" w:space="0" w:color="000000"/>
              <w:right w:val="single" w:sz="6" w:space="0" w:color="000000"/>
            </w:tcBorders>
          </w:tcPr>
          <w:p w14:paraId="6A5A61FF" w14:textId="77777777" w:rsidR="00110406" w:rsidRDefault="00110406" w:rsidP="004C09BE">
            <w:pPr>
              <w:tabs>
                <w:tab w:val="center" w:pos="5632"/>
              </w:tabs>
              <w:spacing w:after="0" w:line="259" w:lineRule="auto"/>
              <w:ind w:left="0" w:right="0" w:firstLine="0"/>
              <w:jc w:val="left"/>
            </w:pPr>
            <w:r>
              <w:rPr>
                <w:sz w:val="23"/>
              </w:rPr>
              <w:t xml:space="preserve">UK Local Authorities (irrespective of credit </w:t>
            </w:r>
            <w:proofErr w:type="gramStart"/>
            <w:r>
              <w:rPr>
                <w:sz w:val="23"/>
              </w:rPr>
              <w:t xml:space="preserve">rating) </w:t>
            </w:r>
            <w:r>
              <w:t xml:space="preserve"> </w:t>
            </w:r>
            <w:r>
              <w:tab/>
            </w:r>
            <w:proofErr w:type="gramEnd"/>
            <w:r>
              <w:t xml:space="preserve"> </w:t>
            </w:r>
          </w:p>
        </w:tc>
        <w:tc>
          <w:tcPr>
            <w:tcW w:w="1232" w:type="dxa"/>
            <w:tcBorders>
              <w:top w:val="single" w:sz="6" w:space="0" w:color="000000"/>
              <w:left w:val="single" w:sz="6" w:space="0" w:color="000000"/>
              <w:bottom w:val="single" w:sz="6" w:space="0" w:color="000000"/>
              <w:right w:val="single" w:sz="6" w:space="0" w:color="000000"/>
            </w:tcBorders>
          </w:tcPr>
          <w:p w14:paraId="286E7112" w14:textId="77777777" w:rsidR="00110406" w:rsidRDefault="00110406" w:rsidP="004C09BE">
            <w:pPr>
              <w:spacing w:after="0" w:line="259" w:lineRule="auto"/>
              <w:ind w:left="105" w:right="0" w:firstLine="0"/>
              <w:jc w:val="left"/>
            </w:pPr>
            <w:r>
              <w:rPr>
                <w:sz w:val="23"/>
              </w:rPr>
              <w:t>£5m each</w:t>
            </w:r>
            <w:r>
              <w:t xml:space="preserve"> </w:t>
            </w:r>
          </w:p>
        </w:tc>
        <w:tc>
          <w:tcPr>
            <w:tcW w:w="1366" w:type="dxa"/>
            <w:tcBorders>
              <w:top w:val="single" w:sz="6" w:space="0" w:color="000000"/>
              <w:left w:val="single" w:sz="6" w:space="0" w:color="000000"/>
              <w:bottom w:val="single" w:sz="6" w:space="0" w:color="000000"/>
              <w:right w:val="single" w:sz="6" w:space="0" w:color="000000"/>
            </w:tcBorders>
          </w:tcPr>
          <w:p w14:paraId="2FF47590" w14:textId="77777777" w:rsidR="00110406" w:rsidRDefault="00110406" w:rsidP="004C09BE">
            <w:pPr>
              <w:spacing w:after="0" w:line="259" w:lineRule="auto"/>
              <w:ind w:left="15" w:right="0" w:firstLine="0"/>
              <w:jc w:val="left"/>
            </w:pPr>
            <w:r>
              <w:rPr>
                <w:sz w:val="23"/>
              </w:rPr>
              <w:t>10 years</w:t>
            </w:r>
            <w:r>
              <w:t xml:space="preserve"> </w:t>
            </w:r>
          </w:p>
        </w:tc>
      </w:tr>
      <w:tr w:rsidR="00110406" w14:paraId="15740245" w14:textId="77777777" w:rsidTr="004C09BE">
        <w:trPr>
          <w:trHeight w:val="570"/>
        </w:trPr>
        <w:tc>
          <w:tcPr>
            <w:tcW w:w="6353" w:type="dxa"/>
            <w:tcBorders>
              <w:top w:val="single" w:sz="6" w:space="0" w:color="000000"/>
              <w:left w:val="single" w:sz="6" w:space="0" w:color="000000"/>
              <w:bottom w:val="single" w:sz="6" w:space="0" w:color="000000"/>
              <w:right w:val="single" w:sz="6" w:space="0" w:color="000000"/>
            </w:tcBorders>
          </w:tcPr>
          <w:p w14:paraId="7F02DF4B" w14:textId="77777777" w:rsidR="00110406" w:rsidRDefault="00110406" w:rsidP="001D69CB">
            <w:pPr>
              <w:spacing w:after="0" w:line="259" w:lineRule="auto"/>
              <w:ind w:right="502"/>
              <w:jc w:val="left"/>
            </w:pPr>
            <w:r>
              <w:rPr>
                <w:sz w:val="23"/>
              </w:rPr>
              <w:t xml:space="preserve">Secured Bond Funds AA rating and WAL not more </w:t>
            </w:r>
            <w:proofErr w:type="gramStart"/>
            <w:r>
              <w:rPr>
                <w:sz w:val="23"/>
              </w:rPr>
              <w:t xml:space="preserve">than </w:t>
            </w:r>
            <w:r>
              <w:t xml:space="preserve"> </w:t>
            </w:r>
            <w:r>
              <w:rPr>
                <w:sz w:val="23"/>
              </w:rPr>
              <w:t>3</w:t>
            </w:r>
            <w:proofErr w:type="gramEnd"/>
            <w:r>
              <w:rPr>
                <w:sz w:val="23"/>
              </w:rPr>
              <w:t xml:space="preserve"> years </w:t>
            </w:r>
            <w:r>
              <w:t xml:space="preserve"> </w:t>
            </w:r>
          </w:p>
        </w:tc>
        <w:tc>
          <w:tcPr>
            <w:tcW w:w="1232" w:type="dxa"/>
            <w:tcBorders>
              <w:top w:val="single" w:sz="6" w:space="0" w:color="000000"/>
              <w:left w:val="single" w:sz="6" w:space="0" w:color="000000"/>
              <w:bottom w:val="single" w:sz="6" w:space="0" w:color="000000"/>
              <w:right w:val="single" w:sz="6" w:space="0" w:color="000000"/>
            </w:tcBorders>
          </w:tcPr>
          <w:p w14:paraId="2C3D4193" w14:textId="77777777" w:rsidR="00110406" w:rsidRDefault="00110406" w:rsidP="004C09BE">
            <w:pPr>
              <w:spacing w:after="0" w:line="259" w:lineRule="auto"/>
              <w:ind w:left="120" w:right="0" w:firstLine="0"/>
              <w:jc w:val="left"/>
            </w:pPr>
            <w:r>
              <w:rPr>
                <w:sz w:val="23"/>
              </w:rPr>
              <w:t>£5m each</w:t>
            </w:r>
            <w:r>
              <w:t xml:space="preserve"> </w:t>
            </w:r>
          </w:p>
        </w:tc>
        <w:tc>
          <w:tcPr>
            <w:tcW w:w="1366" w:type="dxa"/>
            <w:tcBorders>
              <w:top w:val="single" w:sz="6" w:space="0" w:color="000000"/>
              <w:left w:val="single" w:sz="6" w:space="0" w:color="000000"/>
              <w:bottom w:val="single" w:sz="6" w:space="0" w:color="000000"/>
              <w:right w:val="single" w:sz="6" w:space="0" w:color="000000"/>
            </w:tcBorders>
          </w:tcPr>
          <w:p w14:paraId="45096BA9" w14:textId="77777777" w:rsidR="00110406" w:rsidRDefault="00110406" w:rsidP="004C09BE">
            <w:pPr>
              <w:spacing w:after="0" w:line="259" w:lineRule="auto"/>
              <w:ind w:left="0" w:right="0" w:firstLine="0"/>
              <w:jc w:val="left"/>
            </w:pPr>
            <w:r>
              <w:rPr>
                <w:sz w:val="23"/>
              </w:rPr>
              <w:t>n/a</w:t>
            </w:r>
            <w:r>
              <w:t xml:space="preserve"> </w:t>
            </w:r>
          </w:p>
        </w:tc>
      </w:tr>
      <w:tr w:rsidR="00110406" w14:paraId="28EE8B9C" w14:textId="77777777" w:rsidTr="004C09BE">
        <w:trPr>
          <w:trHeight w:val="541"/>
        </w:trPr>
        <w:tc>
          <w:tcPr>
            <w:tcW w:w="6353" w:type="dxa"/>
            <w:tcBorders>
              <w:top w:val="single" w:sz="6" w:space="0" w:color="000000"/>
              <w:left w:val="single" w:sz="6" w:space="0" w:color="000000"/>
              <w:bottom w:val="single" w:sz="6" w:space="0" w:color="000000"/>
              <w:right w:val="single" w:sz="6" w:space="0" w:color="000000"/>
            </w:tcBorders>
          </w:tcPr>
          <w:p w14:paraId="1E87DCAC" w14:textId="77777777" w:rsidR="00110406" w:rsidRDefault="00110406" w:rsidP="004C09BE">
            <w:pPr>
              <w:spacing w:after="0" w:line="259" w:lineRule="auto"/>
              <w:ind w:left="105" w:right="202" w:firstLine="0"/>
            </w:pPr>
            <w:r>
              <w:rPr>
                <w:sz w:val="23"/>
              </w:rPr>
              <w:lastRenderedPageBreak/>
              <w:t xml:space="preserve">Secured Bond Funds AAA rated and WAL not </w:t>
            </w:r>
            <w:proofErr w:type="gramStart"/>
            <w:r>
              <w:rPr>
                <w:sz w:val="23"/>
              </w:rPr>
              <w:t xml:space="preserve">more </w:t>
            </w:r>
            <w:r>
              <w:t xml:space="preserve"> </w:t>
            </w:r>
            <w:r>
              <w:rPr>
                <w:sz w:val="23"/>
              </w:rPr>
              <w:t>than</w:t>
            </w:r>
            <w:proofErr w:type="gramEnd"/>
            <w:r>
              <w:rPr>
                <w:sz w:val="23"/>
              </w:rPr>
              <w:t xml:space="preserve"> 5 years </w:t>
            </w:r>
          </w:p>
        </w:tc>
        <w:tc>
          <w:tcPr>
            <w:tcW w:w="1232" w:type="dxa"/>
            <w:tcBorders>
              <w:top w:val="single" w:sz="6" w:space="0" w:color="000000"/>
              <w:left w:val="single" w:sz="6" w:space="0" w:color="000000"/>
              <w:bottom w:val="single" w:sz="6" w:space="0" w:color="000000"/>
              <w:right w:val="single" w:sz="6" w:space="0" w:color="000000"/>
            </w:tcBorders>
          </w:tcPr>
          <w:p w14:paraId="5D297086" w14:textId="77777777" w:rsidR="00110406" w:rsidRDefault="00110406" w:rsidP="004C09BE">
            <w:pPr>
              <w:spacing w:after="0" w:line="259" w:lineRule="auto"/>
              <w:ind w:left="120" w:right="0" w:firstLine="0"/>
              <w:jc w:val="left"/>
            </w:pPr>
            <w:r>
              <w:rPr>
                <w:sz w:val="23"/>
              </w:rPr>
              <w:t xml:space="preserve">£5m each </w:t>
            </w:r>
          </w:p>
        </w:tc>
        <w:tc>
          <w:tcPr>
            <w:tcW w:w="1366" w:type="dxa"/>
            <w:tcBorders>
              <w:top w:val="single" w:sz="6" w:space="0" w:color="000000"/>
              <w:left w:val="single" w:sz="6" w:space="0" w:color="000000"/>
              <w:bottom w:val="single" w:sz="6" w:space="0" w:color="000000"/>
              <w:right w:val="single" w:sz="6" w:space="0" w:color="000000"/>
            </w:tcBorders>
          </w:tcPr>
          <w:p w14:paraId="19CEADCF" w14:textId="77777777" w:rsidR="00110406" w:rsidRDefault="00110406" w:rsidP="004C09BE">
            <w:pPr>
              <w:spacing w:after="0" w:line="259" w:lineRule="auto"/>
              <w:ind w:left="0" w:right="0" w:firstLine="0"/>
              <w:jc w:val="left"/>
            </w:pPr>
            <w:r>
              <w:rPr>
                <w:sz w:val="23"/>
              </w:rPr>
              <w:t xml:space="preserve">n/a </w:t>
            </w:r>
          </w:p>
        </w:tc>
      </w:tr>
    </w:tbl>
    <w:p w14:paraId="626E95FE" w14:textId="77777777" w:rsidR="00110406" w:rsidRDefault="00110406" w:rsidP="00110406">
      <w:pPr>
        <w:spacing w:after="123" w:line="259" w:lineRule="auto"/>
        <w:ind w:left="30" w:right="0" w:firstLine="0"/>
        <w:jc w:val="left"/>
      </w:pPr>
      <w:r>
        <w:rPr>
          <w:b/>
        </w:rPr>
        <w:t xml:space="preserve"> </w:t>
      </w:r>
    </w:p>
    <w:p w14:paraId="477D2590" w14:textId="77777777" w:rsidR="00110406" w:rsidRDefault="00110406" w:rsidP="00110406">
      <w:pPr>
        <w:spacing w:after="231" w:line="243" w:lineRule="auto"/>
        <w:ind w:left="0" w:right="468" w:firstLine="0"/>
      </w:pPr>
      <w:r>
        <w:t xml:space="preserve">Allowable bond funds are defined by credit rating and Weighted Average Life (WAL). Investing in senior secured bonds backed by collateral provides a protection against bail-in. Although the average life of the securities within the fund will be either 3 or 5 years, funds can be redeemed within 2 days of request but in general these should be seen as longer-term investments. </w:t>
      </w:r>
    </w:p>
    <w:p w14:paraId="2716DB8F" w14:textId="77777777" w:rsidR="00110406" w:rsidRDefault="00110406" w:rsidP="00110406">
      <w:pPr>
        <w:spacing w:after="227"/>
        <w:ind w:right="468"/>
      </w:pPr>
      <w:r>
        <w:t xml:space="preserve">Regarding the risk of investing with another local authority, only a very few authorities have their own credit rating, but those that do are the same or one notch below the UK Government reflecting the fact that they are </w:t>
      </w:r>
      <w:proofErr w:type="spellStart"/>
      <w:r>
        <w:t>quasiGovernment</w:t>
      </w:r>
      <w:proofErr w:type="spellEnd"/>
      <w:r>
        <w:t xml:space="preserve"> institutions. On the whole credit ratings are seen as unnecessary by the sector because the statutory and prudential framework within which the authorities operate is amongst the strongest in the world. In addition, any lender to a local authority has protection, under statute, by way of a first charge on the revenues of that authority. No local authority has ever defaulted to date, and this also may be an indication of security. However, when the UK credit rating by the rating agencies has been downgraded those local authorities with a rating saw a reduction in their ratings. Therefore, consideration has been given to reducing the risk associated with the investment with other local authorities. </w:t>
      </w:r>
      <w:proofErr w:type="spellStart"/>
      <w:r>
        <w:t>Arlingclose</w:t>
      </w:r>
      <w:proofErr w:type="spellEnd"/>
      <w:r>
        <w:t xml:space="preserve">, the County Council's Treasury Management advisor, state they are "comfortable with clients making loans to UK local authorities for periods up to two years, subject to this meeting their approved strategy. For periods longer than two years we recommend that additional due diligence is undertaken prior to a loan being made."  On this basis it is proposed that the investments to local authorities are limited as follows: </w:t>
      </w:r>
    </w:p>
    <w:p w14:paraId="32F1B30C" w14:textId="77777777" w:rsidR="00110406" w:rsidRDefault="00110406" w:rsidP="00110406">
      <w:pPr>
        <w:ind w:left="25" w:right="468"/>
      </w:pPr>
      <w:r>
        <w:t xml:space="preserve">Table 6 Investment Limits with Local Authorities </w:t>
      </w:r>
    </w:p>
    <w:tbl>
      <w:tblPr>
        <w:tblStyle w:val="TableGrid"/>
        <w:tblW w:w="9027" w:type="dxa"/>
        <w:tblInd w:w="-8" w:type="dxa"/>
        <w:tblCellMar>
          <w:top w:w="15" w:type="dxa"/>
          <w:left w:w="142" w:type="dxa"/>
          <w:bottom w:w="0" w:type="dxa"/>
          <w:right w:w="151" w:type="dxa"/>
        </w:tblCellMar>
        <w:tblLook w:val="04A0" w:firstRow="1" w:lastRow="0" w:firstColumn="1" w:lastColumn="0" w:noHBand="0" w:noVBand="1"/>
      </w:tblPr>
      <w:tblGrid>
        <w:gridCol w:w="2268"/>
        <w:gridCol w:w="2253"/>
        <w:gridCol w:w="2253"/>
        <w:gridCol w:w="2253"/>
      </w:tblGrid>
      <w:tr w:rsidR="00110406" w14:paraId="01BD7BA5" w14:textId="77777777" w:rsidTr="004C09BE">
        <w:trPr>
          <w:trHeight w:val="871"/>
        </w:trPr>
        <w:tc>
          <w:tcPr>
            <w:tcW w:w="2268" w:type="dxa"/>
            <w:tcBorders>
              <w:top w:val="single" w:sz="6" w:space="0" w:color="000000"/>
              <w:left w:val="single" w:sz="6" w:space="0" w:color="000000"/>
              <w:bottom w:val="single" w:sz="6" w:space="0" w:color="000000"/>
              <w:right w:val="single" w:sz="6" w:space="0" w:color="000000"/>
            </w:tcBorders>
          </w:tcPr>
          <w:p w14:paraId="7D6EB2BD" w14:textId="77777777" w:rsidR="00110406" w:rsidRDefault="00110406" w:rsidP="004C09BE">
            <w:pPr>
              <w:spacing w:after="0" w:line="259" w:lineRule="auto"/>
              <w:ind w:left="0" w:right="0" w:firstLine="0"/>
              <w:jc w:val="left"/>
            </w:pPr>
            <w:r>
              <w:t xml:space="preserve"> </w:t>
            </w:r>
          </w:p>
        </w:tc>
        <w:tc>
          <w:tcPr>
            <w:tcW w:w="2253" w:type="dxa"/>
            <w:tcBorders>
              <w:top w:val="single" w:sz="6" w:space="0" w:color="000000"/>
              <w:left w:val="single" w:sz="6" w:space="0" w:color="000000"/>
              <w:bottom w:val="single" w:sz="6" w:space="0" w:color="000000"/>
              <w:right w:val="single" w:sz="6" w:space="0" w:color="000000"/>
            </w:tcBorders>
          </w:tcPr>
          <w:p w14:paraId="1ACC05A2" w14:textId="77777777" w:rsidR="00110406" w:rsidRDefault="00110406" w:rsidP="004C09BE">
            <w:pPr>
              <w:spacing w:after="0" w:line="259" w:lineRule="auto"/>
              <w:ind w:left="150" w:right="0" w:firstLine="345"/>
              <w:jc w:val="left"/>
            </w:pPr>
            <w:r>
              <w:t xml:space="preserve">Maximum individual investment (£m) </w:t>
            </w:r>
          </w:p>
        </w:tc>
        <w:tc>
          <w:tcPr>
            <w:tcW w:w="2253" w:type="dxa"/>
            <w:tcBorders>
              <w:top w:val="single" w:sz="6" w:space="0" w:color="000000"/>
              <w:left w:val="single" w:sz="6" w:space="0" w:color="000000"/>
              <w:bottom w:val="single" w:sz="6" w:space="0" w:color="000000"/>
              <w:right w:val="single" w:sz="6" w:space="0" w:color="000000"/>
            </w:tcBorders>
          </w:tcPr>
          <w:p w14:paraId="2000CCD4" w14:textId="77777777" w:rsidR="00110406" w:rsidRDefault="00110406" w:rsidP="004C09BE">
            <w:pPr>
              <w:spacing w:after="0" w:line="259" w:lineRule="auto"/>
              <w:ind w:left="150" w:right="0" w:firstLine="75"/>
            </w:pPr>
            <w:r>
              <w:t xml:space="preserve">Maximum total investment (£m) </w:t>
            </w:r>
          </w:p>
        </w:tc>
        <w:tc>
          <w:tcPr>
            <w:tcW w:w="2253" w:type="dxa"/>
            <w:tcBorders>
              <w:top w:val="single" w:sz="6" w:space="0" w:color="000000"/>
              <w:left w:val="single" w:sz="6" w:space="0" w:color="000000"/>
              <w:bottom w:val="single" w:sz="6" w:space="0" w:color="000000"/>
              <w:right w:val="single" w:sz="6" w:space="0" w:color="000000"/>
            </w:tcBorders>
          </w:tcPr>
          <w:p w14:paraId="59BEA49A" w14:textId="77777777" w:rsidR="00110406" w:rsidRDefault="00110406" w:rsidP="004C09BE">
            <w:pPr>
              <w:spacing w:after="0" w:line="259" w:lineRule="auto"/>
              <w:ind w:left="34" w:right="0" w:firstLine="0"/>
              <w:jc w:val="center"/>
            </w:pPr>
            <w:r>
              <w:t xml:space="preserve">Maximum period </w:t>
            </w:r>
          </w:p>
        </w:tc>
      </w:tr>
      <w:tr w:rsidR="00110406" w14:paraId="726A4630" w14:textId="77777777" w:rsidTr="004C09BE">
        <w:trPr>
          <w:trHeight w:val="300"/>
        </w:trPr>
        <w:tc>
          <w:tcPr>
            <w:tcW w:w="2268" w:type="dxa"/>
            <w:tcBorders>
              <w:top w:val="single" w:sz="6" w:space="0" w:color="000000"/>
              <w:left w:val="single" w:sz="6" w:space="0" w:color="000000"/>
              <w:bottom w:val="single" w:sz="6" w:space="0" w:color="000000"/>
              <w:right w:val="single" w:sz="6" w:space="0" w:color="000000"/>
            </w:tcBorders>
          </w:tcPr>
          <w:p w14:paraId="5D3D184B" w14:textId="77777777" w:rsidR="00110406" w:rsidRDefault="00110406" w:rsidP="004C09BE">
            <w:pPr>
              <w:spacing w:after="0" w:line="259" w:lineRule="auto"/>
              <w:ind w:left="0" w:right="0" w:firstLine="0"/>
              <w:jc w:val="left"/>
            </w:pPr>
            <w:r>
              <w:t xml:space="preserve">Up to 2 years </w:t>
            </w:r>
          </w:p>
        </w:tc>
        <w:tc>
          <w:tcPr>
            <w:tcW w:w="2253" w:type="dxa"/>
            <w:tcBorders>
              <w:top w:val="single" w:sz="6" w:space="0" w:color="000000"/>
              <w:left w:val="single" w:sz="6" w:space="0" w:color="000000"/>
              <w:bottom w:val="single" w:sz="6" w:space="0" w:color="000000"/>
              <w:right w:val="single" w:sz="6" w:space="0" w:color="000000"/>
            </w:tcBorders>
          </w:tcPr>
          <w:p w14:paraId="0BD9EDA9" w14:textId="77777777" w:rsidR="00110406" w:rsidRDefault="00110406" w:rsidP="004C09BE">
            <w:pPr>
              <w:spacing w:after="0" w:line="259" w:lineRule="auto"/>
              <w:ind w:left="37" w:right="0" w:firstLine="0"/>
              <w:jc w:val="center"/>
            </w:pPr>
            <w:r>
              <w:t xml:space="preserve">5 </w:t>
            </w:r>
          </w:p>
        </w:tc>
        <w:tc>
          <w:tcPr>
            <w:tcW w:w="2253" w:type="dxa"/>
            <w:tcBorders>
              <w:top w:val="single" w:sz="6" w:space="0" w:color="000000"/>
              <w:left w:val="single" w:sz="6" w:space="0" w:color="000000"/>
              <w:bottom w:val="single" w:sz="6" w:space="0" w:color="000000"/>
              <w:right w:val="single" w:sz="6" w:space="0" w:color="000000"/>
            </w:tcBorders>
          </w:tcPr>
          <w:p w14:paraId="427F32E7" w14:textId="77777777" w:rsidR="00110406" w:rsidRDefault="00110406" w:rsidP="004C09BE">
            <w:pPr>
              <w:spacing w:after="0" w:line="259" w:lineRule="auto"/>
              <w:ind w:left="52" w:right="0" w:firstLine="0"/>
              <w:jc w:val="center"/>
            </w:pPr>
            <w:r>
              <w:t xml:space="preserve">40 </w:t>
            </w:r>
          </w:p>
        </w:tc>
        <w:tc>
          <w:tcPr>
            <w:tcW w:w="2253" w:type="dxa"/>
            <w:tcBorders>
              <w:top w:val="single" w:sz="6" w:space="0" w:color="000000"/>
              <w:left w:val="single" w:sz="6" w:space="0" w:color="000000"/>
              <w:bottom w:val="single" w:sz="6" w:space="0" w:color="000000"/>
              <w:right w:val="single" w:sz="6" w:space="0" w:color="000000"/>
            </w:tcBorders>
          </w:tcPr>
          <w:p w14:paraId="24D09ED6" w14:textId="77777777" w:rsidR="00110406" w:rsidRDefault="00110406" w:rsidP="004C09BE">
            <w:pPr>
              <w:spacing w:after="0" w:line="259" w:lineRule="auto"/>
              <w:ind w:left="38" w:right="0" w:firstLine="0"/>
              <w:jc w:val="center"/>
            </w:pPr>
            <w:r>
              <w:t xml:space="preserve">2 years </w:t>
            </w:r>
          </w:p>
        </w:tc>
      </w:tr>
      <w:tr w:rsidR="00110406" w14:paraId="1E231856" w14:textId="77777777" w:rsidTr="004C09BE">
        <w:trPr>
          <w:trHeight w:val="300"/>
        </w:trPr>
        <w:tc>
          <w:tcPr>
            <w:tcW w:w="2268" w:type="dxa"/>
            <w:tcBorders>
              <w:top w:val="single" w:sz="6" w:space="0" w:color="000000"/>
              <w:left w:val="single" w:sz="6" w:space="0" w:color="000000"/>
              <w:bottom w:val="single" w:sz="6" w:space="0" w:color="000000"/>
              <w:right w:val="single" w:sz="6" w:space="0" w:color="000000"/>
            </w:tcBorders>
          </w:tcPr>
          <w:p w14:paraId="7213A675" w14:textId="77777777" w:rsidR="00110406" w:rsidRDefault="00110406" w:rsidP="004C09BE">
            <w:pPr>
              <w:spacing w:after="0" w:line="259" w:lineRule="auto"/>
              <w:ind w:left="0" w:right="0" w:firstLine="0"/>
              <w:jc w:val="left"/>
            </w:pPr>
            <w:r>
              <w:t xml:space="preserve">Over 2 years </w:t>
            </w:r>
          </w:p>
        </w:tc>
        <w:tc>
          <w:tcPr>
            <w:tcW w:w="2253" w:type="dxa"/>
            <w:tcBorders>
              <w:top w:val="single" w:sz="6" w:space="0" w:color="000000"/>
              <w:left w:val="single" w:sz="6" w:space="0" w:color="000000"/>
              <w:bottom w:val="single" w:sz="6" w:space="0" w:color="000000"/>
              <w:right w:val="single" w:sz="6" w:space="0" w:color="000000"/>
            </w:tcBorders>
          </w:tcPr>
          <w:p w14:paraId="76E5BCA1" w14:textId="77777777" w:rsidR="00110406" w:rsidRDefault="00110406" w:rsidP="004C09BE">
            <w:pPr>
              <w:spacing w:after="0" w:line="259" w:lineRule="auto"/>
              <w:ind w:left="37" w:right="0" w:firstLine="0"/>
              <w:jc w:val="center"/>
            </w:pPr>
            <w:r>
              <w:t xml:space="preserve">5 </w:t>
            </w:r>
          </w:p>
        </w:tc>
        <w:tc>
          <w:tcPr>
            <w:tcW w:w="2253" w:type="dxa"/>
            <w:tcBorders>
              <w:top w:val="single" w:sz="6" w:space="0" w:color="000000"/>
              <w:left w:val="single" w:sz="6" w:space="0" w:color="000000"/>
              <w:bottom w:val="single" w:sz="6" w:space="0" w:color="000000"/>
              <w:right w:val="single" w:sz="6" w:space="0" w:color="000000"/>
            </w:tcBorders>
          </w:tcPr>
          <w:p w14:paraId="66825C81" w14:textId="77777777" w:rsidR="00110406" w:rsidRDefault="00110406" w:rsidP="004C09BE">
            <w:pPr>
              <w:spacing w:after="0" w:line="259" w:lineRule="auto"/>
              <w:ind w:left="52" w:right="0" w:firstLine="0"/>
              <w:jc w:val="center"/>
            </w:pPr>
            <w:r>
              <w:t xml:space="preserve">25 </w:t>
            </w:r>
          </w:p>
        </w:tc>
        <w:tc>
          <w:tcPr>
            <w:tcW w:w="2253" w:type="dxa"/>
            <w:tcBorders>
              <w:top w:val="single" w:sz="6" w:space="0" w:color="000000"/>
              <w:left w:val="single" w:sz="6" w:space="0" w:color="000000"/>
              <w:bottom w:val="single" w:sz="6" w:space="0" w:color="000000"/>
              <w:right w:val="single" w:sz="6" w:space="0" w:color="000000"/>
            </w:tcBorders>
          </w:tcPr>
          <w:p w14:paraId="3223AFFC" w14:textId="77777777" w:rsidR="00110406" w:rsidRDefault="00110406" w:rsidP="004C09BE">
            <w:pPr>
              <w:spacing w:after="0" w:line="259" w:lineRule="auto"/>
              <w:ind w:left="52" w:right="0" w:firstLine="0"/>
              <w:jc w:val="center"/>
            </w:pPr>
            <w:r>
              <w:t xml:space="preserve">10 years </w:t>
            </w:r>
          </w:p>
        </w:tc>
      </w:tr>
    </w:tbl>
    <w:p w14:paraId="43696127" w14:textId="77777777" w:rsidR="00110406" w:rsidRDefault="00110406" w:rsidP="00110406">
      <w:pPr>
        <w:spacing w:after="107" w:line="259" w:lineRule="auto"/>
        <w:ind w:left="30" w:right="0" w:firstLine="0"/>
        <w:jc w:val="left"/>
      </w:pPr>
      <w:r>
        <w:t xml:space="preserve">                                         </w:t>
      </w:r>
    </w:p>
    <w:p w14:paraId="3CC0DAB4" w14:textId="77777777" w:rsidR="00110406" w:rsidRDefault="00110406" w:rsidP="00110406">
      <w:pPr>
        <w:spacing w:after="231" w:line="243" w:lineRule="auto"/>
        <w:ind w:right="468"/>
      </w:pPr>
      <w:r>
        <w:t xml:space="preserve">The investment in LCC as part of the call account arrangement is excluded from the above limits. The balance on this account is dependent upon short term cash flows and therefore does not have a limit.                           </w:t>
      </w:r>
    </w:p>
    <w:p w14:paraId="4D92F472" w14:textId="77777777" w:rsidR="00110406" w:rsidRDefault="00110406" w:rsidP="00110406">
      <w:pPr>
        <w:spacing w:after="231" w:line="243" w:lineRule="auto"/>
        <w:ind w:right="468"/>
      </w:pPr>
      <w:r>
        <w:lastRenderedPageBreak/>
        <w:t xml:space="preserve">Whilst the investment strategy has been amended to allow greater flexibility with investments any decision as to whether to utilise this facility will be made based on an assessment of risk and reward undertaken jointly between the Director of Corporate Services and LCC Treasury Management Team, and consideration of this forms part of the on-going meetings that take place throughout the year. </w:t>
      </w:r>
    </w:p>
    <w:p w14:paraId="19B89714" w14:textId="77777777" w:rsidR="00110406" w:rsidRDefault="00110406" w:rsidP="00110406">
      <w:pPr>
        <w:spacing w:after="231" w:line="243" w:lineRule="auto"/>
        <w:ind w:right="468"/>
      </w:pPr>
      <w:r>
        <w:t xml:space="preserve">In respect of banks taxpayers will no longer bail-out failed banks instead the required funds will be paid by equity investors and depositors. Local authorities' deposits will be at risk and consequently although currently available within the policy it is unlikely that long term unsecured term deposits will be used at the present time.  </w:t>
      </w:r>
    </w:p>
    <w:p w14:paraId="59888FB0" w14:textId="77777777" w:rsidR="00110406" w:rsidRDefault="00110406" w:rsidP="00110406">
      <w:pPr>
        <w:spacing w:after="224"/>
        <w:ind w:right="468"/>
      </w:pPr>
      <w:r>
        <w:t xml:space="preserve">Currently, </w:t>
      </w:r>
      <w:proofErr w:type="gramStart"/>
      <w:r>
        <w:t>all of</w:t>
      </w:r>
      <w:proofErr w:type="gramEnd"/>
      <w:r>
        <w:t xml:space="preserve"> the Authority's investments are with other local authorities.  </w:t>
      </w:r>
    </w:p>
    <w:p w14:paraId="1C99DE37" w14:textId="5C3118FD" w:rsidR="00110406" w:rsidRDefault="00110406" w:rsidP="001D69CB">
      <w:pPr>
        <w:spacing w:after="13"/>
        <w:ind w:right="468"/>
      </w:pPr>
      <w:r>
        <w:t xml:space="preserve">The Authority currently has access to a call (instant access) account with a local authority, which pays bank base rate, this is currently 5.25%. Each working day the balance on the Authority's current account is invested to ensure that the interest received on surplus balances is maximised.  </w:t>
      </w:r>
    </w:p>
    <w:p w14:paraId="55EE9595" w14:textId="77777777" w:rsidR="00110406" w:rsidRDefault="00110406" w:rsidP="00110406">
      <w:pPr>
        <w:spacing w:after="227"/>
        <w:ind w:right="468"/>
      </w:pPr>
      <w:r>
        <w:t xml:space="preserve">In addition, longer term loans have been placed with UK local authorities to enhance the interest earned. To this end at the following investments are already impacting 2024/25. </w:t>
      </w:r>
    </w:p>
    <w:p w14:paraId="3CED5869" w14:textId="77777777" w:rsidR="00110406" w:rsidRDefault="00110406" w:rsidP="00110406">
      <w:pPr>
        <w:ind w:left="25" w:right="468"/>
      </w:pPr>
      <w:r>
        <w:t xml:space="preserve">Table 7 Current Investments </w:t>
      </w:r>
    </w:p>
    <w:tbl>
      <w:tblPr>
        <w:tblStyle w:val="TableGrid"/>
        <w:tblW w:w="8786" w:type="dxa"/>
        <w:tblInd w:w="8" w:type="dxa"/>
        <w:tblCellMar>
          <w:top w:w="30" w:type="dxa"/>
          <w:left w:w="8" w:type="dxa"/>
          <w:bottom w:w="0" w:type="dxa"/>
          <w:right w:w="42" w:type="dxa"/>
        </w:tblCellMar>
        <w:tblLook w:val="04A0" w:firstRow="1" w:lastRow="0" w:firstColumn="1" w:lastColumn="0" w:noHBand="0" w:noVBand="1"/>
      </w:tblPr>
      <w:tblGrid>
        <w:gridCol w:w="1832"/>
        <w:gridCol w:w="1847"/>
        <w:gridCol w:w="1983"/>
        <w:gridCol w:w="1277"/>
        <w:gridCol w:w="1847"/>
      </w:tblGrid>
      <w:tr w:rsidR="00110406" w14:paraId="2D842221" w14:textId="77777777" w:rsidTr="004C09BE">
        <w:trPr>
          <w:trHeight w:val="660"/>
        </w:trPr>
        <w:tc>
          <w:tcPr>
            <w:tcW w:w="1833" w:type="dxa"/>
            <w:tcBorders>
              <w:top w:val="single" w:sz="6" w:space="0" w:color="000000"/>
              <w:left w:val="single" w:sz="6" w:space="0" w:color="000000"/>
              <w:bottom w:val="single" w:sz="6" w:space="0" w:color="000000"/>
              <w:right w:val="single" w:sz="6" w:space="0" w:color="000000"/>
            </w:tcBorders>
            <w:vAlign w:val="center"/>
          </w:tcPr>
          <w:p w14:paraId="78658178" w14:textId="77777777" w:rsidR="00110406" w:rsidRDefault="00110406" w:rsidP="004C09BE">
            <w:pPr>
              <w:spacing w:after="0" w:line="259" w:lineRule="auto"/>
              <w:ind w:left="0" w:right="0" w:firstLine="0"/>
              <w:jc w:val="left"/>
            </w:pPr>
            <w:r>
              <w:t xml:space="preserve">  Start Date </w:t>
            </w:r>
          </w:p>
        </w:tc>
        <w:tc>
          <w:tcPr>
            <w:tcW w:w="1847" w:type="dxa"/>
            <w:tcBorders>
              <w:top w:val="single" w:sz="6" w:space="0" w:color="000000"/>
              <w:left w:val="single" w:sz="6" w:space="0" w:color="000000"/>
              <w:bottom w:val="single" w:sz="6" w:space="0" w:color="000000"/>
              <w:right w:val="single" w:sz="6" w:space="0" w:color="000000"/>
            </w:tcBorders>
            <w:vAlign w:val="center"/>
          </w:tcPr>
          <w:p w14:paraId="6924C3D0" w14:textId="77777777" w:rsidR="00110406" w:rsidRDefault="00110406" w:rsidP="004C09BE">
            <w:pPr>
              <w:spacing w:after="0" w:line="259" w:lineRule="auto"/>
              <w:ind w:left="47" w:right="0" w:firstLine="0"/>
              <w:jc w:val="center"/>
            </w:pPr>
            <w:r>
              <w:t xml:space="preserve">End Date </w:t>
            </w:r>
          </w:p>
        </w:tc>
        <w:tc>
          <w:tcPr>
            <w:tcW w:w="1983" w:type="dxa"/>
            <w:tcBorders>
              <w:top w:val="single" w:sz="6" w:space="0" w:color="000000"/>
              <w:left w:val="single" w:sz="6" w:space="0" w:color="000000"/>
              <w:bottom w:val="single" w:sz="6" w:space="0" w:color="000000"/>
              <w:right w:val="single" w:sz="6" w:space="0" w:color="000000"/>
            </w:tcBorders>
            <w:vAlign w:val="center"/>
          </w:tcPr>
          <w:p w14:paraId="42790011" w14:textId="77777777" w:rsidR="00110406" w:rsidRDefault="00110406" w:rsidP="004C09BE">
            <w:pPr>
              <w:spacing w:after="0" w:line="259" w:lineRule="auto"/>
              <w:ind w:left="42" w:right="0" w:firstLine="0"/>
              <w:jc w:val="center"/>
            </w:pPr>
            <w:r>
              <w:t xml:space="preserve">Principal </w:t>
            </w:r>
          </w:p>
        </w:tc>
        <w:tc>
          <w:tcPr>
            <w:tcW w:w="1277" w:type="dxa"/>
            <w:tcBorders>
              <w:top w:val="single" w:sz="6" w:space="0" w:color="000000"/>
              <w:left w:val="single" w:sz="6" w:space="0" w:color="000000"/>
              <w:bottom w:val="single" w:sz="6" w:space="0" w:color="000000"/>
              <w:right w:val="single" w:sz="6" w:space="0" w:color="000000"/>
            </w:tcBorders>
            <w:vAlign w:val="center"/>
          </w:tcPr>
          <w:p w14:paraId="37046F88" w14:textId="77777777" w:rsidR="00110406" w:rsidRDefault="00110406" w:rsidP="004C09BE">
            <w:pPr>
              <w:spacing w:after="0" w:line="259" w:lineRule="auto"/>
              <w:ind w:left="47" w:right="0" w:firstLine="0"/>
              <w:jc w:val="center"/>
            </w:pPr>
            <w:r>
              <w:t xml:space="preserve">Rate </w:t>
            </w:r>
          </w:p>
        </w:tc>
        <w:tc>
          <w:tcPr>
            <w:tcW w:w="1847" w:type="dxa"/>
            <w:tcBorders>
              <w:top w:val="single" w:sz="6" w:space="0" w:color="000000"/>
              <w:left w:val="single" w:sz="6" w:space="0" w:color="000000"/>
              <w:bottom w:val="single" w:sz="6" w:space="0" w:color="000000"/>
              <w:right w:val="single" w:sz="6" w:space="0" w:color="000000"/>
            </w:tcBorders>
            <w:vAlign w:val="center"/>
          </w:tcPr>
          <w:p w14:paraId="403788B3" w14:textId="77777777" w:rsidR="00110406" w:rsidRDefault="00110406" w:rsidP="004C09BE">
            <w:pPr>
              <w:spacing w:after="0" w:line="259" w:lineRule="auto"/>
              <w:ind w:left="60" w:right="0" w:firstLine="0"/>
            </w:pPr>
            <w:r>
              <w:t>Interest 2024/25</w:t>
            </w:r>
          </w:p>
        </w:tc>
      </w:tr>
      <w:tr w:rsidR="00110406" w14:paraId="475C4D44" w14:textId="77777777" w:rsidTr="004C09BE">
        <w:trPr>
          <w:trHeight w:val="361"/>
        </w:trPr>
        <w:tc>
          <w:tcPr>
            <w:tcW w:w="1833" w:type="dxa"/>
            <w:tcBorders>
              <w:top w:val="single" w:sz="6" w:space="0" w:color="000000"/>
              <w:left w:val="single" w:sz="6" w:space="0" w:color="000000"/>
              <w:bottom w:val="single" w:sz="6" w:space="0" w:color="000000"/>
              <w:right w:val="single" w:sz="6" w:space="0" w:color="000000"/>
            </w:tcBorders>
          </w:tcPr>
          <w:p w14:paraId="411E236E" w14:textId="77777777" w:rsidR="00110406" w:rsidRDefault="00110406" w:rsidP="004C09BE">
            <w:pPr>
              <w:spacing w:after="0" w:line="259" w:lineRule="auto"/>
              <w:ind w:left="30" w:right="0" w:firstLine="0"/>
              <w:jc w:val="left"/>
            </w:pPr>
            <w:r>
              <w:t xml:space="preserve">17/10/2023 </w:t>
            </w:r>
          </w:p>
        </w:tc>
        <w:tc>
          <w:tcPr>
            <w:tcW w:w="1847" w:type="dxa"/>
            <w:tcBorders>
              <w:top w:val="single" w:sz="6" w:space="0" w:color="000000"/>
              <w:left w:val="single" w:sz="6" w:space="0" w:color="000000"/>
              <w:bottom w:val="single" w:sz="6" w:space="0" w:color="000000"/>
              <w:right w:val="single" w:sz="6" w:space="0" w:color="000000"/>
            </w:tcBorders>
          </w:tcPr>
          <w:p w14:paraId="3C420BD4" w14:textId="77777777" w:rsidR="00110406" w:rsidRDefault="00110406" w:rsidP="004C09BE">
            <w:pPr>
              <w:spacing w:after="0" w:line="259" w:lineRule="auto"/>
              <w:ind w:left="30" w:right="0" w:firstLine="0"/>
              <w:jc w:val="left"/>
            </w:pPr>
            <w:r>
              <w:t xml:space="preserve">15/10/2024 </w:t>
            </w:r>
          </w:p>
        </w:tc>
        <w:tc>
          <w:tcPr>
            <w:tcW w:w="1983" w:type="dxa"/>
            <w:tcBorders>
              <w:top w:val="single" w:sz="6" w:space="0" w:color="000000"/>
              <w:left w:val="single" w:sz="6" w:space="0" w:color="000000"/>
              <w:bottom w:val="single" w:sz="6" w:space="0" w:color="000000"/>
              <w:right w:val="single" w:sz="6" w:space="0" w:color="000000"/>
            </w:tcBorders>
          </w:tcPr>
          <w:p w14:paraId="4CCC87D3" w14:textId="77777777" w:rsidR="00110406" w:rsidRDefault="00110406" w:rsidP="004C09BE">
            <w:pPr>
              <w:spacing w:after="0" w:line="259" w:lineRule="auto"/>
              <w:ind w:left="16" w:right="0" w:firstLine="0"/>
              <w:jc w:val="center"/>
            </w:pPr>
            <w:r>
              <w:t xml:space="preserve">£5,000,000 </w:t>
            </w:r>
          </w:p>
        </w:tc>
        <w:tc>
          <w:tcPr>
            <w:tcW w:w="1277" w:type="dxa"/>
            <w:tcBorders>
              <w:top w:val="single" w:sz="6" w:space="0" w:color="000000"/>
              <w:left w:val="single" w:sz="6" w:space="0" w:color="000000"/>
              <w:bottom w:val="single" w:sz="6" w:space="0" w:color="000000"/>
              <w:right w:val="single" w:sz="6" w:space="0" w:color="000000"/>
            </w:tcBorders>
          </w:tcPr>
          <w:p w14:paraId="5D839240" w14:textId="77777777" w:rsidR="00110406" w:rsidRDefault="00110406" w:rsidP="004C09BE">
            <w:pPr>
              <w:spacing w:after="0" w:line="259" w:lineRule="auto"/>
              <w:ind w:left="52" w:right="0" w:firstLine="0"/>
              <w:jc w:val="center"/>
            </w:pPr>
            <w:r>
              <w:t xml:space="preserve">5.55% </w:t>
            </w:r>
          </w:p>
        </w:tc>
        <w:tc>
          <w:tcPr>
            <w:tcW w:w="1847" w:type="dxa"/>
            <w:tcBorders>
              <w:top w:val="single" w:sz="6" w:space="0" w:color="000000"/>
              <w:left w:val="single" w:sz="6" w:space="0" w:color="000000"/>
              <w:bottom w:val="single" w:sz="6" w:space="0" w:color="000000"/>
              <w:right w:val="single" w:sz="6" w:space="0" w:color="000000"/>
            </w:tcBorders>
          </w:tcPr>
          <w:p w14:paraId="1B8E90F8" w14:textId="77777777" w:rsidR="00110406" w:rsidRDefault="00110406" w:rsidP="004C09BE">
            <w:pPr>
              <w:spacing w:after="0" w:line="259" w:lineRule="auto"/>
              <w:ind w:left="47" w:right="0" w:firstLine="0"/>
              <w:jc w:val="center"/>
            </w:pPr>
            <w:r>
              <w:t xml:space="preserve">£150,534 </w:t>
            </w:r>
          </w:p>
        </w:tc>
      </w:tr>
      <w:tr w:rsidR="00110406" w14:paraId="5B4406BA" w14:textId="77777777" w:rsidTr="004C09BE">
        <w:trPr>
          <w:trHeight w:val="345"/>
        </w:trPr>
        <w:tc>
          <w:tcPr>
            <w:tcW w:w="1833" w:type="dxa"/>
            <w:tcBorders>
              <w:top w:val="single" w:sz="6" w:space="0" w:color="000000"/>
              <w:left w:val="single" w:sz="6" w:space="0" w:color="000000"/>
              <w:bottom w:val="single" w:sz="6" w:space="0" w:color="000000"/>
              <w:right w:val="single" w:sz="6" w:space="0" w:color="000000"/>
            </w:tcBorders>
          </w:tcPr>
          <w:p w14:paraId="3B0CF502" w14:textId="77777777" w:rsidR="00110406" w:rsidRDefault="00110406" w:rsidP="004C09BE">
            <w:pPr>
              <w:spacing w:after="0" w:line="259" w:lineRule="auto"/>
              <w:ind w:left="30" w:right="0" w:firstLine="0"/>
              <w:jc w:val="left"/>
            </w:pPr>
            <w:r>
              <w:t xml:space="preserve">20/11/2023 </w:t>
            </w:r>
          </w:p>
        </w:tc>
        <w:tc>
          <w:tcPr>
            <w:tcW w:w="1847" w:type="dxa"/>
            <w:tcBorders>
              <w:top w:val="single" w:sz="6" w:space="0" w:color="000000"/>
              <w:left w:val="single" w:sz="6" w:space="0" w:color="000000"/>
              <w:bottom w:val="single" w:sz="6" w:space="0" w:color="000000"/>
              <w:right w:val="single" w:sz="6" w:space="0" w:color="000000"/>
            </w:tcBorders>
          </w:tcPr>
          <w:p w14:paraId="7B201641" w14:textId="77777777" w:rsidR="00110406" w:rsidRDefault="00110406" w:rsidP="004C09BE">
            <w:pPr>
              <w:spacing w:after="0" w:line="259" w:lineRule="auto"/>
              <w:ind w:left="30" w:right="0" w:firstLine="0"/>
              <w:jc w:val="left"/>
            </w:pPr>
            <w:r>
              <w:t xml:space="preserve">18/11/2024 </w:t>
            </w:r>
          </w:p>
        </w:tc>
        <w:tc>
          <w:tcPr>
            <w:tcW w:w="1983" w:type="dxa"/>
            <w:tcBorders>
              <w:top w:val="single" w:sz="6" w:space="0" w:color="000000"/>
              <w:left w:val="single" w:sz="6" w:space="0" w:color="000000"/>
              <w:bottom w:val="single" w:sz="6" w:space="0" w:color="000000"/>
              <w:right w:val="single" w:sz="6" w:space="0" w:color="000000"/>
            </w:tcBorders>
          </w:tcPr>
          <w:p w14:paraId="1902B539" w14:textId="77777777" w:rsidR="00110406" w:rsidRDefault="00110406" w:rsidP="004C09BE">
            <w:pPr>
              <w:spacing w:after="0" w:line="259" w:lineRule="auto"/>
              <w:ind w:left="16" w:right="0" w:firstLine="0"/>
              <w:jc w:val="center"/>
            </w:pPr>
            <w:r>
              <w:t xml:space="preserve">£5,000,000 </w:t>
            </w:r>
          </w:p>
        </w:tc>
        <w:tc>
          <w:tcPr>
            <w:tcW w:w="1277" w:type="dxa"/>
            <w:tcBorders>
              <w:top w:val="single" w:sz="6" w:space="0" w:color="000000"/>
              <w:left w:val="single" w:sz="6" w:space="0" w:color="000000"/>
              <w:bottom w:val="single" w:sz="6" w:space="0" w:color="000000"/>
              <w:right w:val="single" w:sz="6" w:space="0" w:color="000000"/>
            </w:tcBorders>
          </w:tcPr>
          <w:p w14:paraId="17EF1E0E" w14:textId="77777777" w:rsidR="00110406" w:rsidRDefault="00110406" w:rsidP="004C09BE">
            <w:pPr>
              <w:spacing w:after="0" w:line="259" w:lineRule="auto"/>
              <w:ind w:left="52" w:right="0" w:firstLine="0"/>
              <w:jc w:val="center"/>
            </w:pPr>
            <w:r>
              <w:t xml:space="preserve">5.85% </w:t>
            </w:r>
          </w:p>
        </w:tc>
        <w:tc>
          <w:tcPr>
            <w:tcW w:w="1847" w:type="dxa"/>
            <w:tcBorders>
              <w:top w:val="single" w:sz="6" w:space="0" w:color="000000"/>
              <w:left w:val="single" w:sz="6" w:space="0" w:color="000000"/>
              <w:bottom w:val="single" w:sz="6" w:space="0" w:color="000000"/>
              <w:right w:val="single" w:sz="6" w:space="0" w:color="000000"/>
            </w:tcBorders>
          </w:tcPr>
          <w:p w14:paraId="4B60CA77" w14:textId="77777777" w:rsidR="00110406" w:rsidRDefault="00110406" w:rsidP="004C09BE">
            <w:pPr>
              <w:spacing w:after="0" w:line="259" w:lineRule="auto"/>
              <w:ind w:left="47" w:right="0" w:firstLine="0"/>
              <w:jc w:val="center"/>
            </w:pPr>
            <w:r>
              <w:t xml:space="preserve">£185,918 </w:t>
            </w:r>
          </w:p>
        </w:tc>
      </w:tr>
      <w:tr w:rsidR="00110406" w14:paraId="40849D8F" w14:textId="77777777" w:rsidTr="004C09BE">
        <w:trPr>
          <w:trHeight w:val="345"/>
        </w:trPr>
        <w:tc>
          <w:tcPr>
            <w:tcW w:w="1833" w:type="dxa"/>
            <w:tcBorders>
              <w:top w:val="single" w:sz="6" w:space="0" w:color="000000"/>
              <w:left w:val="single" w:sz="6" w:space="0" w:color="000000"/>
              <w:bottom w:val="single" w:sz="6" w:space="0" w:color="000000"/>
              <w:right w:val="single" w:sz="6" w:space="0" w:color="000000"/>
            </w:tcBorders>
          </w:tcPr>
          <w:p w14:paraId="5BC3030E" w14:textId="77777777" w:rsidR="00110406" w:rsidRDefault="00110406" w:rsidP="004C09BE">
            <w:pPr>
              <w:spacing w:after="0" w:line="259" w:lineRule="auto"/>
              <w:ind w:left="30" w:right="0" w:firstLine="0"/>
              <w:jc w:val="left"/>
            </w:pPr>
            <w:r>
              <w:t xml:space="preserve">12/12/2023  </w:t>
            </w:r>
          </w:p>
        </w:tc>
        <w:tc>
          <w:tcPr>
            <w:tcW w:w="1847" w:type="dxa"/>
            <w:tcBorders>
              <w:top w:val="single" w:sz="6" w:space="0" w:color="000000"/>
              <w:left w:val="single" w:sz="6" w:space="0" w:color="000000"/>
              <w:bottom w:val="single" w:sz="6" w:space="0" w:color="000000"/>
              <w:right w:val="single" w:sz="6" w:space="0" w:color="000000"/>
            </w:tcBorders>
          </w:tcPr>
          <w:p w14:paraId="63592918" w14:textId="77777777" w:rsidR="00110406" w:rsidRDefault="00110406" w:rsidP="004C09BE">
            <w:pPr>
              <w:spacing w:after="0" w:line="259" w:lineRule="auto"/>
              <w:ind w:left="30" w:right="0" w:firstLine="0"/>
              <w:jc w:val="left"/>
            </w:pPr>
            <w:r>
              <w:t xml:space="preserve">12/09/2024  </w:t>
            </w:r>
          </w:p>
        </w:tc>
        <w:tc>
          <w:tcPr>
            <w:tcW w:w="1983" w:type="dxa"/>
            <w:tcBorders>
              <w:top w:val="single" w:sz="6" w:space="0" w:color="000000"/>
              <w:left w:val="single" w:sz="6" w:space="0" w:color="000000"/>
              <w:bottom w:val="single" w:sz="6" w:space="0" w:color="000000"/>
              <w:right w:val="single" w:sz="6" w:space="0" w:color="000000"/>
            </w:tcBorders>
          </w:tcPr>
          <w:p w14:paraId="6E8A64F8" w14:textId="77777777" w:rsidR="00110406" w:rsidRDefault="00110406" w:rsidP="004C09BE">
            <w:pPr>
              <w:spacing w:after="0" w:line="259" w:lineRule="auto"/>
              <w:ind w:left="16" w:right="0" w:firstLine="0"/>
              <w:jc w:val="center"/>
            </w:pPr>
            <w:r>
              <w:t xml:space="preserve">£5,000,000 </w:t>
            </w:r>
          </w:p>
        </w:tc>
        <w:tc>
          <w:tcPr>
            <w:tcW w:w="1277" w:type="dxa"/>
            <w:tcBorders>
              <w:top w:val="single" w:sz="6" w:space="0" w:color="000000"/>
              <w:left w:val="single" w:sz="6" w:space="0" w:color="000000"/>
              <w:bottom w:val="single" w:sz="6" w:space="0" w:color="000000"/>
              <w:right w:val="single" w:sz="6" w:space="0" w:color="000000"/>
            </w:tcBorders>
          </w:tcPr>
          <w:p w14:paraId="4E506379" w14:textId="77777777" w:rsidR="00110406" w:rsidRDefault="00110406" w:rsidP="004C09BE">
            <w:pPr>
              <w:spacing w:after="0" w:line="259" w:lineRule="auto"/>
              <w:ind w:left="52" w:right="0" w:firstLine="0"/>
              <w:jc w:val="center"/>
            </w:pPr>
            <w:r>
              <w:t xml:space="preserve">5.60% </w:t>
            </w:r>
          </w:p>
        </w:tc>
        <w:tc>
          <w:tcPr>
            <w:tcW w:w="1847" w:type="dxa"/>
            <w:tcBorders>
              <w:top w:val="single" w:sz="6" w:space="0" w:color="000000"/>
              <w:left w:val="single" w:sz="6" w:space="0" w:color="000000"/>
              <w:bottom w:val="single" w:sz="6" w:space="0" w:color="000000"/>
              <w:right w:val="single" w:sz="6" w:space="0" w:color="000000"/>
            </w:tcBorders>
          </w:tcPr>
          <w:p w14:paraId="7D04E9A7" w14:textId="77777777" w:rsidR="00110406" w:rsidRDefault="00110406" w:rsidP="004C09BE">
            <w:pPr>
              <w:spacing w:after="0" w:line="259" w:lineRule="auto"/>
              <w:ind w:left="47" w:right="0" w:firstLine="0"/>
              <w:jc w:val="center"/>
            </w:pPr>
            <w:r>
              <w:t xml:space="preserve">£126,575 </w:t>
            </w:r>
          </w:p>
        </w:tc>
      </w:tr>
      <w:tr w:rsidR="00110406" w14:paraId="6ECCA385" w14:textId="77777777" w:rsidTr="004C09BE">
        <w:trPr>
          <w:trHeight w:val="329"/>
        </w:trPr>
        <w:tc>
          <w:tcPr>
            <w:tcW w:w="1833" w:type="dxa"/>
            <w:tcBorders>
              <w:top w:val="single" w:sz="6" w:space="0" w:color="000000"/>
              <w:left w:val="single" w:sz="6" w:space="0" w:color="000000"/>
              <w:bottom w:val="nil"/>
              <w:right w:val="single" w:sz="6" w:space="0" w:color="000000"/>
            </w:tcBorders>
          </w:tcPr>
          <w:p w14:paraId="3A9D5463" w14:textId="77777777" w:rsidR="00110406" w:rsidRDefault="00110406" w:rsidP="004C09BE">
            <w:pPr>
              <w:spacing w:after="0" w:line="259" w:lineRule="auto"/>
              <w:ind w:left="30" w:right="0" w:firstLine="0"/>
              <w:jc w:val="left"/>
            </w:pPr>
            <w:r>
              <w:t xml:space="preserve">14/12/2023 </w:t>
            </w:r>
          </w:p>
        </w:tc>
        <w:tc>
          <w:tcPr>
            <w:tcW w:w="1847" w:type="dxa"/>
            <w:tcBorders>
              <w:top w:val="single" w:sz="6" w:space="0" w:color="000000"/>
              <w:left w:val="single" w:sz="6" w:space="0" w:color="000000"/>
              <w:bottom w:val="nil"/>
              <w:right w:val="single" w:sz="6" w:space="0" w:color="000000"/>
            </w:tcBorders>
          </w:tcPr>
          <w:p w14:paraId="40BB20D9" w14:textId="77777777" w:rsidR="00110406" w:rsidRDefault="00110406" w:rsidP="004C09BE">
            <w:pPr>
              <w:spacing w:after="0" w:line="259" w:lineRule="auto"/>
              <w:ind w:left="30" w:right="0" w:firstLine="0"/>
              <w:jc w:val="left"/>
            </w:pPr>
            <w:r>
              <w:t xml:space="preserve">12/12/2024  </w:t>
            </w:r>
          </w:p>
        </w:tc>
        <w:tc>
          <w:tcPr>
            <w:tcW w:w="1983" w:type="dxa"/>
            <w:tcBorders>
              <w:top w:val="single" w:sz="6" w:space="0" w:color="000000"/>
              <w:left w:val="single" w:sz="6" w:space="0" w:color="000000"/>
              <w:bottom w:val="nil"/>
              <w:right w:val="single" w:sz="6" w:space="0" w:color="000000"/>
            </w:tcBorders>
          </w:tcPr>
          <w:p w14:paraId="65E7F83A" w14:textId="77777777" w:rsidR="00110406" w:rsidRDefault="00110406" w:rsidP="004C09BE">
            <w:pPr>
              <w:spacing w:after="0" w:line="259" w:lineRule="auto"/>
              <w:ind w:left="16" w:right="0" w:firstLine="0"/>
              <w:jc w:val="center"/>
            </w:pPr>
            <w:r>
              <w:t xml:space="preserve">£3,500,000 </w:t>
            </w:r>
          </w:p>
        </w:tc>
        <w:tc>
          <w:tcPr>
            <w:tcW w:w="1277" w:type="dxa"/>
            <w:tcBorders>
              <w:top w:val="single" w:sz="6" w:space="0" w:color="000000"/>
              <w:left w:val="single" w:sz="6" w:space="0" w:color="000000"/>
              <w:bottom w:val="nil"/>
              <w:right w:val="single" w:sz="6" w:space="0" w:color="000000"/>
            </w:tcBorders>
          </w:tcPr>
          <w:p w14:paraId="0F2AA948" w14:textId="77777777" w:rsidR="00110406" w:rsidRDefault="00110406" w:rsidP="004C09BE">
            <w:pPr>
              <w:spacing w:after="0" w:line="259" w:lineRule="auto"/>
              <w:ind w:left="52" w:right="0" w:firstLine="0"/>
              <w:jc w:val="center"/>
            </w:pPr>
            <w:r>
              <w:t xml:space="preserve">5.05% </w:t>
            </w:r>
          </w:p>
        </w:tc>
        <w:tc>
          <w:tcPr>
            <w:tcW w:w="1847" w:type="dxa"/>
            <w:tcBorders>
              <w:top w:val="single" w:sz="6" w:space="0" w:color="000000"/>
              <w:left w:val="single" w:sz="6" w:space="0" w:color="000000"/>
              <w:bottom w:val="nil"/>
              <w:right w:val="single" w:sz="6" w:space="0" w:color="000000"/>
            </w:tcBorders>
          </w:tcPr>
          <w:p w14:paraId="72ACEB52" w14:textId="77777777" w:rsidR="00110406" w:rsidRDefault="00110406" w:rsidP="004C09BE">
            <w:pPr>
              <w:spacing w:after="0" w:line="259" w:lineRule="auto"/>
              <w:ind w:left="47" w:right="0" w:firstLine="0"/>
              <w:jc w:val="center"/>
            </w:pPr>
            <w:r>
              <w:t xml:space="preserve">£123,967 </w:t>
            </w:r>
          </w:p>
        </w:tc>
      </w:tr>
      <w:tr w:rsidR="00110406" w14:paraId="7996867E" w14:textId="77777777" w:rsidTr="004C09BE">
        <w:trPr>
          <w:trHeight w:val="346"/>
        </w:trPr>
        <w:tc>
          <w:tcPr>
            <w:tcW w:w="1833" w:type="dxa"/>
            <w:tcBorders>
              <w:top w:val="nil"/>
              <w:left w:val="single" w:sz="6" w:space="0" w:color="000000"/>
              <w:bottom w:val="single" w:sz="6" w:space="0" w:color="000000"/>
              <w:right w:val="single" w:sz="6" w:space="0" w:color="000000"/>
            </w:tcBorders>
          </w:tcPr>
          <w:p w14:paraId="3BAA1389" w14:textId="77777777" w:rsidR="00110406" w:rsidRDefault="00110406" w:rsidP="004C09BE">
            <w:pPr>
              <w:spacing w:after="0" w:line="259" w:lineRule="auto"/>
              <w:ind w:left="30" w:right="0" w:firstLine="0"/>
              <w:jc w:val="left"/>
            </w:pPr>
            <w:r>
              <w:t xml:space="preserve">24/02/2024 </w:t>
            </w:r>
          </w:p>
        </w:tc>
        <w:tc>
          <w:tcPr>
            <w:tcW w:w="1847" w:type="dxa"/>
            <w:tcBorders>
              <w:top w:val="nil"/>
              <w:left w:val="single" w:sz="6" w:space="0" w:color="000000"/>
              <w:bottom w:val="single" w:sz="6" w:space="0" w:color="000000"/>
              <w:right w:val="single" w:sz="6" w:space="0" w:color="000000"/>
            </w:tcBorders>
          </w:tcPr>
          <w:p w14:paraId="06BC501B" w14:textId="77777777" w:rsidR="00110406" w:rsidRDefault="00110406" w:rsidP="004C09BE">
            <w:pPr>
              <w:spacing w:after="0" w:line="259" w:lineRule="auto"/>
              <w:ind w:left="30" w:right="0" w:firstLine="0"/>
              <w:jc w:val="left"/>
            </w:pPr>
            <w:r>
              <w:t xml:space="preserve">21/02/2025 </w:t>
            </w:r>
          </w:p>
        </w:tc>
        <w:tc>
          <w:tcPr>
            <w:tcW w:w="1983" w:type="dxa"/>
            <w:tcBorders>
              <w:top w:val="nil"/>
              <w:left w:val="single" w:sz="6" w:space="0" w:color="000000"/>
              <w:bottom w:val="single" w:sz="6" w:space="0" w:color="000000"/>
              <w:right w:val="single" w:sz="6" w:space="0" w:color="000000"/>
            </w:tcBorders>
          </w:tcPr>
          <w:p w14:paraId="0159CD6A" w14:textId="77777777" w:rsidR="00110406" w:rsidRDefault="00110406" w:rsidP="004C09BE">
            <w:pPr>
              <w:spacing w:after="0" w:line="259" w:lineRule="auto"/>
              <w:ind w:left="16" w:right="0" w:firstLine="0"/>
              <w:jc w:val="center"/>
            </w:pPr>
            <w:r>
              <w:t xml:space="preserve">£5,000,000 </w:t>
            </w:r>
          </w:p>
        </w:tc>
        <w:tc>
          <w:tcPr>
            <w:tcW w:w="1277" w:type="dxa"/>
            <w:tcBorders>
              <w:top w:val="nil"/>
              <w:left w:val="single" w:sz="6" w:space="0" w:color="000000"/>
              <w:bottom w:val="single" w:sz="6" w:space="0" w:color="000000"/>
              <w:right w:val="single" w:sz="6" w:space="0" w:color="000000"/>
            </w:tcBorders>
          </w:tcPr>
          <w:p w14:paraId="6D2A186C" w14:textId="77777777" w:rsidR="00110406" w:rsidRDefault="00110406" w:rsidP="004C09BE">
            <w:pPr>
              <w:spacing w:after="0" w:line="259" w:lineRule="auto"/>
              <w:ind w:left="52" w:right="0" w:firstLine="0"/>
              <w:jc w:val="center"/>
            </w:pPr>
            <w:r>
              <w:t xml:space="preserve">5.55% </w:t>
            </w:r>
          </w:p>
        </w:tc>
        <w:tc>
          <w:tcPr>
            <w:tcW w:w="1847" w:type="dxa"/>
            <w:tcBorders>
              <w:top w:val="nil"/>
              <w:left w:val="single" w:sz="6" w:space="0" w:color="000000"/>
              <w:bottom w:val="single" w:sz="6" w:space="0" w:color="000000"/>
              <w:right w:val="single" w:sz="6" w:space="0" w:color="000000"/>
            </w:tcBorders>
          </w:tcPr>
          <w:p w14:paraId="02F7DAEE" w14:textId="77777777" w:rsidR="00110406" w:rsidRDefault="00110406" w:rsidP="004C09BE">
            <w:pPr>
              <w:spacing w:after="0" w:line="259" w:lineRule="auto"/>
              <w:ind w:left="47" w:right="0" w:firstLine="0"/>
              <w:jc w:val="center"/>
            </w:pPr>
            <w:r>
              <w:t xml:space="preserve">£245,616 </w:t>
            </w:r>
          </w:p>
        </w:tc>
      </w:tr>
    </w:tbl>
    <w:p w14:paraId="1EB28C29" w14:textId="77777777" w:rsidR="00110406" w:rsidRDefault="00110406" w:rsidP="00110406">
      <w:pPr>
        <w:spacing w:after="108" w:line="259" w:lineRule="auto"/>
        <w:ind w:left="30" w:right="0" w:firstLine="0"/>
        <w:jc w:val="left"/>
      </w:pPr>
      <w:r>
        <w:t xml:space="preserve"> </w:t>
      </w:r>
    </w:p>
    <w:p w14:paraId="42B7B92A" w14:textId="77777777" w:rsidR="00110406" w:rsidRDefault="00110406" w:rsidP="00110406">
      <w:pPr>
        <w:spacing w:after="231" w:line="243" w:lineRule="auto"/>
        <w:ind w:right="468"/>
      </w:pPr>
      <w:r>
        <w:t xml:space="preserve">Consideration is given fixing further investments if the maturity fits with estimated cash flows and the rate </w:t>
      </w:r>
      <w:proofErr w:type="gramStart"/>
      <w:r>
        <w:t>is considered to be</w:t>
      </w:r>
      <w:proofErr w:type="gramEnd"/>
      <w:r>
        <w:t xml:space="preserve"> attractive. This will continue to be reviewed. Suggested rates payable by other local authorities indicated: </w:t>
      </w:r>
    </w:p>
    <w:p w14:paraId="108DD261" w14:textId="77777777" w:rsidR="001D69CB" w:rsidRDefault="001D69CB">
      <w:pPr>
        <w:spacing w:after="160" w:line="278" w:lineRule="auto"/>
        <w:ind w:left="0" w:right="0" w:firstLine="0"/>
        <w:jc w:val="left"/>
      </w:pPr>
      <w:r>
        <w:br w:type="page"/>
      </w:r>
    </w:p>
    <w:p w14:paraId="1D4769E9" w14:textId="6298875C" w:rsidR="00110406" w:rsidRDefault="00110406" w:rsidP="00110406">
      <w:pPr>
        <w:ind w:left="25" w:right="468"/>
      </w:pPr>
      <w:r>
        <w:lastRenderedPageBreak/>
        <w:t xml:space="preserve">Table 8 Indicative Interest Rates on Investments with other Local Authorities </w:t>
      </w:r>
    </w:p>
    <w:tbl>
      <w:tblPr>
        <w:tblStyle w:val="TableGrid"/>
        <w:tblW w:w="6729" w:type="dxa"/>
        <w:tblInd w:w="23" w:type="dxa"/>
        <w:tblCellMar>
          <w:top w:w="0" w:type="dxa"/>
          <w:left w:w="112" w:type="dxa"/>
          <w:bottom w:w="0" w:type="dxa"/>
          <w:right w:w="115" w:type="dxa"/>
        </w:tblCellMar>
        <w:tblLook w:val="04A0" w:firstRow="1" w:lastRow="0" w:firstColumn="1" w:lastColumn="0" w:noHBand="0" w:noVBand="1"/>
      </w:tblPr>
      <w:tblGrid>
        <w:gridCol w:w="4852"/>
        <w:gridCol w:w="1877"/>
      </w:tblGrid>
      <w:tr w:rsidR="00110406" w14:paraId="4D76A0DF" w14:textId="77777777" w:rsidTr="004C09BE">
        <w:trPr>
          <w:trHeight w:val="300"/>
        </w:trPr>
        <w:tc>
          <w:tcPr>
            <w:tcW w:w="4851" w:type="dxa"/>
            <w:tcBorders>
              <w:top w:val="single" w:sz="6" w:space="0" w:color="000000"/>
              <w:left w:val="single" w:sz="6" w:space="0" w:color="000000"/>
              <w:bottom w:val="single" w:sz="6" w:space="0" w:color="000000"/>
              <w:right w:val="single" w:sz="6" w:space="0" w:color="000000"/>
            </w:tcBorders>
          </w:tcPr>
          <w:p w14:paraId="57B6C777" w14:textId="77777777" w:rsidR="00110406" w:rsidRDefault="00110406" w:rsidP="004C09BE">
            <w:pPr>
              <w:spacing w:after="0" w:line="259" w:lineRule="auto"/>
              <w:ind w:left="0" w:right="0" w:firstLine="0"/>
              <w:jc w:val="left"/>
            </w:pPr>
            <w:r>
              <w:t xml:space="preserve">3-month investment </w:t>
            </w:r>
          </w:p>
        </w:tc>
        <w:tc>
          <w:tcPr>
            <w:tcW w:w="1877" w:type="dxa"/>
            <w:tcBorders>
              <w:top w:val="single" w:sz="6" w:space="0" w:color="000000"/>
              <w:left w:val="single" w:sz="6" w:space="0" w:color="000000"/>
              <w:bottom w:val="single" w:sz="6" w:space="0" w:color="000000"/>
              <w:right w:val="single" w:sz="6" w:space="0" w:color="000000"/>
            </w:tcBorders>
          </w:tcPr>
          <w:p w14:paraId="1A0F066F" w14:textId="77777777" w:rsidR="00110406" w:rsidRDefault="00110406" w:rsidP="004C09BE">
            <w:pPr>
              <w:spacing w:after="0" w:line="259" w:lineRule="auto"/>
              <w:ind w:left="90" w:right="0" w:firstLine="0"/>
              <w:jc w:val="left"/>
            </w:pPr>
            <w:r>
              <w:t xml:space="preserve">5.43 – 5.63% </w:t>
            </w:r>
          </w:p>
        </w:tc>
      </w:tr>
      <w:tr w:rsidR="00110406" w14:paraId="2E168547" w14:textId="77777777" w:rsidTr="004C09BE">
        <w:trPr>
          <w:trHeight w:val="300"/>
        </w:trPr>
        <w:tc>
          <w:tcPr>
            <w:tcW w:w="4851" w:type="dxa"/>
            <w:tcBorders>
              <w:top w:val="single" w:sz="6" w:space="0" w:color="000000"/>
              <w:left w:val="single" w:sz="6" w:space="0" w:color="000000"/>
              <w:bottom w:val="single" w:sz="6" w:space="0" w:color="000000"/>
              <w:right w:val="single" w:sz="6" w:space="0" w:color="000000"/>
            </w:tcBorders>
          </w:tcPr>
          <w:p w14:paraId="5B066EF7" w14:textId="77777777" w:rsidR="00110406" w:rsidRDefault="00110406" w:rsidP="004C09BE">
            <w:pPr>
              <w:spacing w:after="0" w:line="259" w:lineRule="auto"/>
              <w:ind w:left="0" w:right="0" w:firstLine="0"/>
              <w:jc w:val="left"/>
            </w:pPr>
            <w:r>
              <w:t xml:space="preserve">6-month investment </w:t>
            </w:r>
          </w:p>
        </w:tc>
        <w:tc>
          <w:tcPr>
            <w:tcW w:w="1877" w:type="dxa"/>
            <w:tcBorders>
              <w:top w:val="single" w:sz="6" w:space="0" w:color="000000"/>
              <w:left w:val="single" w:sz="6" w:space="0" w:color="000000"/>
              <w:bottom w:val="single" w:sz="6" w:space="0" w:color="000000"/>
              <w:right w:val="single" w:sz="6" w:space="0" w:color="000000"/>
            </w:tcBorders>
          </w:tcPr>
          <w:p w14:paraId="20DBDF69" w14:textId="77777777" w:rsidR="00110406" w:rsidRDefault="00110406" w:rsidP="004C09BE">
            <w:pPr>
              <w:spacing w:after="0" w:line="259" w:lineRule="auto"/>
              <w:ind w:left="90" w:right="0" w:firstLine="0"/>
              <w:jc w:val="left"/>
            </w:pPr>
            <w:r>
              <w:t xml:space="preserve">5.40 – 5.60% </w:t>
            </w:r>
          </w:p>
        </w:tc>
      </w:tr>
      <w:tr w:rsidR="00110406" w14:paraId="6870B331" w14:textId="77777777" w:rsidTr="004C09BE">
        <w:trPr>
          <w:trHeight w:val="301"/>
        </w:trPr>
        <w:tc>
          <w:tcPr>
            <w:tcW w:w="4851" w:type="dxa"/>
            <w:tcBorders>
              <w:top w:val="single" w:sz="6" w:space="0" w:color="000000"/>
              <w:left w:val="single" w:sz="6" w:space="0" w:color="000000"/>
              <w:bottom w:val="single" w:sz="6" w:space="0" w:color="000000"/>
              <w:right w:val="single" w:sz="6" w:space="0" w:color="000000"/>
            </w:tcBorders>
          </w:tcPr>
          <w:p w14:paraId="3103CF3C" w14:textId="77777777" w:rsidR="00110406" w:rsidRDefault="00110406" w:rsidP="004C09BE">
            <w:pPr>
              <w:spacing w:after="0" w:line="259" w:lineRule="auto"/>
              <w:ind w:left="0" w:right="0" w:firstLine="0"/>
              <w:jc w:val="left"/>
            </w:pPr>
            <w:r>
              <w:t xml:space="preserve">12-month investment </w:t>
            </w:r>
          </w:p>
        </w:tc>
        <w:tc>
          <w:tcPr>
            <w:tcW w:w="1877" w:type="dxa"/>
            <w:tcBorders>
              <w:top w:val="single" w:sz="6" w:space="0" w:color="000000"/>
              <w:left w:val="single" w:sz="6" w:space="0" w:color="000000"/>
              <w:bottom w:val="single" w:sz="6" w:space="0" w:color="000000"/>
              <w:right w:val="single" w:sz="6" w:space="0" w:color="000000"/>
            </w:tcBorders>
          </w:tcPr>
          <w:p w14:paraId="7A31ED7C" w14:textId="77777777" w:rsidR="00110406" w:rsidRDefault="00110406" w:rsidP="004C09BE">
            <w:pPr>
              <w:spacing w:after="0" w:line="259" w:lineRule="auto"/>
              <w:ind w:left="90" w:right="0" w:firstLine="0"/>
              <w:jc w:val="left"/>
            </w:pPr>
            <w:r>
              <w:t xml:space="preserve">5.36 – 5.56% </w:t>
            </w:r>
          </w:p>
        </w:tc>
      </w:tr>
      <w:tr w:rsidR="00110406" w14:paraId="4F35BA1F" w14:textId="77777777" w:rsidTr="004C09BE">
        <w:trPr>
          <w:trHeight w:val="315"/>
        </w:trPr>
        <w:tc>
          <w:tcPr>
            <w:tcW w:w="4851" w:type="dxa"/>
            <w:tcBorders>
              <w:top w:val="single" w:sz="6" w:space="0" w:color="000000"/>
              <w:left w:val="single" w:sz="6" w:space="0" w:color="000000"/>
              <w:bottom w:val="single" w:sz="6" w:space="0" w:color="000000"/>
              <w:right w:val="single" w:sz="6" w:space="0" w:color="000000"/>
            </w:tcBorders>
          </w:tcPr>
          <w:p w14:paraId="46975676" w14:textId="77777777" w:rsidR="00110406" w:rsidRDefault="00110406" w:rsidP="004C09BE">
            <w:pPr>
              <w:spacing w:after="0" w:line="259" w:lineRule="auto"/>
              <w:ind w:left="0" w:right="0" w:firstLine="0"/>
              <w:jc w:val="left"/>
            </w:pPr>
            <w:r>
              <w:t xml:space="preserve">3-year investment </w:t>
            </w:r>
          </w:p>
        </w:tc>
        <w:tc>
          <w:tcPr>
            <w:tcW w:w="1877" w:type="dxa"/>
            <w:tcBorders>
              <w:top w:val="single" w:sz="6" w:space="0" w:color="000000"/>
              <w:left w:val="single" w:sz="6" w:space="0" w:color="000000"/>
              <w:bottom w:val="single" w:sz="6" w:space="0" w:color="000000"/>
              <w:right w:val="single" w:sz="6" w:space="0" w:color="000000"/>
            </w:tcBorders>
          </w:tcPr>
          <w:p w14:paraId="36DCC9C7" w14:textId="77777777" w:rsidR="00110406" w:rsidRDefault="00110406" w:rsidP="004C09BE">
            <w:pPr>
              <w:spacing w:after="0" w:line="259" w:lineRule="auto"/>
              <w:ind w:left="0" w:right="54" w:firstLine="0"/>
              <w:jc w:val="center"/>
            </w:pPr>
            <w:r>
              <w:t xml:space="preserve">4.33 - 4.53% </w:t>
            </w:r>
          </w:p>
        </w:tc>
      </w:tr>
      <w:tr w:rsidR="00110406" w14:paraId="7767D998" w14:textId="77777777" w:rsidTr="004C09BE">
        <w:trPr>
          <w:trHeight w:val="286"/>
        </w:trPr>
        <w:tc>
          <w:tcPr>
            <w:tcW w:w="4851" w:type="dxa"/>
            <w:tcBorders>
              <w:top w:val="single" w:sz="6" w:space="0" w:color="000000"/>
              <w:left w:val="single" w:sz="6" w:space="0" w:color="000000"/>
              <w:bottom w:val="single" w:sz="6" w:space="0" w:color="000000"/>
              <w:right w:val="single" w:sz="6" w:space="0" w:color="000000"/>
            </w:tcBorders>
          </w:tcPr>
          <w:p w14:paraId="5B322781" w14:textId="77777777" w:rsidR="00110406" w:rsidRDefault="00110406" w:rsidP="004C09BE">
            <w:pPr>
              <w:spacing w:after="0" w:line="259" w:lineRule="auto"/>
              <w:ind w:left="0" w:right="0" w:firstLine="0"/>
              <w:jc w:val="left"/>
            </w:pPr>
            <w:r>
              <w:t xml:space="preserve">4-year investment </w:t>
            </w:r>
          </w:p>
        </w:tc>
        <w:tc>
          <w:tcPr>
            <w:tcW w:w="1877" w:type="dxa"/>
            <w:tcBorders>
              <w:top w:val="single" w:sz="6" w:space="0" w:color="000000"/>
              <w:left w:val="single" w:sz="6" w:space="0" w:color="000000"/>
              <w:bottom w:val="single" w:sz="6" w:space="0" w:color="000000"/>
              <w:right w:val="single" w:sz="6" w:space="0" w:color="000000"/>
            </w:tcBorders>
          </w:tcPr>
          <w:p w14:paraId="2E225D73" w14:textId="77777777" w:rsidR="00110406" w:rsidRDefault="00110406" w:rsidP="004C09BE">
            <w:pPr>
              <w:spacing w:after="0" w:line="259" w:lineRule="auto"/>
              <w:ind w:left="0" w:right="54" w:firstLine="0"/>
              <w:jc w:val="center"/>
            </w:pPr>
            <w:r>
              <w:t xml:space="preserve">4.15 - 4.35% </w:t>
            </w:r>
          </w:p>
        </w:tc>
      </w:tr>
    </w:tbl>
    <w:p w14:paraId="66138DBC" w14:textId="77777777" w:rsidR="00110406" w:rsidRDefault="00110406" w:rsidP="00110406">
      <w:pPr>
        <w:spacing w:after="123" w:line="259" w:lineRule="auto"/>
        <w:ind w:left="15" w:right="0" w:firstLine="0"/>
        <w:jc w:val="left"/>
      </w:pPr>
      <w:r>
        <w:t xml:space="preserve"> </w:t>
      </w:r>
    </w:p>
    <w:p w14:paraId="17314655" w14:textId="77777777" w:rsidR="00110406" w:rsidRDefault="00110406" w:rsidP="00110406">
      <w:pPr>
        <w:spacing w:after="228"/>
        <w:ind w:right="468"/>
      </w:pPr>
      <w:r>
        <w:t xml:space="preserve">The overall combined amount of interest earned on Fixed/Call balances as </w:t>
      </w:r>
      <w:proofErr w:type="gramStart"/>
      <w:r>
        <w:t>at</w:t>
      </w:r>
      <w:proofErr w:type="gramEnd"/>
      <w:r>
        <w:t xml:space="preserve"> 31 December 2023 is £1.173m on an average balance of £36.151m at an annualised rate of 4.31%. This is less than the benchmark 7-day London Interbank Bid Rate (LIBID) rate which averages a yield of 4.89% over the same period. </w:t>
      </w:r>
    </w:p>
    <w:p w14:paraId="5863E6F8" w14:textId="77777777" w:rsidR="00110406" w:rsidRDefault="00110406" w:rsidP="00110406">
      <w:pPr>
        <w:spacing w:after="212"/>
        <w:ind w:right="468"/>
      </w:pPr>
      <w:r>
        <w:t xml:space="preserve">In addition to the above the authority uses NatWest for its operational banking. Balances retained in NatWest are very low, usually less than £5,000. However, if required monies are retained at NatWest this would be in addition to the limits set out above.  </w:t>
      </w:r>
    </w:p>
    <w:p w14:paraId="0BA0ABDD" w14:textId="77777777" w:rsidR="00110406" w:rsidRDefault="00110406" w:rsidP="00110406">
      <w:pPr>
        <w:pStyle w:val="Heading1"/>
        <w:ind w:left="25"/>
      </w:pPr>
      <w:r>
        <w:t xml:space="preserve">Minimum Revenue Provision (MRP)  </w:t>
      </w:r>
    </w:p>
    <w:p w14:paraId="2DEDE2C0" w14:textId="77777777" w:rsidR="00110406" w:rsidRDefault="00110406" w:rsidP="00110406">
      <w:pPr>
        <w:spacing w:after="242"/>
        <w:ind w:left="0" w:right="574" w:firstLine="0"/>
      </w:pPr>
      <w:r>
        <w:t xml:space="preserve">Under Local Authority Accounting arrangements, the Authority is required to set aside a sum of money each year to reduce the overall level of debt. This sum is known as the minimum revenue provision (MRP).  </w:t>
      </w:r>
    </w:p>
    <w:p w14:paraId="1A20B2B3" w14:textId="77777777" w:rsidR="00110406" w:rsidRDefault="00110406" w:rsidP="00110406">
      <w:pPr>
        <w:ind w:right="574"/>
      </w:pPr>
      <w:r>
        <w:t xml:space="preserve">The Authority will assess their MRP for 2024/25 in accordance with guidance issued by the Secretary of State under section 21(1A) of the Local Government Act 2003.  </w:t>
      </w:r>
    </w:p>
    <w:p w14:paraId="7374336C" w14:textId="77777777" w:rsidR="00110406" w:rsidRDefault="00110406" w:rsidP="00110406">
      <w:pPr>
        <w:spacing w:after="242"/>
        <w:ind w:right="574"/>
      </w:pPr>
      <w:r>
        <w:t xml:space="preserve">The Authority made a voluntary MRP in 2019/20 and it is anticipated that the MRP on loans will be nil in 2024/25 this will be the case until capital expenditure is financed by borrowing. </w:t>
      </w:r>
    </w:p>
    <w:p w14:paraId="4BE5B17E" w14:textId="77777777" w:rsidR="00110406" w:rsidRDefault="00110406" w:rsidP="00110406">
      <w:pPr>
        <w:spacing w:after="242"/>
        <w:ind w:right="574"/>
      </w:pPr>
      <w:r>
        <w:t xml:space="preserve">Whilst the Authority has no unsupported borrowing, nor has any plans to take out any unsupported borrowing in 2024/25 it is prudent to approve a policy relating to the MRP that would apply if circumstances changed. As such in accordance with guidelines, the MRP on any future unsupported borrowing will be calculated using the Asset Life Method. This will be based on a straightforward straight – line calculation to set an equal charge to revenue over the estimated life of the asset. Estimated life periods will be determined under delegated powers. To the extent that expenditure is not on the creation of an asset and is of a type that is subject to estimated life periods that are referred to in the guidance, these periods will generally be adopted by </w:t>
      </w:r>
      <w:r>
        <w:lastRenderedPageBreak/>
        <w:t xml:space="preserve">the Authority. However, the Authority reserves the right to determine useful life periods and prudent MRP in exceptional circumstances where the recommendations of the guidance would not be appropriate.  </w:t>
      </w:r>
    </w:p>
    <w:p w14:paraId="45D700F8" w14:textId="77777777" w:rsidR="00110406" w:rsidRDefault="00110406" w:rsidP="00110406">
      <w:pPr>
        <w:spacing w:after="242"/>
        <w:ind w:right="574"/>
      </w:pPr>
      <w:r>
        <w:t xml:space="preserve">As some types of capital expenditure incurred by the Authority are not capable of being related to an individual asset, asset lives will be assessed on a basis which most reasonably reflects the anticipated period of benefit that arises from the expenditure. Also, whatever type of expenditure is involved, it will be grouped together in a manner which reflects the nature of the main component of expenditure and will only be divided up in cases where there are two or more major components with substantially different useful economic lives.  </w:t>
      </w:r>
    </w:p>
    <w:p w14:paraId="644D0DE5" w14:textId="77777777" w:rsidR="00110406" w:rsidRDefault="00110406" w:rsidP="00110406">
      <w:pPr>
        <w:spacing w:after="231" w:line="243" w:lineRule="auto"/>
        <w:ind w:right="574"/>
      </w:pPr>
      <w:r>
        <w:t xml:space="preserve">Assets held under a PFI contracts and finance leases form part of the Balance Sheet. This has increased the overall capital financing requirement and results in an MRP charge being required. The government guidance permits a prudent MRP to equate to the amount charged to revenue under the contract to repay the liability. In terms of the PFI schemes this charge forms part of the payment due to the PFI contractor. </w:t>
      </w:r>
    </w:p>
    <w:p w14:paraId="7B1B084B" w14:textId="77777777" w:rsidR="00110406" w:rsidRDefault="00110406" w:rsidP="00110406">
      <w:pPr>
        <w:pStyle w:val="Heading1"/>
        <w:ind w:left="25"/>
      </w:pPr>
      <w:r>
        <w:t xml:space="preserve">Revenue Budget </w:t>
      </w:r>
    </w:p>
    <w:p w14:paraId="571A19FC" w14:textId="77777777" w:rsidR="00110406" w:rsidRDefault="00110406" w:rsidP="00110406">
      <w:pPr>
        <w:spacing w:after="227"/>
        <w:ind w:right="561"/>
      </w:pPr>
      <w:r>
        <w:t xml:space="preserve">The capital financing budget currently shows that income received exceeds expenditure. This excludes the PFI and Finance lease payments, which are included in other budgets. Based on the Strategy outlined above then the proposed budget for capital financing is: </w:t>
      </w:r>
    </w:p>
    <w:p w14:paraId="1F63B263" w14:textId="77777777" w:rsidR="00110406" w:rsidRDefault="00110406" w:rsidP="00110406">
      <w:pPr>
        <w:ind w:left="25" w:right="468"/>
      </w:pPr>
      <w:r>
        <w:t xml:space="preserve">Table 9 Capital Financing Charges Included in Revenue Budget </w:t>
      </w:r>
    </w:p>
    <w:tbl>
      <w:tblPr>
        <w:tblStyle w:val="TableGrid"/>
        <w:tblW w:w="8336" w:type="dxa"/>
        <w:tblInd w:w="38" w:type="dxa"/>
        <w:tblCellMar>
          <w:top w:w="30" w:type="dxa"/>
          <w:left w:w="112" w:type="dxa"/>
          <w:bottom w:w="0" w:type="dxa"/>
          <w:right w:w="115" w:type="dxa"/>
        </w:tblCellMar>
        <w:tblLook w:val="04A0" w:firstRow="1" w:lastRow="0" w:firstColumn="1" w:lastColumn="0" w:noHBand="0" w:noVBand="1"/>
      </w:tblPr>
      <w:tblGrid>
        <w:gridCol w:w="2088"/>
        <w:gridCol w:w="1562"/>
        <w:gridCol w:w="1562"/>
        <w:gridCol w:w="1562"/>
        <w:gridCol w:w="1562"/>
      </w:tblGrid>
      <w:tr w:rsidR="00110406" w14:paraId="4EEEFAEA" w14:textId="77777777" w:rsidTr="004C09BE">
        <w:trPr>
          <w:trHeight w:val="315"/>
        </w:trPr>
        <w:tc>
          <w:tcPr>
            <w:tcW w:w="2088" w:type="dxa"/>
            <w:tcBorders>
              <w:top w:val="single" w:sz="6" w:space="0" w:color="000000"/>
              <w:left w:val="single" w:sz="6" w:space="0" w:color="000000"/>
              <w:bottom w:val="single" w:sz="6" w:space="0" w:color="000000"/>
              <w:right w:val="single" w:sz="6" w:space="0" w:color="000000"/>
            </w:tcBorders>
          </w:tcPr>
          <w:p w14:paraId="4EBF51A3" w14:textId="77777777" w:rsidR="00110406" w:rsidRDefault="00110406" w:rsidP="004C09BE">
            <w:pPr>
              <w:spacing w:after="0" w:line="259" w:lineRule="auto"/>
              <w:ind w:left="0" w:right="0" w:firstLine="0"/>
              <w:jc w:val="left"/>
            </w:pPr>
            <w:r>
              <w:t xml:space="preserve"> </w:t>
            </w:r>
          </w:p>
        </w:tc>
        <w:tc>
          <w:tcPr>
            <w:tcW w:w="1562" w:type="dxa"/>
            <w:tcBorders>
              <w:top w:val="single" w:sz="6" w:space="0" w:color="000000"/>
              <w:left w:val="single" w:sz="6" w:space="0" w:color="000000"/>
              <w:bottom w:val="single" w:sz="6" w:space="0" w:color="000000"/>
              <w:right w:val="single" w:sz="6" w:space="0" w:color="000000"/>
            </w:tcBorders>
          </w:tcPr>
          <w:p w14:paraId="1CABB39B" w14:textId="77777777" w:rsidR="00110406" w:rsidRDefault="00110406" w:rsidP="004C09BE">
            <w:pPr>
              <w:spacing w:after="0" w:line="259" w:lineRule="auto"/>
              <w:ind w:left="15" w:right="0" w:firstLine="0"/>
              <w:jc w:val="center"/>
            </w:pPr>
            <w:r>
              <w:t xml:space="preserve">2023/24 </w:t>
            </w:r>
          </w:p>
        </w:tc>
        <w:tc>
          <w:tcPr>
            <w:tcW w:w="1562" w:type="dxa"/>
            <w:tcBorders>
              <w:top w:val="single" w:sz="6" w:space="0" w:color="000000"/>
              <w:left w:val="single" w:sz="6" w:space="0" w:color="000000"/>
              <w:bottom w:val="single" w:sz="6" w:space="0" w:color="000000"/>
              <w:right w:val="single" w:sz="6" w:space="0" w:color="000000"/>
            </w:tcBorders>
          </w:tcPr>
          <w:p w14:paraId="02160F8A" w14:textId="77777777" w:rsidR="00110406" w:rsidRDefault="00110406" w:rsidP="004C09BE">
            <w:pPr>
              <w:spacing w:after="0" w:line="259" w:lineRule="auto"/>
              <w:ind w:left="15" w:right="0" w:firstLine="0"/>
              <w:jc w:val="center"/>
            </w:pPr>
            <w:r>
              <w:t xml:space="preserve">2024/25 </w:t>
            </w:r>
          </w:p>
        </w:tc>
        <w:tc>
          <w:tcPr>
            <w:tcW w:w="1562" w:type="dxa"/>
            <w:tcBorders>
              <w:top w:val="single" w:sz="6" w:space="0" w:color="000000"/>
              <w:left w:val="single" w:sz="6" w:space="0" w:color="000000"/>
              <w:bottom w:val="single" w:sz="6" w:space="0" w:color="000000"/>
              <w:right w:val="single" w:sz="6" w:space="0" w:color="000000"/>
            </w:tcBorders>
          </w:tcPr>
          <w:p w14:paraId="235EC686" w14:textId="77777777" w:rsidR="00110406" w:rsidRDefault="00110406" w:rsidP="004C09BE">
            <w:pPr>
              <w:spacing w:after="0" w:line="259" w:lineRule="auto"/>
              <w:ind w:left="15" w:right="0" w:firstLine="0"/>
              <w:jc w:val="center"/>
            </w:pPr>
            <w:r>
              <w:t xml:space="preserve">2025/26 </w:t>
            </w:r>
          </w:p>
        </w:tc>
        <w:tc>
          <w:tcPr>
            <w:tcW w:w="1562" w:type="dxa"/>
            <w:tcBorders>
              <w:top w:val="single" w:sz="6" w:space="0" w:color="000000"/>
              <w:left w:val="single" w:sz="6" w:space="0" w:color="000000"/>
              <w:bottom w:val="single" w:sz="6" w:space="0" w:color="000000"/>
              <w:right w:val="single" w:sz="6" w:space="0" w:color="000000"/>
            </w:tcBorders>
          </w:tcPr>
          <w:p w14:paraId="05F2CEAA" w14:textId="77777777" w:rsidR="00110406" w:rsidRDefault="00110406" w:rsidP="004C09BE">
            <w:pPr>
              <w:spacing w:after="0" w:line="259" w:lineRule="auto"/>
              <w:ind w:left="14" w:right="0" w:firstLine="0"/>
              <w:jc w:val="center"/>
            </w:pPr>
            <w:r>
              <w:t xml:space="preserve">2026/27 </w:t>
            </w:r>
          </w:p>
        </w:tc>
      </w:tr>
      <w:tr w:rsidR="00110406" w14:paraId="33F7C7F6" w14:textId="77777777" w:rsidTr="004C09BE">
        <w:trPr>
          <w:trHeight w:val="300"/>
        </w:trPr>
        <w:tc>
          <w:tcPr>
            <w:tcW w:w="2088" w:type="dxa"/>
            <w:tcBorders>
              <w:top w:val="single" w:sz="6" w:space="0" w:color="000000"/>
              <w:left w:val="single" w:sz="6" w:space="0" w:color="000000"/>
              <w:bottom w:val="single" w:sz="6" w:space="0" w:color="000000"/>
              <w:right w:val="single" w:sz="6" w:space="0" w:color="000000"/>
            </w:tcBorders>
          </w:tcPr>
          <w:p w14:paraId="411CD4D3" w14:textId="77777777" w:rsidR="00110406" w:rsidRDefault="00110406" w:rsidP="004C09BE">
            <w:pPr>
              <w:spacing w:after="0" w:line="259" w:lineRule="auto"/>
              <w:ind w:left="0" w:right="0" w:firstLine="0"/>
              <w:jc w:val="left"/>
            </w:pPr>
            <w:r>
              <w:t xml:space="preserve"> </w:t>
            </w:r>
          </w:p>
        </w:tc>
        <w:tc>
          <w:tcPr>
            <w:tcW w:w="1562" w:type="dxa"/>
            <w:tcBorders>
              <w:top w:val="single" w:sz="6" w:space="0" w:color="000000"/>
              <w:left w:val="single" w:sz="6" w:space="0" w:color="000000"/>
              <w:bottom w:val="single" w:sz="6" w:space="0" w:color="000000"/>
              <w:right w:val="single" w:sz="6" w:space="0" w:color="000000"/>
            </w:tcBorders>
          </w:tcPr>
          <w:p w14:paraId="0A1D7920" w14:textId="77777777" w:rsidR="00110406" w:rsidRDefault="00110406" w:rsidP="004C09BE">
            <w:pPr>
              <w:spacing w:after="0" w:line="259" w:lineRule="auto"/>
              <w:ind w:left="23" w:right="0" w:firstLine="0"/>
              <w:jc w:val="center"/>
            </w:pPr>
            <w:r>
              <w:t xml:space="preserve">£m </w:t>
            </w:r>
          </w:p>
        </w:tc>
        <w:tc>
          <w:tcPr>
            <w:tcW w:w="1562" w:type="dxa"/>
            <w:tcBorders>
              <w:top w:val="single" w:sz="6" w:space="0" w:color="000000"/>
              <w:left w:val="single" w:sz="6" w:space="0" w:color="000000"/>
              <w:bottom w:val="single" w:sz="6" w:space="0" w:color="000000"/>
              <w:right w:val="single" w:sz="6" w:space="0" w:color="000000"/>
            </w:tcBorders>
          </w:tcPr>
          <w:p w14:paraId="27BC6544" w14:textId="77777777" w:rsidR="00110406" w:rsidRDefault="00110406" w:rsidP="004C09BE">
            <w:pPr>
              <w:spacing w:after="0" w:line="259" w:lineRule="auto"/>
              <w:ind w:left="23" w:right="0" w:firstLine="0"/>
              <w:jc w:val="center"/>
            </w:pPr>
            <w:r>
              <w:t xml:space="preserve">£m </w:t>
            </w:r>
          </w:p>
        </w:tc>
        <w:tc>
          <w:tcPr>
            <w:tcW w:w="1562" w:type="dxa"/>
            <w:tcBorders>
              <w:top w:val="single" w:sz="6" w:space="0" w:color="000000"/>
              <w:left w:val="single" w:sz="6" w:space="0" w:color="000000"/>
              <w:bottom w:val="single" w:sz="6" w:space="0" w:color="000000"/>
              <w:right w:val="single" w:sz="6" w:space="0" w:color="000000"/>
            </w:tcBorders>
          </w:tcPr>
          <w:p w14:paraId="0185B4BA" w14:textId="77777777" w:rsidR="00110406" w:rsidRDefault="00110406" w:rsidP="004C09BE">
            <w:pPr>
              <w:spacing w:after="0" w:line="259" w:lineRule="auto"/>
              <w:ind w:left="23" w:right="0" w:firstLine="0"/>
              <w:jc w:val="center"/>
            </w:pPr>
            <w:r>
              <w:t xml:space="preserve">£m </w:t>
            </w:r>
          </w:p>
        </w:tc>
        <w:tc>
          <w:tcPr>
            <w:tcW w:w="1562" w:type="dxa"/>
            <w:tcBorders>
              <w:top w:val="single" w:sz="6" w:space="0" w:color="000000"/>
              <w:left w:val="single" w:sz="6" w:space="0" w:color="000000"/>
              <w:bottom w:val="single" w:sz="6" w:space="0" w:color="000000"/>
              <w:right w:val="single" w:sz="6" w:space="0" w:color="000000"/>
            </w:tcBorders>
          </w:tcPr>
          <w:p w14:paraId="017300F1" w14:textId="77777777" w:rsidR="00110406" w:rsidRDefault="00110406" w:rsidP="004C09BE">
            <w:pPr>
              <w:spacing w:after="0" w:line="259" w:lineRule="auto"/>
              <w:ind w:left="23" w:right="0" w:firstLine="0"/>
              <w:jc w:val="center"/>
            </w:pPr>
            <w:r>
              <w:t xml:space="preserve">£m </w:t>
            </w:r>
          </w:p>
        </w:tc>
      </w:tr>
      <w:tr w:rsidR="00110406" w14:paraId="50C54F33" w14:textId="77777777" w:rsidTr="004C09BE">
        <w:trPr>
          <w:trHeight w:val="316"/>
        </w:trPr>
        <w:tc>
          <w:tcPr>
            <w:tcW w:w="2088" w:type="dxa"/>
            <w:tcBorders>
              <w:top w:val="single" w:sz="6" w:space="0" w:color="000000"/>
              <w:left w:val="single" w:sz="6" w:space="0" w:color="000000"/>
              <w:bottom w:val="single" w:sz="6" w:space="0" w:color="000000"/>
              <w:right w:val="single" w:sz="6" w:space="0" w:color="000000"/>
            </w:tcBorders>
          </w:tcPr>
          <w:p w14:paraId="43BF065D" w14:textId="77777777" w:rsidR="00110406" w:rsidRDefault="00110406" w:rsidP="004C09BE">
            <w:pPr>
              <w:spacing w:after="0" w:line="259" w:lineRule="auto"/>
              <w:ind w:left="0" w:right="0" w:firstLine="0"/>
              <w:jc w:val="left"/>
            </w:pPr>
            <w:r>
              <w:t xml:space="preserve">Interest payable </w:t>
            </w:r>
          </w:p>
        </w:tc>
        <w:tc>
          <w:tcPr>
            <w:tcW w:w="1562" w:type="dxa"/>
            <w:tcBorders>
              <w:top w:val="single" w:sz="6" w:space="0" w:color="000000"/>
              <w:left w:val="single" w:sz="6" w:space="0" w:color="000000"/>
              <w:bottom w:val="single" w:sz="6" w:space="0" w:color="000000"/>
              <w:right w:val="single" w:sz="6" w:space="0" w:color="000000"/>
            </w:tcBorders>
          </w:tcPr>
          <w:p w14:paraId="1263EEC0" w14:textId="77777777" w:rsidR="00110406" w:rsidRDefault="00110406" w:rsidP="004C09BE">
            <w:pPr>
              <w:spacing w:after="0" w:line="259" w:lineRule="auto"/>
              <w:ind w:left="16" w:right="0" w:firstLine="0"/>
              <w:jc w:val="center"/>
            </w:pPr>
            <w:r>
              <w:t xml:space="preserve">0.090 </w:t>
            </w:r>
          </w:p>
        </w:tc>
        <w:tc>
          <w:tcPr>
            <w:tcW w:w="1562" w:type="dxa"/>
            <w:tcBorders>
              <w:top w:val="single" w:sz="6" w:space="0" w:color="000000"/>
              <w:left w:val="single" w:sz="6" w:space="0" w:color="000000"/>
              <w:bottom w:val="single" w:sz="6" w:space="0" w:color="000000"/>
              <w:right w:val="single" w:sz="6" w:space="0" w:color="000000"/>
            </w:tcBorders>
          </w:tcPr>
          <w:p w14:paraId="1ECAE629" w14:textId="77777777" w:rsidR="00110406" w:rsidRDefault="00110406" w:rsidP="004C09BE">
            <w:pPr>
              <w:spacing w:after="0" w:line="259" w:lineRule="auto"/>
              <w:ind w:left="16" w:right="0" w:firstLine="0"/>
              <w:jc w:val="center"/>
            </w:pPr>
            <w:r>
              <w:t xml:space="preserve">0.090 </w:t>
            </w:r>
          </w:p>
        </w:tc>
        <w:tc>
          <w:tcPr>
            <w:tcW w:w="1562" w:type="dxa"/>
            <w:tcBorders>
              <w:top w:val="single" w:sz="6" w:space="0" w:color="000000"/>
              <w:left w:val="single" w:sz="6" w:space="0" w:color="000000"/>
              <w:bottom w:val="single" w:sz="6" w:space="0" w:color="000000"/>
              <w:right w:val="single" w:sz="6" w:space="0" w:color="000000"/>
            </w:tcBorders>
          </w:tcPr>
          <w:p w14:paraId="68EC8563" w14:textId="77777777" w:rsidR="00110406" w:rsidRDefault="00110406" w:rsidP="004C09BE">
            <w:pPr>
              <w:spacing w:after="0" w:line="259" w:lineRule="auto"/>
              <w:ind w:left="16" w:right="0" w:firstLine="0"/>
              <w:jc w:val="center"/>
            </w:pPr>
            <w:r>
              <w:t xml:space="preserve">0.398 </w:t>
            </w:r>
          </w:p>
        </w:tc>
        <w:tc>
          <w:tcPr>
            <w:tcW w:w="1562" w:type="dxa"/>
            <w:tcBorders>
              <w:top w:val="single" w:sz="6" w:space="0" w:color="000000"/>
              <w:left w:val="single" w:sz="6" w:space="0" w:color="000000"/>
              <w:bottom w:val="single" w:sz="6" w:space="0" w:color="000000"/>
              <w:right w:val="single" w:sz="6" w:space="0" w:color="000000"/>
            </w:tcBorders>
          </w:tcPr>
          <w:p w14:paraId="54C626A4" w14:textId="77777777" w:rsidR="00110406" w:rsidRDefault="00110406" w:rsidP="004C09BE">
            <w:pPr>
              <w:spacing w:after="0" w:line="259" w:lineRule="auto"/>
              <w:ind w:left="16" w:right="0" w:firstLine="0"/>
              <w:jc w:val="center"/>
            </w:pPr>
            <w:r>
              <w:t xml:space="preserve">1.170 </w:t>
            </w:r>
          </w:p>
        </w:tc>
      </w:tr>
      <w:tr w:rsidR="00110406" w14:paraId="62CC66D7" w14:textId="77777777" w:rsidTr="004C09BE">
        <w:trPr>
          <w:trHeight w:val="300"/>
        </w:trPr>
        <w:tc>
          <w:tcPr>
            <w:tcW w:w="2088" w:type="dxa"/>
            <w:tcBorders>
              <w:top w:val="single" w:sz="6" w:space="0" w:color="000000"/>
              <w:left w:val="single" w:sz="6" w:space="0" w:color="000000"/>
              <w:bottom w:val="single" w:sz="6" w:space="0" w:color="000000"/>
              <w:right w:val="single" w:sz="6" w:space="0" w:color="000000"/>
            </w:tcBorders>
          </w:tcPr>
          <w:p w14:paraId="3C7C2767" w14:textId="77777777" w:rsidR="00110406" w:rsidRDefault="00110406" w:rsidP="004C09BE">
            <w:pPr>
              <w:spacing w:after="0" w:line="259" w:lineRule="auto"/>
              <w:ind w:left="0" w:right="0" w:firstLine="0"/>
              <w:jc w:val="left"/>
            </w:pPr>
            <w:r>
              <w:t xml:space="preserve">MRP </w:t>
            </w:r>
          </w:p>
        </w:tc>
        <w:tc>
          <w:tcPr>
            <w:tcW w:w="1562" w:type="dxa"/>
            <w:tcBorders>
              <w:top w:val="single" w:sz="6" w:space="0" w:color="000000"/>
              <w:left w:val="single" w:sz="6" w:space="0" w:color="000000"/>
              <w:bottom w:val="single" w:sz="6" w:space="0" w:color="000000"/>
              <w:right w:val="single" w:sz="6" w:space="0" w:color="000000"/>
            </w:tcBorders>
          </w:tcPr>
          <w:p w14:paraId="02006606" w14:textId="77777777" w:rsidR="00110406" w:rsidRDefault="00110406" w:rsidP="004C09BE">
            <w:pPr>
              <w:spacing w:after="0" w:line="259" w:lineRule="auto"/>
              <w:ind w:left="16" w:right="0" w:firstLine="0"/>
              <w:jc w:val="center"/>
            </w:pPr>
            <w:r>
              <w:t xml:space="preserve">0.000 </w:t>
            </w:r>
          </w:p>
        </w:tc>
        <w:tc>
          <w:tcPr>
            <w:tcW w:w="1562" w:type="dxa"/>
            <w:tcBorders>
              <w:top w:val="single" w:sz="6" w:space="0" w:color="000000"/>
              <w:left w:val="single" w:sz="6" w:space="0" w:color="000000"/>
              <w:bottom w:val="single" w:sz="6" w:space="0" w:color="000000"/>
              <w:right w:val="single" w:sz="6" w:space="0" w:color="000000"/>
            </w:tcBorders>
          </w:tcPr>
          <w:p w14:paraId="6456B238" w14:textId="77777777" w:rsidR="00110406" w:rsidRDefault="00110406" w:rsidP="004C09BE">
            <w:pPr>
              <w:spacing w:after="0" w:line="259" w:lineRule="auto"/>
              <w:ind w:left="16" w:right="0" w:firstLine="0"/>
              <w:jc w:val="center"/>
            </w:pPr>
            <w:r>
              <w:t xml:space="preserve">0.000 </w:t>
            </w:r>
          </w:p>
        </w:tc>
        <w:tc>
          <w:tcPr>
            <w:tcW w:w="1562" w:type="dxa"/>
            <w:tcBorders>
              <w:top w:val="single" w:sz="6" w:space="0" w:color="000000"/>
              <w:left w:val="single" w:sz="6" w:space="0" w:color="000000"/>
              <w:bottom w:val="single" w:sz="6" w:space="0" w:color="000000"/>
              <w:right w:val="single" w:sz="6" w:space="0" w:color="000000"/>
            </w:tcBorders>
          </w:tcPr>
          <w:p w14:paraId="6CFFF778" w14:textId="77777777" w:rsidR="00110406" w:rsidRDefault="00110406" w:rsidP="004C09BE">
            <w:pPr>
              <w:spacing w:after="0" w:line="259" w:lineRule="auto"/>
              <w:ind w:left="16" w:right="0" w:firstLine="0"/>
              <w:jc w:val="center"/>
            </w:pPr>
            <w:r>
              <w:t xml:space="preserve">0.000 </w:t>
            </w:r>
          </w:p>
        </w:tc>
        <w:tc>
          <w:tcPr>
            <w:tcW w:w="1562" w:type="dxa"/>
            <w:tcBorders>
              <w:top w:val="single" w:sz="6" w:space="0" w:color="000000"/>
              <w:left w:val="single" w:sz="6" w:space="0" w:color="000000"/>
              <w:bottom w:val="single" w:sz="6" w:space="0" w:color="000000"/>
              <w:right w:val="single" w:sz="6" w:space="0" w:color="000000"/>
            </w:tcBorders>
          </w:tcPr>
          <w:p w14:paraId="32C5A15E" w14:textId="77777777" w:rsidR="00110406" w:rsidRDefault="00110406" w:rsidP="004C09BE">
            <w:pPr>
              <w:spacing w:after="0" w:line="259" w:lineRule="auto"/>
              <w:ind w:left="16" w:right="0" w:firstLine="0"/>
              <w:jc w:val="center"/>
            </w:pPr>
            <w:r>
              <w:t xml:space="preserve">0.123 </w:t>
            </w:r>
          </w:p>
        </w:tc>
      </w:tr>
      <w:tr w:rsidR="00110406" w14:paraId="3922B04A" w14:textId="77777777" w:rsidTr="004C09BE">
        <w:trPr>
          <w:trHeight w:val="615"/>
        </w:trPr>
        <w:tc>
          <w:tcPr>
            <w:tcW w:w="2088" w:type="dxa"/>
            <w:tcBorders>
              <w:top w:val="single" w:sz="6" w:space="0" w:color="000000"/>
              <w:left w:val="single" w:sz="6" w:space="0" w:color="000000"/>
              <w:bottom w:val="single" w:sz="6" w:space="0" w:color="000000"/>
              <w:right w:val="single" w:sz="6" w:space="0" w:color="000000"/>
            </w:tcBorders>
          </w:tcPr>
          <w:p w14:paraId="56924230" w14:textId="77777777" w:rsidR="00110406" w:rsidRDefault="00110406" w:rsidP="004C09BE">
            <w:pPr>
              <w:spacing w:after="0" w:line="259" w:lineRule="auto"/>
              <w:ind w:left="0" w:right="0" w:firstLine="0"/>
              <w:jc w:val="left"/>
            </w:pPr>
            <w:r>
              <w:t xml:space="preserve">Interest receivable </w:t>
            </w:r>
          </w:p>
        </w:tc>
        <w:tc>
          <w:tcPr>
            <w:tcW w:w="1562" w:type="dxa"/>
            <w:tcBorders>
              <w:top w:val="single" w:sz="6" w:space="0" w:color="000000"/>
              <w:left w:val="single" w:sz="6" w:space="0" w:color="000000"/>
              <w:bottom w:val="single" w:sz="6" w:space="0" w:color="000000"/>
              <w:right w:val="single" w:sz="6" w:space="0" w:color="000000"/>
            </w:tcBorders>
          </w:tcPr>
          <w:p w14:paraId="4401FD7C" w14:textId="77777777" w:rsidR="00110406" w:rsidRDefault="00110406" w:rsidP="004C09BE">
            <w:pPr>
              <w:spacing w:after="0" w:line="259" w:lineRule="auto"/>
              <w:ind w:left="22" w:right="0" w:firstLine="0"/>
              <w:jc w:val="center"/>
            </w:pPr>
            <w:r>
              <w:t xml:space="preserve">(1.300) </w:t>
            </w:r>
          </w:p>
        </w:tc>
        <w:tc>
          <w:tcPr>
            <w:tcW w:w="1562" w:type="dxa"/>
            <w:tcBorders>
              <w:top w:val="single" w:sz="6" w:space="0" w:color="000000"/>
              <w:left w:val="single" w:sz="6" w:space="0" w:color="000000"/>
              <w:bottom w:val="single" w:sz="6" w:space="0" w:color="000000"/>
              <w:right w:val="single" w:sz="6" w:space="0" w:color="000000"/>
            </w:tcBorders>
          </w:tcPr>
          <w:p w14:paraId="1B6653EB" w14:textId="77777777" w:rsidR="00110406" w:rsidRDefault="00110406" w:rsidP="004C09BE">
            <w:pPr>
              <w:spacing w:after="0" w:line="259" w:lineRule="auto"/>
              <w:ind w:left="21" w:right="0" w:firstLine="0"/>
              <w:jc w:val="center"/>
            </w:pPr>
            <w:r>
              <w:t xml:space="preserve">(1.050) </w:t>
            </w:r>
          </w:p>
        </w:tc>
        <w:tc>
          <w:tcPr>
            <w:tcW w:w="1562" w:type="dxa"/>
            <w:tcBorders>
              <w:top w:val="single" w:sz="6" w:space="0" w:color="000000"/>
              <w:left w:val="single" w:sz="6" w:space="0" w:color="000000"/>
              <w:bottom w:val="single" w:sz="6" w:space="0" w:color="000000"/>
              <w:right w:val="single" w:sz="6" w:space="0" w:color="000000"/>
            </w:tcBorders>
          </w:tcPr>
          <w:p w14:paraId="3FAE17FE" w14:textId="77777777" w:rsidR="00110406" w:rsidRDefault="00110406" w:rsidP="004C09BE">
            <w:pPr>
              <w:spacing w:after="0" w:line="259" w:lineRule="auto"/>
              <w:ind w:left="21" w:right="0" w:firstLine="0"/>
              <w:jc w:val="center"/>
            </w:pPr>
            <w:r>
              <w:t xml:space="preserve">(0.650) </w:t>
            </w:r>
          </w:p>
        </w:tc>
        <w:tc>
          <w:tcPr>
            <w:tcW w:w="1562" w:type="dxa"/>
            <w:tcBorders>
              <w:top w:val="single" w:sz="6" w:space="0" w:color="000000"/>
              <w:left w:val="single" w:sz="6" w:space="0" w:color="000000"/>
              <w:bottom w:val="single" w:sz="6" w:space="0" w:color="000000"/>
              <w:right w:val="single" w:sz="6" w:space="0" w:color="000000"/>
            </w:tcBorders>
          </w:tcPr>
          <w:p w14:paraId="14DB38E7" w14:textId="77777777" w:rsidR="00110406" w:rsidRDefault="00110406" w:rsidP="004C09BE">
            <w:pPr>
              <w:spacing w:after="0" w:line="259" w:lineRule="auto"/>
              <w:ind w:left="21" w:right="0" w:firstLine="0"/>
              <w:jc w:val="center"/>
            </w:pPr>
            <w:r>
              <w:t xml:space="preserve">(0.650) </w:t>
            </w:r>
          </w:p>
        </w:tc>
      </w:tr>
      <w:tr w:rsidR="00110406" w14:paraId="6136ADD3" w14:textId="77777777" w:rsidTr="004C09BE">
        <w:trPr>
          <w:trHeight w:val="300"/>
        </w:trPr>
        <w:tc>
          <w:tcPr>
            <w:tcW w:w="2088" w:type="dxa"/>
            <w:tcBorders>
              <w:top w:val="single" w:sz="6" w:space="0" w:color="000000"/>
              <w:left w:val="single" w:sz="6" w:space="0" w:color="000000"/>
              <w:bottom w:val="single" w:sz="6" w:space="0" w:color="000000"/>
              <w:right w:val="single" w:sz="6" w:space="0" w:color="000000"/>
            </w:tcBorders>
          </w:tcPr>
          <w:p w14:paraId="02D1CD78" w14:textId="77777777" w:rsidR="00110406" w:rsidRDefault="00110406" w:rsidP="004C09BE">
            <w:pPr>
              <w:spacing w:after="0" w:line="259" w:lineRule="auto"/>
              <w:ind w:left="0" w:right="0" w:firstLine="0"/>
              <w:jc w:val="left"/>
            </w:pPr>
            <w:r>
              <w:t xml:space="preserve">Net budget </w:t>
            </w:r>
          </w:p>
        </w:tc>
        <w:tc>
          <w:tcPr>
            <w:tcW w:w="1562" w:type="dxa"/>
            <w:tcBorders>
              <w:top w:val="single" w:sz="6" w:space="0" w:color="000000"/>
              <w:left w:val="single" w:sz="6" w:space="0" w:color="000000"/>
              <w:bottom w:val="single" w:sz="6" w:space="0" w:color="000000"/>
              <w:right w:val="single" w:sz="6" w:space="0" w:color="000000"/>
            </w:tcBorders>
          </w:tcPr>
          <w:p w14:paraId="45C42C1E" w14:textId="77777777" w:rsidR="00110406" w:rsidRDefault="00110406" w:rsidP="004C09BE">
            <w:pPr>
              <w:spacing w:after="0" w:line="259" w:lineRule="auto"/>
              <w:ind w:left="22" w:right="0" w:firstLine="0"/>
              <w:jc w:val="center"/>
            </w:pPr>
            <w:r>
              <w:t xml:space="preserve">(1.210) </w:t>
            </w:r>
          </w:p>
        </w:tc>
        <w:tc>
          <w:tcPr>
            <w:tcW w:w="1562" w:type="dxa"/>
            <w:tcBorders>
              <w:top w:val="single" w:sz="6" w:space="0" w:color="000000"/>
              <w:left w:val="single" w:sz="6" w:space="0" w:color="000000"/>
              <w:bottom w:val="single" w:sz="6" w:space="0" w:color="000000"/>
              <w:right w:val="single" w:sz="6" w:space="0" w:color="000000"/>
            </w:tcBorders>
          </w:tcPr>
          <w:p w14:paraId="11DD453C" w14:textId="77777777" w:rsidR="00110406" w:rsidRDefault="00110406" w:rsidP="004C09BE">
            <w:pPr>
              <w:spacing w:after="0" w:line="259" w:lineRule="auto"/>
              <w:ind w:left="21" w:right="0" w:firstLine="0"/>
              <w:jc w:val="center"/>
            </w:pPr>
            <w:r>
              <w:t xml:space="preserve">(0.960) </w:t>
            </w:r>
          </w:p>
        </w:tc>
        <w:tc>
          <w:tcPr>
            <w:tcW w:w="1562" w:type="dxa"/>
            <w:tcBorders>
              <w:top w:val="single" w:sz="6" w:space="0" w:color="000000"/>
              <w:left w:val="single" w:sz="6" w:space="0" w:color="000000"/>
              <w:bottom w:val="single" w:sz="6" w:space="0" w:color="000000"/>
              <w:right w:val="single" w:sz="6" w:space="0" w:color="000000"/>
            </w:tcBorders>
          </w:tcPr>
          <w:p w14:paraId="70B5BA1A" w14:textId="77777777" w:rsidR="00110406" w:rsidRDefault="00110406" w:rsidP="004C09BE">
            <w:pPr>
              <w:spacing w:after="0" w:line="259" w:lineRule="auto"/>
              <w:ind w:left="21" w:right="0" w:firstLine="0"/>
              <w:jc w:val="center"/>
            </w:pPr>
            <w:r>
              <w:t xml:space="preserve">(0.252) </w:t>
            </w:r>
          </w:p>
        </w:tc>
        <w:tc>
          <w:tcPr>
            <w:tcW w:w="1562" w:type="dxa"/>
            <w:tcBorders>
              <w:top w:val="single" w:sz="6" w:space="0" w:color="000000"/>
              <w:left w:val="single" w:sz="6" w:space="0" w:color="000000"/>
              <w:bottom w:val="single" w:sz="6" w:space="0" w:color="000000"/>
              <w:right w:val="single" w:sz="6" w:space="0" w:color="000000"/>
            </w:tcBorders>
          </w:tcPr>
          <w:p w14:paraId="06B17734" w14:textId="77777777" w:rsidR="00110406" w:rsidRDefault="00110406" w:rsidP="004C09BE">
            <w:pPr>
              <w:spacing w:after="0" w:line="259" w:lineRule="auto"/>
              <w:ind w:left="21" w:right="0" w:firstLine="0"/>
              <w:jc w:val="center"/>
            </w:pPr>
            <w:r>
              <w:t xml:space="preserve">(0.643) </w:t>
            </w:r>
          </w:p>
        </w:tc>
      </w:tr>
    </w:tbl>
    <w:p w14:paraId="624A35C7" w14:textId="77777777" w:rsidR="001D69CB" w:rsidRDefault="001D69CB" w:rsidP="00110406">
      <w:pPr>
        <w:spacing w:after="113" w:line="253" w:lineRule="auto"/>
        <w:ind w:left="25" w:right="0"/>
        <w:jc w:val="left"/>
        <w:rPr>
          <w:b/>
        </w:rPr>
      </w:pPr>
    </w:p>
    <w:p w14:paraId="51D20841" w14:textId="77777777" w:rsidR="001D69CB" w:rsidRDefault="001D69CB">
      <w:pPr>
        <w:spacing w:after="160" w:line="278" w:lineRule="auto"/>
        <w:ind w:left="0" w:right="0" w:firstLine="0"/>
        <w:jc w:val="left"/>
        <w:rPr>
          <w:b/>
        </w:rPr>
      </w:pPr>
      <w:r>
        <w:rPr>
          <w:b/>
        </w:rPr>
        <w:br w:type="page"/>
      </w:r>
    </w:p>
    <w:p w14:paraId="09B770BD" w14:textId="53FDFCA4" w:rsidR="00110406" w:rsidRDefault="00110406" w:rsidP="00110406">
      <w:pPr>
        <w:spacing w:after="113" w:line="253" w:lineRule="auto"/>
        <w:ind w:left="25" w:right="0"/>
        <w:jc w:val="left"/>
      </w:pPr>
      <w:r>
        <w:rPr>
          <w:b/>
        </w:rPr>
        <w:lastRenderedPageBreak/>
        <w:t xml:space="preserve">Prudential Indicators for 2023/24 to 2026/27 in respect of the Combined Fire Authority's Treasury Management Activities.  </w:t>
      </w:r>
    </w:p>
    <w:p w14:paraId="5D6CCA84" w14:textId="77777777" w:rsidR="00110406" w:rsidRDefault="00110406" w:rsidP="00110406">
      <w:pPr>
        <w:spacing w:after="13" w:line="247" w:lineRule="auto"/>
        <w:ind w:right="561"/>
      </w:pPr>
      <w:r>
        <w:t xml:space="preserve">In accordance with its statutory duty and with the requirements of the </w:t>
      </w:r>
      <w:proofErr w:type="gramStart"/>
      <w:r>
        <w:t>Prudential  Code</w:t>
      </w:r>
      <w:proofErr w:type="gramEnd"/>
      <w:r>
        <w:t xml:space="preserve"> for Capital Finance and the CIPFA Code for Treasury Management, the Combined Fire Authority produces each year a set of prudential indicators which regulate and control its treasury management activities.  </w:t>
      </w:r>
    </w:p>
    <w:p w14:paraId="31A20B36" w14:textId="77777777" w:rsidR="00110406" w:rsidRDefault="00110406" w:rsidP="00110406">
      <w:pPr>
        <w:spacing w:after="241"/>
        <w:ind w:right="561"/>
      </w:pPr>
      <w:r>
        <w:t xml:space="preserve">The following table sets out the debt and investment-related indicators which provide the framework for the Authority’s proposed borrowing and lending activities over the coming three years. These indicators will also be approved by members as part of the Capital Programme approval process along with other capital expenditure-related indicators but need to be reaffirmed and approved as part of this Treasury Management Strategy.  </w:t>
      </w:r>
    </w:p>
    <w:p w14:paraId="3094E79E" w14:textId="77777777" w:rsidR="00110406" w:rsidRDefault="00110406" w:rsidP="00110406">
      <w:pPr>
        <w:spacing w:after="227"/>
        <w:ind w:right="561"/>
      </w:pPr>
      <w:r>
        <w:t xml:space="preserve">It should be noted that contained within the external debt limits, there are allowances for outstanding liabilities in respect of the PFI schemes and leases. However, accounting standards are changing in relation to recording leases. In effect more leases are likely to be included on the balance sheet and therefore will be included against the other long term liabilities indicators. At this stage work is on-going to quantify the impact of the change and therefore the other long term liabilities limits may be subject to change. </w:t>
      </w:r>
    </w:p>
    <w:p w14:paraId="5B86596F" w14:textId="77777777" w:rsidR="00110406" w:rsidRDefault="00110406" w:rsidP="00110406">
      <w:pPr>
        <w:pStyle w:val="Heading1"/>
        <w:spacing w:after="188"/>
        <w:ind w:left="25"/>
      </w:pPr>
      <w:r>
        <w:t xml:space="preserve">Treasury Management Prudential Indicators  </w:t>
      </w:r>
    </w:p>
    <w:tbl>
      <w:tblPr>
        <w:tblStyle w:val="TableGrid0"/>
        <w:tblW w:w="0" w:type="auto"/>
        <w:tblInd w:w="10" w:type="dxa"/>
        <w:tblLayout w:type="fixed"/>
        <w:tblLook w:val="04A0" w:firstRow="1" w:lastRow="0" w:firstColumn="1" w:lastColumn="0" w:noHBand="0" w:noVBand="1"/>
      </w:tblPr>
      <w:tblGrid>
        <w:gridCol w:w="2537"/>
        <w:gridCol w:w="1583"/>
        <w:gridCol w:w="1813"/>
        <w:gridCol w:w="1813"/>
        <w:gridCol w:w="1813"/>
      </w:tblGrid>
      <w:tr w:rsidR="00110406" w14:paraId="2AA24D27" w14:textId="77777777" w:rsidTr="004C09BE">
        <w:tc>
          <w:tcPr>
            <w:tcW w:w="2537" w:type="dxa"/>
          </w:tcPr>
          <w:p w14:paraId="4C21EAA3" w14:textId="77777777" w:rsidR="00110406" w:rsidRDefault="00110406" w:rsidP="004C09BE">
            <w:pPr>
              <w:ind w:left="0" w:firstLine="0"/>
            </w:pPr>
            <w:bookmarkStart w:id="0" w:name="_Hlk171633790"/>
          </w:p>
        </w:tc>
        <w:tc>
          <w:tcPr>
            <w:tcW w:w="1583" w:type="dxa"/>
          </w:tcPr>
          <w:p w14:paraId="4C335DF5" w14:textId="77777777" w:rsidR="00110406" w:rsidRDefault="00110406" w:rsidP="004C09BE">
            <w:pPr>
              <w:ind w:left="0" w:right="483" w:firstLine="0"/>
              <w:jc w:val="center"/>
            </w:pPr>
            <w:r>
              <w:rPr>
                <w:b/>
              </w:rPr>
              <w:t xml:space="preserve">2023/24 </w:t>
            </w:r>
            <w:r>
              <w:t>£m</w:t>
            </w:r>
          </w:p>
        </w:tc>
        <w:tc>
          <w:tcPr>
            <w:tcW w:w="1813" w:type="dxa"/>
          </w:tcPr>
          <w:p w14:paraId="69A86BAC" w14:textId="77777777" w:rsidR="00110406" w:rsidRDefault="00110406" w:rsidP="004C09BE">
            <w:pPr>
              <w:ind w:left="0" w:right="597" w:firstLine="0"/>
              <w:jc w:val="center"/>
            </w:pPr>
            <w:r>
              <w:rPr>
                <w:b/>
              </w:rPr>
              <w:t xml:space="preserve">2024/25 </w:t>
            </w:r>
            <w:r>
              <w:t>£m</w:t>
            </w:r>
          </w:p>
        </w:tc>
        <w:tc>
          <w:tcPr>
            <w:tcW w:w="1813" w:type="dxa"/>
          </w:tcPr>
          <w:p w14:paraId="7D37A65C" w14:textId="77777777" w:rsidR="00110406" w:rsidRDefault="00110406" w:rsidP="004C09BE">
            <w:pPr>
              <w:ind w:left="0" w:right="562" w:firstLine="0"/>
              <w:jc w:val="center"/>
            </w:pPr>
            <w:r>
              <w:rPr>
                <w:b/>
              </w:rPr>
              <w:t xml:space="preserve">2025/26 </w:t>
            </w:r>
            <w:r>
              <w:t>£m</w:t>
            </w:r>
          </w:p>
        </w:tc>
        <w:tc>
          <w:tcPr>
            <w:tcW w:w="1813" w:type="dxa"/>
          </w:tcPr>
          <w:p w14:paraId="5AF60172" w14:textId="77777777" w:rsidR="00110406" w:rsidRDefault="00110406" w:rsidP="004C09BE">
            <w:pPr>
              <w:ind w:left="0" w:right="534" w:firstLine="0"/>
              <w:jc w:val="center"/>
            </w:pPr>
            <w:r>
              <w:rPr>
                <w:b/>
              </w:rPr>
              <w:t xml:space="preserve">2026/27 </w:t>
            </w:r>
            <w:r>
              <w:t>£m</w:t>
            </w:r>
          </w:p>
        </w:tc>
      </w:tr>
      <w:tr w:rsidR="00110406" w14:paraId="625F4C72" w14:textId="77777777" w:rsidTr="004C09BE">
        <w:tc>
          <w:tcPr>
            <w:tcW w:w="2537" w:type="dxa"/>
          </w:tcPr>
          <w:p w14:paraId="2F76A9BC" w14:textId="77777777" w:rsidR="00110406" w:rsidRDefault="00110406" w:rsidP="004C09BE">
            <w:pPr>
              <w:ind w:left="0" w:right="-107" w:firstLine="0"/>
              <w:jc w:val="left"/>
            </w:pPr>
            <w:r>
              <w:t>Adoption of the Revised CIPFA Code of Practice on Treasury Management</w:t>
            </w:r>
          </w:p>
        </w:tc>
        <w:tc>
          <w:tcPr>
            <w:tcW w:w="1583" w:type="dxa"/>
          </w:tcPr>
          <w:p w14:paraId="765A5F98" w14:textId="77777777" w:rsidR="00110406" w:rsidRDefault="00110406" w:rsidP="004C09BE">
            <w:pPr>
              <w:ind w:left="0" w:firstLine="0"/>
            </w:pPr>
          </w:p>
        </w:tc>
        <w:tc>
          <w:tcPr>
            <w:tcW w:w="1813" w:type="dxa"/>
          </w:tcPr>
          <w:p w14:paraId="0412434F" w14:textId="77777777" w:rsidR="00110406" w:rsidRDefault="00110406" w:rsidP="004C09BE">
            <w:pPr>
              <w:ind w:left="0" w:right="30" w:firstLine="0"/>
            </w:pPr>
          </w:p>
        </w:tc>
        <w:tc>
          <w:tcPr>
            <w:tcW w:w="1813" w:type="dxa"/>
          </w:tcPr>
          <w:p w14:paraId="4BACCF31" w14:textId="77777777" w:rsidR="00110406" w:rsidRDefault="00110406" w:rsidP="004C09BE">
            <w:pPr>
              <w:ind w:left="0" w:right="137" w:firstLine="0"/>
            </w:pPr>
          </w:p>
        </w:tc>
        <w:tc>
          <w:tcPr>
            <w:tcW w:w="1813" w:type="dxa"/>
          </w:tcPr>
          <w:p w14:paraId="3F956C0F" w14:textId="77777777" w:rsidR="00110406" w:rsidRDefault="00110406" w:rsidP="004C09BE">
            <w:pPr>
              <w:ind w:left="0" w:right="251" w:firstLine="0"/>
            </w:pPr>
          </w:p>
        </w:tc>
      </w:tr>
      <w:tr w:rsidR="00110406" w14:paraId="4BA1FA44" w14:textId="77777777" w:rsidTr="004C09BE">
        <w:tc>
          <w:tcPr>
            <w:tcW w:w="2537" w:type="dxa"/>
          </w:tcPr>
          <w:p w14:paraId="7D0498D0" w14:textId="77777777" w:rsidR="00110406" w:rsidRPr="001A53B4" w:rsidRDefault="00110406" w:rsidP="004C09BE">
            <w:pPr>
              <w:ind w:left="0" w:right="0" w:firstLine="0"/>
              <w:jc w:val="left"/>
              <w:rPr>
                <w:bCs/>
              </w:rPr>
            </w:pPr>
            <w:r w:rsidRPr="00A54A3F">
              <w:rPr>
                <w:bCs/>
              </w:rPr>
              <w:t xml:space="preserve">Authorised limit for external </w:t>
            </w:r>
            <w:proofErr w:type="gramStart"/>
            <w:r w:rsidRPr="00A54A3F">
              <w:rPr>
                <w:bCs/>
              </w:rPr>
              <w:t xml:space="preserve">debt </w:t>
            </w:r>
            <w:r>
              <w:rPr>
                <w:bCs/>
              </w:rPr>
              <w:t>:</w:t>
            </w:r>
            <w:proofErr w:type="gramEnd"/>
          </w:p>
        </w:tc>
        <w:tc>
          <w:tcPr>
            <w:tcW w:w="1583" w:type="dxa"/>
          </w:tcPr>
          <w:p w14:paraId="346756E1" w14:textId="77777777" w:rsidR="00110406" w:rsidRDefault="00110406" w:rsidP="004C09BE">
            <w:pPr>
              <w:ind w:left="0" w:right="58" w:firstLine="0"/>
            </w:pPr>
          </w:p>
        </w:tc>
        <w:tc>
          <w:tcPr>
            <w:tcW w:w="1813" w:type="dxa"/>
          </w:tcPr>
          <w:p w14:paraId="7B7CBE31" w14:textId="77777777" w:rsidR="00110406" w:rsidRDefault="00110406" w:rsidP="004C09BE">
            <w:pPr>
              <w:ind w:left="0" w:right="30" w:firstLine="0"/>
            </w:pPr>
          </w:p>
        </w:tc>
        <w:tc>
          <w:tcPr>
            <w:tcW w:w="1813" w:type="dxa"/>
          </w:tcPr>
          <w:p w14:paraId="7B995070" w14:textId="77777777" w:rsidR="00110406" w:rsidRDefault="00110406" w:rsidP="004C09BE">
            <w:pPr>
              <w:ind w:left="0" w:right="137" w:firstLine="0"/>
            </w:pPr>
          </w:p>
        </w:tc>
        <w:tc>
          <w:tcPr>
            <w:tcW w:w="1813" w:type="dxa"/>
          </w:tcPr>
          <w:p w14:paraId="43AFD598" w14:textId="77777777" w:rsidR="00110406" w:rsidRDefault="00110406" w:rsidP="004C09BE">
            <w:pPr>
              <w:ind w:left="0" w:right="251" w:firstLine="0"/>
            </w:pPr>
          </w:p>
        </w:tc>
      </w:tr>
      <w:tr w:rsidR="00110406" w14:paraId="35B13B85" w14:textId="77777777" w:rsidTr="004C09BE">
        <w:tc>
          <w:tcPr>
            <w:tcW w:w="2537" w:type="dxa"/>
          </w:tcPr>
          <w:p w14:paraId="200AD893" w14:textId="77777777" w:rsidR="00110406" w:rsidRDefault="00110406" w:rsidP="004C09BE">
            <w:pPr>
              <w:ind w:left="0" w:firstLine="0"/>
              <w:jc w:val="left"/>
            </w:pPr>
            <w:r>
              <w:t>Borrowing</w:t>
            </w:r>
          </w:p>
        </w:tc>
        <w:tc>
          <w:tcPr>
            <w:tcW w:w="1583" w:type="dxa"/>
          </w:tcPr>
          <w:p w14:paraId="5B233905" w14:textId="77777777" w:rsidR="00110406" w:rsidRDefault="00110406" w:rsidP="004C09BE">
            <w:pPr>
              <w:ind w:left="0" w:right="58" w:firstLine="0"/>
            </w:pPr>
            <w:r>
              <w:t>4.000</w:t>
            </w:r>
          </w:p>
        </w:tc>
        <w:tc>
          <w:tcPr>
            <w:tcW w:w="1813" w:type="dxa"/>
          </w:tcPr>
          <w:p w14:paraId="714F68CD" w14:textId="77777777" w:rsidR="00110406" w:rsidRDefault="00110406" w:rsidP="004C09BE">
            <w:pPr>
              <w:ind w:left="0" w:right="30" w:firstLine="0"/>
            </w:pPr>
            <w:r>
              <w:t>4.000</w:t>
            </w:r>
          </w:p>
        </w:tc>
        <w:tc>
          <w:tcPr>
            <w:tcW w:w="1813" w:type="dxa"/>
          </w:tcPr>
          <w:p w14:paraId="0E748792" w14:textId="77777777" w:rsidR="00110406" w:rsidRDefault="00110406" w:rsidP="004C09BE">
            <w:pPr>
              <w:ind w:left="0" w:right="137" w:firstLine="0"/>
            </w:pPr>
            <w:r>
              <w:t>15.000</w:t>
            </w:r>
          </w:p>
        </w:tc>
        <w:tc>
          <w:tcPr>
            <w:tcW w:w="1813" w:type="dxa"/>
          </w:tcPr>
          <w:p w14:paraId="2781B2B3" w14:textId="77777777" w:rsidR="00110406" w:rsidRDefault="00110406" w:rsidP="004C09BE">
            <w:pPr>
              <w:ind w:left="0" w:right="251" w:firstLine="0"/>
            </w:pPr>
            <w:r>
              <w:t>30.000</w:t>
            </w:r>
          </w:p>
        </w:tc>
      </w:tr>
      <w:tr w:rsidR="00110406" w14:paraId="0D78EBA0" w14:textId="77777777" w:rsidTr="004C09BE">
        <w:tc>
          <w:tcPr>
            <w:tcW w:w="2537" w:type="dxa"/>
          </w:tcPr>
          <w:p w14:paraId="6B452386" w14:textId="77777777" w:rsidR="00110406" w:rsidRDefault="00110406" w:rsidP="004C09BE">
            <w:pPr>
              <w:ind w:left="0" w:right="0" w:firstLine="0"/>
              <w:jc w:val="left"/>
            </w:pPr>
            <w:r>
              <w:t>Other long-term liabilities</w:t>
            </w:r>
          </w:p>
        </w:tc>
        <w:tc>
          <w:tcPr>
            <w:tcW w:w="1583" w:type="dxa"/>
          </w:tcPr>
          <w:p w14:paraId="5670AD16" w14:textId="77777777" w:rsidR="00110406" w:rsidRDefault="00110406" w:rsidP="004C09BE">
            <w:pPr>
              <w:ind w:left="0" w:right="58" w:firstLine="0"/>
            </w:pPr>
            <w:r>
              <w:t>30.000</w:t>
            </w:r>
          </w:p>
        </w:tc>
        <w:tc>
          <w:tcPr>
            <w:tcW w:w="1813" w:type="dxa"/>
          </w:tcPr>
          <w:p w14:paraId="3BAD03ED" w14:textId="77777777" w:rsidR="00110406" w:rsidRDefault="00110406" w:rsidP="004C09BE">
            <w:pPr>
              <w:ind w:left="0" w:right="30" w:firstLine="0"/>
            </w:pPr>
            <w:r>
              <w:t>30.000</w:t>
            </w:r>
          </w:p>
        </w:tc>
        <w:tc>
          <w:tcPr>
            <w:tcW w:w="1813" w:type="dxa"/>
          </w:tcPr>
          <w:p w14:paraId="777C7A41" w14:textId="77777777" w:rsidR="00110406" w:rsidRDefault="00110406" w:rsidP="004C09BE">
            <w:pPr>
              <w:ind w:left="0" w:right="137" w:firstLine="0"/>
            </w:pPr>
            <w:r>
              <w:t>30.000</w:t>
            </w:r>
          </w:p>
        </w:tc>
        <w:tc>
          <w:tcPr>
            <w:tcW w:w="1813" w:type="dxa"/>
          </w:tcPr>
          <w:p w14:paraId="7D6B03AC" w14:textId="77777777" w:rsidR="00110406" w:rsidRDefault="00110406" w:rsidP="004C09BE">
            <w:pPr>
              <w:ind w:left="0" w:right="251" w:firstLine="0"/>
            </w:pPr>
            <w:r>
              <w:t>30.000</w:t>
            </w:r>
          </w:p>
        </w:tc>
      </w:tr>
      <w:tr w:rsidR="00110406" w14:paraId="52A98E11" w14:textId="77777777" w:rsidTr="004C09BE">
        <w:tc>
          <w:tcPr>
            <w:tcW w:w="2537" w:type="dxa"/>
          </w:tcPr>
          <w:p w14:paraId="72F422A0" w14:textId="77777777" w:rsidR="00110406" w:rsidRPr="001A53B4" w:rsidRDefault="00110406" w:rsidP="004C09BE">
            <w:pPr>
              <w:ind w:left="0" w:firstLine="0"/>
              <w:jc w:val="left"/>
              <w:rPr>
                <w:b/>
                <w:bCs/>
              </w:rPr>
            </w:pPr>
            <w:r w:rsidRPr="001A53B4">
              <w:rPr>
                <w:b/>
                <w:bCs/>
              </w:rPr>
              <w:t>Total</w:t>
            </w:r>
          </w:p>
        </w:tc>
        <w:tc>
          <w:tcPr>
            <w:tcW w:w="1583" w:type="dxa"/>
          </w:tcPr>
          <w:p w14:paraId="1AE15B99" w14:textId="77777777" w:rsidR="00110406" w:rsidRPr="001A53B4" w:rsidRDefault="00110406" w:rsidP="004C09BE">
            <w:pPr>
              <w:ind w:left="0" w:right="58" w:firstLine="0"/>
              <w:rPr>
                <w:b/>
                <w:bCs/>
              </w:rPr>
            </w:pPr>
            <w:r w:rsidRPr="001A53B4">
              <w:rPr>
                <w:b/>
                <w:bCs/>
              </w:rPr>
              <w:t>34.000</w:t>
            </w:r>
          </w:p>
        </w:tc>
        <w:tc>
          <w:tcPr>
            <w:tcW w:w="1813" w:type="dxa"/>
          </w:tcPr>
          <w:p w14:paraId="5283BFA4" w14:textId="77777777" w:rsidR="00110406" w:rsidRPr="001A53B4" w:rsidRDefault="00110406" w:rsidP="004C09BE">
            <w:pPr>
              <w:ind w:left="0" w:right="30" w:firstLine="0"/>
              <w:rPr>
                <w:b/>
                <w:bCs/>
              </w:rPr>
            </w:pPr>
            <w:r w:rsidRPr="001A53B4">
              <w:rPr>
                <w:b/>
                <w:bCs/>
              </w:rPr>
              <w:t>34.000</w:t>
            </w:r>
          </w:p>
        </w:tc>
        <w:tc>
          <w:tcPr>
            <w:tcW w:w="1813" w:type="dxa"/>
          </w:tcPr>
          <w:p w14:paraId="235BE639" w14:textId="77777777" w:rsidR="00110406" w:rsidRPr="001A53B4" w:rsidRDefault="00110406" w:rsidP="004C09BE">
            <w:pPr>
              <w:ind w:left="0" w:right="137" w:firstLine="0"/>
              <w:rPr>
                <w:b/>
                <w:bCs/>
              </w:rPr>
            </w:pPr>
            <w:r w:rsidRPr="001A53B4">
              <w:rPr>
                <w:b/>
                <w:bCs/>
              </w:rPr>
              <w:t>45.000</w:t>
            </w:r>
          </w:p>
        </w:tc>
        <w:tc>
          <w:tcPr>
            <w:tcW w:w="1813" w:type="dxa"/>
          </w:tcPr>
          <w:p w14:paraId="179BE4E9" w14:textId="77777777" w:rsidR="00110406" w:rsidRPr="001A53B4" w:rsidRDefault="00110406" w:rsidP="004C09BE">
            <w:pPr>
              <w:ind w:left="0" w:right="251" w:firstLine="0"/>
              <w:rPr>
                <w:b/>
                <w:bCs/>
              </w:rPr>
            </w:pPr>
            <w:r w:rsidRPr="001A53B4">
              <w:rPr>
                <w:b/>
                <w:bCs/>
              </w:rPr>
              <w:t>60.000</w:t>
            </w:r>
          </w:p>
        </w:tc>
      </w:tr>
      <w:bookmarkEnd w:id="0"/>
    </w:tbl>
    <w:p w14:paraId="4DBC10B2" w14:textId="77777777" w:rsidR="00110406" w:rsidRDefault="00110406" w:rsidP="00110406"/>
    <w:tbl>
      <w:tblPr>
        <w:tblStyle w:val="TableGrid0"/>
        <w:tblW w:w="0" w:type="auto"/>
        <w:tblInd w:w="10" w:type="dxa"/>
        <w:tblLayout w:type="fixed"/>
        <w:tblLook w:val="04A0" w:firstRow="1" w:lastRow="0" w:firstColumn="1" w:lastColumn="0" w:noHBand="0" w:noVBand="1"/>
      </w:tblPr>
      <w:tblGrid>
        <w:gridCol w:w="2537"/>
        <w:gridCol w:w="1583"/>
        <w:gridCol w:w="1813"/>
        <w:gridCol w:w="1813"/>
        <w:gridCol w:w="1813"/>
      </w:tblGrid>
      <w:tr w:rsidR="00110406" w14:paraId="50078483" w14:textId="77777777" w:rsidTr="004C09BE">
        <w:tc>
          <w:tcPr>
            <w:tcW w:w="2537" w:type="dxa"/>
          </w:tcPr>
          <w:p w14:paraId="42D9536E" w14:textId="77777777" w:rsidR="00110406" w:rsidRDefault="00110406" w:rsidP="004C09BE">
            <w:pPr>
              <w:ind w:left="0" w:firstLine="0"/>
            </w:pPr>
            <w:bookmarkStart w:id="1" w:name="_Hlk171633950"/>
          </w:p>
        </w:tc>
        <w:tc>
          <w:tcPr>
            <w:tcW w:w="1583" w:type="dxa"/>
          </w:tcPr>
          <w:p w14:paraId="266289D7" w14:textId="77777777" w:rsidR="00110406" w:rsidRDefault="00110406" w:rsidP="004C09BE">
            <w:pPr>
              <w:ind w:left="0" w:right="483" w:firstLine="0"/>
            </w:pPr>
            <w:r>
              <w:rPr>
                <w:b/>
              </w:rPr>
              <w:t xml:space="preserve">2023/24 </w:t>
            </w:r>
            <w:r>
              <w:t>£m</w:t>
            </w:r>
          </w:p>
        </w:tc>
        <w:tc>
          <w:tcPr>
            <w:tcW w:w="1813" w:type="dxa"/>
          </w:tcPr>
          <w:p w14:paraId="2D4EBFA5" w14:textId="77777777" w:rsidR="00110406" w:rsidRDefault="00110406" w:rsidP="004C09BE">
            <w:pPr>
              <w:ind w:left="0" w:right="597" w:firstLine="0"/>
              <w:rPr>
                <w:b/>
              </w:rPr>
            </w:pPr>
            <w:r>
              <w:rPr>
                <w:b/>
              </w:rPr>
              <w:t>2024/25</w:t>
            </w:r>
          </w:p>
          <w:p w14:paraId="411ADBCE" w14:textId="77777777" w:rsidR="00110406" w:rsidRDefault="00110406" w:rsidP="004C09BE">
            <w:pPr>
              <w:ind w:left="0" w:right="597" w:firstLine="0"/>
            </w:pPr>
            <w:r>
              <w:t>£m</w:t>
            </w:r>
          </w:p>
        </w:tc>
        <w:tc>
          <w:tcPr>
            <w:tcW w:w="1813" w:type="dxa"/>
          </w:tcPr>
          <w:p w14:paraId="3E6F56E3" w14:textId="77777777" w:rsidR="00110406" w:rsidRDefault="00110406" w:rsidP="004C09BE">
            <w:pPr>
              <w:ind w:left="0" w:right="562" w:firstLine="0"/>
            </w:pPr>
            <w:r>
              <w:rPr>
                <w:b/>
              </w:rPr>
              <w:t xml:space="preserve">2025/26 </w:t>
            </w:r>
            <w:r>
              <w:t>£m</w:t>
            </w:r>
          </w:p>
        </w:tc>
        <w:tc>
          <w:tcPr>
            <w:tcW w:w="1813" w:type="dxa"/>
          </w:tcPr>
          <w:p w14:paraId="50650F44" w14:textId="77777777" w:rsidR="00110406" w:rsidRDefault="00110406" w:rsidP="004C09BE">
            <w:pPr>
              <w:ind w:left="0" w:right="534" w:firstLine="0"/>
            </w:pPr>
            <w:r>
              <w:rPr>
                <w:b/>
              </w:rPr>
              <w:t xml:space="preserve">2026/27 </w:t>
            </w:r>
            <w:r>
              <w:t>£m</w:t>
            </w:r>
          </w:p>
        </w:tc>
      </w:tr>
      <w:tr w:rsidR="00110406" w14:paraId="4650092F" w14:textId="77777777" w:rsidTr="004C09BE">
        <w:tc>
          <w:tcPr>
            <w:tcW w:w="2537" w:type="dxa"/>
          </w:tcPr>
          <w:p w14:paraId="4B736324" w14:textId="77777777" w:rsidR="00110406" w:rsidRPr="001A53B4" w:rsidRDefault="00110406" w:rsidP="004C09BE">
            <w:pPr>
              <w:ind w:left="0" w:right="0" w:firstLine="0"/>
              <w:jc w:val="left"/>
              <w:rPr>
                <w:bCs/>
              </w:rPr>
            </w:pPr>
            <w:r>
              <w:rPr>
                <w:b/>
              </w:rPr>
              <w:t>Operational boundary for external debt</w:t>
            </w:r>
          </w:p>
        </w:tc>
        <w:tc>
          <w:tcPr>
            <w:tcW w:w="1583" w:type="dxa"/>
          </w:tcPr>
          <w:p w14:paraId="24AF35D8" w14:textId="77777777" w:rsidR="00110406" w:rsidRDefault="00110406" w:rsidP="004C09BE">
            <w:pPr>
              <w:ind w:left="0" w:right="58" w:firstLine="0"/>
            </w:pPr>
          </w:p>
        </w:tc>
        <w:tc>
          <w:tcPr>
            <w:tcW w:w="1813" w:type="dxa"/>
          </w:tcPr>
          <w:p w14:paraId="70B16A2B" w14:textId="77777777" w:rsidR="00110406" w:rsidRDefault="00110406" w:rsidP="004C09BE">
            <w:pPr>
              <w:ind w:left="0" w:right="30" w:firstLine="0"/>
            </w:pPr>
          </w:p>
        </w:tc>
        <w:tc>
          <w:tcPr>
            <w:tcW w:w="1813" w:type="dxa"/>
          </w:tcPr>
          <w:p w14:paraId="6142F77E" w14:textId="77777777" w:rsidR="00110406" w:rsidRDefault="00110406" w:rsidP="004C09BE">
            <w:pPr>
              <w:ind w:left="0" w:right="137" w:firstLine="0"/>
            </w:pPr>
          </w:p>
        </w:tc>
        <w:tc>
          <w:tcPr>
            <w:tcW w:w="1813" w:type="dxa"/>
          </w:tcPr>
          <w:p w14:paraId="611D90FC" w14:textId="77777777" w:rsidR="00110406" w:rsidRDefault="00110406" w:rsidP="004C09BE">
            <w:pPr>
              <w:ind w:left="0" w:right="251" w:firstLine="0"/>
            </w:pPr>
          </w:p>
        </w:tc>
      </w:tr>
      <w:tr w:rsidR="00110406" w14:paraId="1203204C" w14:textId="77777777" w:rsidTr="004C09BE">
        <w:tc>
          <w:tcPr>
            <w:tcW w:w="2537" w:type="dxa"/>
          </w:tcPr>
          <w:p w14:paraId="077D30A9" w14:textId="77777777" w:rsidR="00110406" w:rsidRDefault="00110406" w:rsidP="004C09BE">
            <w:pPr>
              <w:ind w:left="0" w:firstLine="0"/>
              <w:jc w:val="left"/>
            </w:pPr>
            <w:r>
              <w:t>Borrowing</w:t>
            </w:r>
          </w:p>
        </w:tc>
        <w:tc>
          <w:tcPr>
            <w:tcW w:w="1583" w:type="dxa"/>
          </w:tcPr>
          <w:p w14:paraId="68C07C0A" w14:textId="77777777" w:rsidR="00110406" w:rsidRDefault="00110406" w:rsidP="004C09BE">
            <w:pPr>
              <w:ind w:left="0" w:right="58" w:firstLine="0"/>
            </w:pPr>
            <w:r>
              <w:t>3.000</w:t>
            </w:r>
          </w:p>
        </w:tc>
        <w:tc>
          <w:tcPr>
            <w:tcW w:w="1813" w:type="dxa"/>
          </w:tcPr>
          <w:p w14:paraId="3B6371C3" w14:textId="77777777" w:rsidR="00110406" w:rsidRDefault="00110406" w:rsidP="004C09BE">
            <w:pPr>
              <w:ind w:left="0" w:right="30" w:firstLine="0"/>
            </w:pPr>
            <w:r>
              <w:t>3.000</w:t>
            </w:r>
          </w:p>
        </w:tc>
        <w:tc>
          <w:tcPr>
            <w:tcW w:w="1813" w:type="dxa"/>
          </w:tcPr>
          <w:p w14:paraId="71100F6B" w14:textId="77777777" w:rsidR="00110406" w:rsidRDefault="00110406" w:rsidP="004C09BE">
            <w:pPr>
              <w:ind w:left="0" w:right="137" w:firstLine="0"/>
            </w:pPr>
            <w:r>
              <w:t>10.000</w:t>
            </w:r>
          </w:p>
        </w:tc>
        <w:tc>
          <w:tcPr>
            <w:tcW w:w="1813" w:type="dxa"/>
          </w:tcPr>
          <w:p w14:paraId="102C63F3" w14:textId="77777777" w:rsidR="00110406" w:rsidRDefault="00110406" w:rsidP="004C09BE">
            <w:pPr>
              <w:ind w:left="0" w:right="251" w:firstLine="0"/>
            </w:pPr>
            <w:r>
              <w:t>25.000</w:t>
            </w:r>
          </w:p>
        </w:tc>
      </w:tr>
      <w:tr w:rsidR="00110406" w14:paraId="0DBD76E2" w14:textId="77777777" w:rsidTr="004C09BE">
        <w:tc>
          <w:tcPr>
            <w:tcW w:w="2537" w:type="dxa"/>
          </w:tcPr>
          <w:p w14:paraId="1CFAADDF" w14:textId="77777777" w:rsidR="00110406" w:rsidRDefault="00110406" w:rsidP="004C09BE">
            <w:pPr>
              <w:ind w:left="0" w:right="0" w:firstLine="0"/>
              <w:jc w:val="left"/>
            </w:pPr>
            <w:r>
              <w:t>Other long-term liabilities</w:t>
            </w:r>
          </w:p>
        </w:tc>
        <w:tc>
          <w:tcPr>
            <w:tcW w:w="1583" w:type="dxa"/>
          </w:tcPr>
          <w:p w14:paraId="57ED0892" w14:textId="77777777" w:rsidR="00110406" w:rsidRDefault="00110406" w:rsidP="004C09BE">
            <w:pPr>
              <w:ind w:left="0" w:right="58" w:firstLine="0"/>
            </w:pPr>
            <w:r>
              <w:t>16.000</w:t>
            </w:r>
          </w:p>
        </w:tc>
        <w:tc>
          <w:tcPr>
            <w:tcW w:w="1813" w:type="dxa"/>
          </w:tcPr>
          <w:p w14:paraId="3B6EAA99" w14:textId="77777777" w:rsidR="00110406" w:rsidRDefault="00110406" w:rsidP="004C09BE">
            <w:pPr>
              <w:ind w:left="0" w:right="30" w:firstLine="0"/>
            </w:pPr>
            <w:r>
              <w:t>16.000</w:t>
            </w:r>
          </w:p>
        </w:tc>
        <w:tc>
          <w:tcPr>
            <w:tcW w:w="1813" w:type="dxa"/>
          </w:tcPr>
          <w:p w14:paraId="1F937618" w14:textId="77777777" w:rsidR="00110406" w:rsidRDefault="00110406" w:rsidP="004C09BE">
            <w:pPr>
              <w:ind w:left="0" w:right="137" w:firstLine="0"/>
            </w:pPr>
            <w:r>
              <w:t>15.000</w:t>
            </w:r>
          </w:p>
        </w:tc>
        <w:tc>
          <w:tcPr>
            <w:tcW w:w="1813" w:type="dxa"/>
          </w:tcPr>
          <w:p w14:paraId="77262745" w14:textId="77777777" w:rsidR="00110406" w:rsidRDefault="00110406" w:rsidP="004C09BE">
            <w:pPr>
              <w:ind w:left="0" w:right="251" w:firstLine="0"/>
            </w:pPr>
            <w:r>
              <w:t>15.000</w:t>
            </w:r>
          </w:p>
        </w:tc>
      </w:tr>
      <w:tr w:rsidR="00110406" w:rsidRPr="001A53B4" w14:paraId="5B19FC69" w14:textId="77777777" w:rsidTr="004C09BE">
        <w:tc>
          <w:tcPr>
            <w:tcW w:w="2537" w:type="dxa"/>
          </w:tcPr>
          <w:p w14:paraId="38867679" w14:textId="77777777" w:rsidR="00110406" w:rsidRPr="001A53B4" w:rsidRDefault="00110406" w:rsidP="004C09BE">
            <w:pPr>
              <w:ind w:left="0" w:firstLine="0"/>
              <w:jc w:val="left"/>
              <w:rPr>
                <w:b/>
                <w:bCs/>
              </w:rPr>
            </w:pPr>
            <w:r w:rsidRPr="001A53B4">
              <w:rPr>
                <w:b/>
                <w:bCs/>
              </w:rPr>
              <w:t>Total</w:t>
            </w:r>
          </w:p>
        </w:tc>
        <w:tc>
          <w:tcPr>
            <w:tcW w:w="1583" w:type="dxa"/>
          </w:tcPr>
          <w:p w14:paraId="197BC68B" w14:textId="77777777" w:rsidR="00110406" w:rsidRPr="001A53B4" w:rsidRDefault="00110406" w:rsidP="004C09BE">
            <w:pPr>
              <w:ind w:left="0" w:right="58" w:firstLine="0"/>
              <w:rPr>
                <w:b/>
                <w:bCs/>
              </w:rPr>
            </w:pPr>
            <w:r>
              <w:rPr>
                <w:b/>
                <w:bCs/>
              </w:rPr>
              <w:t>19.000</w:t>
            </w:r>
          </w:p>
        </w:tc>
        <w:tc>
          <w:tcPr>
            <w:tcW w:w="1813" w:type="dxa"/>
          </w:tcPr>
          <w:p w14:paraId="3C7C7A05" w14:textId="77777777" w:rsidR="00110406" w:rsidRPr="001A53B4" w:rsidRDefault="00110406" w:rsidP="004C09BE">
            <w:pPr>
              <w:ind w:left="0" w:right="30" w:firstLine="0"/>
              <w:rPr>
                <w:b/>
                <w:bCs/>
              </w:rPr>
            </w:pPr>
            <w:r>
              <w:rPr>
                <w:b/>
                <w:bCs/>
              </w:rPr>
              <w:t>19.000</w:t>
            </w:r>
          </w:p>
        </w:tc>
        <w:tc>
          <w:tcPr>
            <w:tcW w:w="1813" w:type="dxa"/>
          </w:tcPr>
          <w:p w14:paraId="0E61DC26" w14:textId="77777777" w:rsidR="00110406" w:rsidRPr="001A53B4" w:rsidRDefault="00110406" w:rsidP="004C09BE">
            <w:pPr>
              <w:ind w:left="0" w:right="137" w:firstLine="0"/>
              <w:rPr>
                <w:b/>
                <w:bCs/>
              </w:rPr>
            </w:pPr>
            <w:r>
              <w:rPr>
                <w:b/>
                <w:bCs/>
              </w:rPr>
              <w:t>25.000</w:t>
            </w:r>
          </w:p>
        </w:tc>
        <w:tc>
          <w:tcPr>
            <w:tcW w:w="1813" w:type="dxa"/>
          </w:tcPr>
          <w:p w14:paraId="5B475879" w14:textId="77777777" w:rsidR="00110406" w:rsidRPr="001A53B4" w:rsidRDefault="00110406" w:rsidP="004C09BE">
            <w:pPr>
              <w:ind w:left="0" w:right="251" w:firstLine="0"/>
              <w:rPr>
                <w:b/>
                <w:bCs/>
              </w:rPr>
            </w:pPr>
            <w:r>
              <w:rPr>
                <w:b/>
                <w:bCs/>
              </w:rPr>
              <w:t>43.000</w:t>
            </w:r>
          </w:p>
        </w:tc>
      </w:tr>
      <w:bookmarkEnd w:id="1"/>
    </w:tbl>
    <w:p w14:paraId="0EF53BE9" w14:textId="77777777" w:rsidR="00110406" w:rsidRDefault="00110406" w:rsidP="00110406">
      <w:pPr>
        <w:spacing w:after="0" w:line="259" w:lineRule="auto"/>
        <w:ind w:left="0" w:right="0" w:firstLine="0"/>
        <w:jc w:val="left"/>
      </w:pPr>
    </w:p>
    <w:tbl>
      <w:tblPr>
        <w:tblStyle w:val="TableGrid0"/>
        <w:tblW w:w="0" w:type="auto"/>
        <w:tblInd w:w="10" w:type="dxa"/>
        <w:tblLayout w:type="fixed"/>
        <w:tblLook w:val="04A0" w:firstRow="1" w:lastRow="0" w:firstColumn="1" w:lastColumn="0" w:noHBand="0" w:noVBand="1"/>
      </w:tblPr>
      <w:tblGrid>
        <w:gridCol w:w="2537"/>
        <w:gridCol w:w="1583"/>
        <w:gridCol w:w="1813"/>
        <w:gridCol w:w="1813"/>
        <w:gridCol w:w="1813"/>
      </w:tblGrid>
      <w:tr w:rsidR="00110406" w14:paraId="22A9DF3E" w14:textId="77777777" w:rsidTr="004C09BE">
        <w:tc>
          <w:tcPr>
            <w:tcW w:w="2537" w:type="dxa"/>
          </w:tcPr>
          <w:p w14:paraId="71082578" w14:textId="77777777" w:rsidR="00110406" w:rsidRDefault="00110406" w:rsidP="004C09BE">
            <w:pPr>
              <w:ind w:left="0" w:firstLine="0"/>
            </w:pPr>
            <w:bookmarkStart w:id="2" w:name="_Hlk171634234"/>
          </w:p>
        </w:tc>
        <w:tc>
          <w:tcPr>
            <w:tcW w:w="1583" w:type="dxa"/>
          </w:tcPr>
          <w:p w14:paraId="609265E7" w14:textId="77777777" w:rsidR="00110406" w:rsidRDefault="00110406" w:rsidP="004C09BE">
            <w:pPr>
              <w:ind w:left="0" w:right="483" w:firstLine="0"/>
              <w:jc w:val="center"/>
            </w:pPr>
            <w:r>
              <w:rPr>
                <w:b/>
              </w:rPr>
              <w:t>2023/24</w:t>
            </w:r>
          </w:p>
        </w:tc>
        <w:tc>
          <w:tcPr>
            <w:tcW w:w="1813" w:type="dxa"/>
          </w:tcPr>
          <w:p w14:paraId="6B5C2BC0" w14:textId="77777777" w:rsidR="00110406" w:rsidRDefault="00110406" w:rsidP="004C09BE">
            <w:pPr>
              <w:ind w:left="0" w:right="597" w:firstLine="0"/>
              <w:jc w:val="center"/>
            </w:pPr>
            <w:r>
              <w:rPr>
                <w:b/>
              </w:rPr>
              <w:t>2024/25</w:t>
            </w:r>
          </w:p>
        </w:tc>
        <w:tc>
          <w:tcPr>
            <w:tcW w:w="1813" w:type="dxa"/>
          </w:tcPr>
          <w:p w14:paraId="4A0766FA" w14:textId="77777777" w:rsidR="00110406" w:rsidRDefault="00110406" w:rsidP="004C09BE">
            <w:pPr>
              <w:ind w:left="0" w:right="562" w:firstLine="0"/>
              <w:jc w:val="center"/>
            </w:pPr>
            <w:r>
              <w:rPr>
                <w:b/>
              </w:rPr>
              <w:t>2025/26</w:t>
            </w:r>
          </w:p>
        </w:tc>
        <w:tc>
          <w:tcPr>
            <w:tcW w:w="1813" w:type="dxa"/>
          </w:tcPr>
          <w:p w14:paraId="190652F9" w14:textId="77777777" w:rsidR="00110406" w:rsidRDefault="00110406" w:rsidP="004C09BE">
            <w:pPr>
              <w:ind w:left="0" w:right="534" w:firstLine="0"/>
              <w:jc w:val="center"/>
            </w:pPr>
            <w:r>
              <w:rPr>
                <w:b/>
              </w:rPr>
              <w:t xml:space="preserve">2026/27 </w:t>
            </w:r>
          </w:p>
        </w:tc>
      </w:tr>
      <w:tr w:rsidR="00110406" w14:paraId="069EB845" w14:textId="77777777" w:rsidTr="004C09BE">
        <w:tc>
          <w:tcPr>
            <w:tcW w:w="2537" w:type="dxa"/>
          </w:tcPr>
          <w:p w14:paraId="69E61D9F" w14:textId="77777777" w:rsidR="00110406" w:rsidRPr="001A53B4" w:rsidRDefault="00110406" w:rsidP="004C09BE">
            <w:pPr>
              <w:ind w:left="0" w:right="0" w:firstLine="0"/>
              <w:jc w:val="left"/>
              <w:rPr>
                <w:bCs/>
              </w:rPr>
            </w:pPr>
            <w:r>
              <w:rPr>
                <w:b/>
              </w:rPr>
              <w:t xml:space="preserve">Upper limit for fixed interest rate exposure </w:t>
            </w:r>
            <w:r>
              <w:t xml:space="preserve"> </w:t>
            </w:r>
          </w:p>
        </w:tc>
        <w:tc>
          <w:tcPr>
            <w:tcW w:w="1583" w:type="dxa"/>
          </w:tcPr>
          <w:p w14:paraId="3C0B3D45" w14:textId="77777777" w:rsidR="00110406" w:rsidRDefault="00110406" w:rsidP="004C09BE">
            <w:pPr>
              <w:ind w:left="0" w:right="58" w:firstLine="0"/>
            </w:pPr>
          </w:p>
        </w:tc>
        <w:tc>
          <w:tcPr>
            <w:tcW w:w="1813" w:type="dxa"/>
          </w:tcPr>
          <w:p w14:paraId="163A581C" w14:textId="77777777" w:rsidR="00110406" w:rsidRDefault="00110406" w:rsidP="004C09BE">
            <w:pPr>
              <w:ind w:left="0" w:right="30" w:firstLine="0"/>
            </w:pPr>
          </w:p>
        </w:tc>
        <w:tc>
          <w:tcPr>
            <w:tcW w:w="1813" w:type="dxa"/>
          </w:tcPr>
          <w:p w14:paraId="5752EE0E" w14:textId="77777777" w:rsidR="00110406" w:rsidRDefault="00110406" w:rsidP="004C09BE">
            <w:pPr>
              <w:ind w:left="0" w:right="137" w:firstLine="0"/>
            </w:pPr>
          </w:p>
        </w:tc>
        <w:tc>
          <w:tcPr>
            <w:tcW w:w="1813" w:type="dxa"/>
          </w:tcPr>
          <w:p w14:paraId="23837EA8" w14:textId="77777777" w:rsidR="00110406" w:rsidRDefault="00110406" w:rsidP="004C09BE">
            <w:pPr>
              <w:ind w:left="0" w:right="251" w:firstLine="0"/>
            </w:pPr>
          </w:p>
        </w:tc>
      </w:tr>
      <w:tr w:rsidR="00110406" w14:paraId="445ACF8C" w14:textId="77777777" w:rsidTr="004C09BE">
        <w:tc>
          <w:tcPr>
            <w:tcW w:w="2537" w:type="dxa"/>
          </w:tcPr>
          <w:p w14:paraId="120FDC40" w14:textId="77777777" w:rsidR="00110406" w:rsidRDefault="00110406" w:rsidP="004C09BE">
            <w:pPr>
              <w:ind w:left="0" w:firstLine="0"/>
              <w:jc w:val="left"/>
            </w:pPr>
            <w:r>
              <w:t xml:space="preserve">Upper limit of borrowing at fixed rates </w:t>
            </w:r>
          </w:p>
        </w:tc>
        <w:tc>
          <w:tcPr>
            <w:tcW w:w="1583" w:type="dxa"/>
          </w:tcPr>
          <w:p w14:paraId="05814B09" w14:textId="77777777" w:rsidR="00110406" w:rsidRDefault="00110406" w:rsidP="004C09BE">
            <w:pPr>
              <w:ind w:left="0" w:right="58" w:firstLine="0"/>
            </w:pPr>
            <w:r>
              <w:t>100%</w:t>
            </w:r>
          </w:p>
        </w:tc>
        <w:tc>
          <w:tcPr>
            <w:tcW w:w="1813" w:type="dxa"/>
          </w:tcPr>
          <w:p w14:paraId="4C284C32" w14:textId="77777777" w:rsidR="00110406" w:rsidRDefault="00110406" w:rsidP="004C09BE">
            <w:pPr>
              <w:ind w:left="0" w:right="30" w:firstLine="0"/>
            </w:pPr>
            <w:r>
              <w:t>100%</w:t>
            </w:r>
          </w:p>
        </w:tc>
        <w:tc>
          <w:tcPr>
            <w:tcW w:w="1813" w:type="dxa"/>
          </w:tcPr>
          <w:p w14:paraId="40FFEF48" w14:textId="77777777" w:rsidR="00110406" w:rsidRDefault="00110406" w:rsidP="004C09BE">
            <w:pPr>
              <w:ind w:left="0" w:right="137" w:firstLine="0"/>
            </w:pPr>
            <w:r>
              <w:t>100%</w:t>
            </w:r>
          </w:p>
        </w:tc>
        <w:tc>
          <w:tcPr>
            <w:tcW w:w="1813" w:type="dxa"/>
          </w:tcPr>
          <w:p w14:paraId="358B842F" w14:textId="77777777" w:rsidR="00110406" w:rsidRDefault="00110406" w:rsidP="004C09BE">
            <w:pPr>
              <w:ind w:left="0" w:right="251" w:firstLine="0"/>
            </w:pPr>
            <w:r>
              <w:t>100%</w:t>
            </w:r>
          </w:p>
        </w:tc>
      </w:tr>
      <w:tr w:rsidR="00110406" w14:paraId="396083CA" w14:textId="77777777" w:rsidTr="004C09BE">
        <w:tc>
          <w:tcPr>
            <w:tcW w:w="2537" w:type="dxa"/>
          </w:tcPr>
          <w:p w14:paraId="6AD90AD8" w14:textId="77777777" w:rsidR="00110406" w:rsidRDefault="00110406" w:rsidP="004C09BE">
            <w:pPr>
              <w:ind w:left="0" w:right="0" w:firstLine="0"/>
              <w:jc w:val="left"/>
            </w:pPr>
            <w:r>
              <w:t xml:space="preserve">Upper limit of investments at fixed rates  </w:t>
            </w:r>
          </w:p>
        </w:tc>
        <w:tc>
          <w:tcPr>
            <w:tcW w:w="1583" w:type="dxa"/>
          </w:tcPr>
          <w:p w14:paraId="2381EA45" w14:textId="77777777" w:rsidR="00110406" w:rsidRDefault="00110406" w:rsidP="004C09BE">
            <w:pPr>
              <w:ind w:left="0" w:right="58" w:firstLine="0"/>
            </w:pPr>
            <w:r>
              <w:t>100%</w:t>
            </w:r>
          </w:p>
        </w:tc>
        <w:tc>
          <w:tcPr>
            <w:tcW w:w="1813" w:type="dxa"/>
          </w:tcPr>
          <w:p w14:paraId="4A051ED3" w14:textId="77777777" w:rsidR="00110406" w:rsidRDefault="00110406" w:rsidP="004C09BE">
            <w:pPr>
              <w:ind w:left="0" w:right="30" w:firstLine="0"/>
            </w:pPr>
            <w:r>
              <w:t>100%</w:t>
            </w:r>
          </w:p>
        </w:tc>
        <w:tc>
          <w:tcPr>
            <w:tcW w:w="1813" w:type="dxa"/>
          </w:tcPr>
          <w:p w14:paraId="417C629D" w14:textId="77777777" w:rsidR="00110406" w:rsidRDefault="00110406" w:rsidP="004C09BE">
            <w:pPr>
              <w:ind w:left="0" w:right="137" w:firstLine="0"/>
            </w:pPr>
            <w:r>
              <w:t>100%</w:t>
            </w:r>
          </w:p>
        </w:tc>
        <w:tc>
          <w:tcPr>
            <w:tcW w:w="1813" w:type="dxa"/>
          </w:tcPr>
          <w:p w14:paraId="5BDFF255" w14:textId="77777777" w:rsidR="00110406" w:rsidRDefault="00110406" w:rsidP="004C09BE">
            <w:pPr>
              <w:ind w:left="0" w:right="251" w:firstLine="0"/>
            </w:pPr>
            <w:r>
              <w:t>100%</w:t>
            </w:r>
          </w:p>
        </w:tc>
      </w:tr>
      <w:bookmarkEnd w:id="2"/>
    </w:tbl>
    <w:p w14:paraId="46ACBF37" w14:textId="77777777" w:rsidR="00110406" w:rsidRDefault="00110406" w:rsidP="00110406">
      <w:pPr>
        <w:spacing w:after="0" w:line="259" w:lineRule="auto"/>
        <w:ind w:left="0" w:right="0" w:firstLine="0"/>
        <w:jc w:val="left"/>
      </w:pPr>
    </w:p>
    <w:tbl>
      <w:tblPr>
        <w:tblStyle w:val="TableGrid0"/>
        <w:tblW w:w="0" w:type="auto"/>
        <w:tblInd w:w="10" w:type="dxa"/>
        <w:tblLayout w:type="fixed"/>
        <w:tblLook w:val="04A0" w:firstRow="1" w:lastRow="0" w:firstColumn="1" w:lastColumn="0" w:noHBand="0" w:noVBand="1"/>
      </w:tblPr>
      <w:tblGrid>
        <w:gridCol w:w="2537"/>
        <w:gridCol w:w="1583"/>
        <w:gridCol w:w="1813"/>
        <w:gridCol w:w="1813"/>
        <w:gridCol w:w="1813"/>
      </w:tblGrid>
      <w:tr w:rsidR="00110406" w14:paraId="3362868D" w14:textId="77777777" w:rsidTr="004C09BE">
        <w:tc>
          <w:tcPr>
            <w:tcW w:w="2537" w:type="dxa"/>
          </w:tcPr>
          <w:p w14:paraId="6C306ADB" w14:textId="77777777" w:rsidR="00110406" w:rsidRDefault="00110406" w:rsidP="004C09BE">
            <w:pPr>
              <w:ind w:left="0" w:firstLine="0"/>
            </w:pPr>
          </w:p>
        </w:tc>
        <w:tc>
          <w:tcPr>
            <w:tcW w:w="1583" w:type="dxa"/>
          </w:tcPr>
          <w:p w14:paraId="18805783" w14:textId="77777777" w:rsidR="00110406" w:rsidRDefault="00110406" w:rsidP="004C09BE">
            <w:pPr>
              <w:ind w:left="0" w:right="483" w:firstLine="0"/>
              <w:jc w:val="center"/>
            </w:pPr>
            <w:r>
              <w:rPr>
                <w:b/>
              </w:rPr>
              <w:t>2023/24</w:t>
            </w:r>
          </w:p>
        </w:tc>
        <w:tc>
          <w:tcPr>
            <w:tcW w:w="1813" w:type="dxa"/>
          </w:tcPr>
          <w:p w14:paraId="0EA9EB20" w14:textId="77777777" w:rsidR="00110406" w:rsidRDefault="00110406" w:rsidP="004C09BE">
            <w:pPr>
              <w:ind w:left="0" w:right="597" w:firstLine="0"/>
              <w:jc w:val="center"/>
            </w:pPr>
            <w:r>
              <w:rPr>
                <w:b/>
              </w:rPr>
              <w:t>2024/25</w:t>
            </w:r>
          </w:p>
        </w:tc>
        <w:tc>
          <w:tcPr>
            <w:tcW w:w="1813" w:type="dxa"/>
          </w:tcPr>
          <w:p w14:paraId="27ADD663" w14:textId="77777777" w:rsidR="00110406" w:rsidRDefault="00110406" w:rsidP="004C09BE">
            <w:pPr>
              <w:ind w:left="0" w:right="562" w:firstLine="0"/>
              <w:jc w:val="center"/>
            </w:pPr>
            <w:r>
              <w:rPr>
                <w:b/>
              </w:rPr>
              <w:t>2025/26</w:t>
            </w:r>
          </w:p>
        </w:tc>
        <w:tc>
          <w:tcPr>
            <w:tcW w:w="1813" w:type="dxa"/>
          </w:tcPr>
          <w:p w14:paraId="53064A70" w14:textId="77777777" w:rsidR="00110406" w:rsidRDefault="00110406" w:rsidP="004C09BE">
            <w:pPr>
              <w:ind w:left="0" w:right="534" w:firstLine="0"/>
              <w:jc w:val="center"/>
            </w:pPr>
            <w:r>
              <w:rPr>
                <w:b/>
              </w:rPr>
              <w:t xml:space="preserve">2026/27 </w:t>
            </w:r>
          </w:p>
        </w:tc>
      </w:tr>
      <w:tr w:rsidR="00110406" w14:paraId="2572ED9A" w14:textId="77777777" w:rsidTr="004C09BE">
        <w:tc>
          <w:tcPr>
            <w:tcW w:w="2537" w:type="dxa"/>
          </w:tcPr>
          <w:p w14:paraId="65D09D39" w14:textId="77777777" w:rsidR="00110406" w:rsidRPr="001A53B4" w:rsidRDefault="00110406" w:rsidP="004C09BE">
            <w:pPr>
              <w:ind w:left="0" w:right="0" w:firstLine="0"/>
              <w:jc w:val="left"/>
              <w:rPr>
                <w:bCs/>
              </w:rPr>
            </w:pPr>
            <w:r>
              <w:rPr>
                <w:b/>
              </w:rPr>
              <w:t xml:space="preserve">Upper limit for variable rate exposure </w:t>
            </w:r>
            <w:r>
              <w:t xml:space="preserve"> </w:t>
            </w:r>
          </w:p>
        </w:tc>
        <w:tc>
          <w:tcPr>
            <w:tcW w:w="1583" w:type="dxa"/>
          </w:tcPr>
          <w:p w14:paraId="0F2C70EC" w14:textId="77777777" w:rsidR="00110406" w:rsidRDefault="00110406" w:rsidP="004C09BE">
            <w:pPr>
              <w:ind w:left="0" w:right="58" w:firstLine="0"/>
            </w:pPr>
          </w:p>
        </w:tc>
        <w:tc>
          <w:tcPr>
            <w:tcW w:w="1813" w:type="dxa"/>
          </w:tcPr>
          <w:p w14:paraId="36F4BFB6" w14:textId="77777777" w:rsidR="00110406" w:rsidRDefault="00110406" w:rsidP="004C09BE">
            <w:pPr>
              <w:ind w:left="0" w:right="30" w:firstLine="0"/>
            </w:pPr>
          </w:p>
        </w:tc>
        <w:tc>
          <w:tcPr>
            <w:tcW w:w="1813" w:type="dxa"/>
          </w:tcPr>
          <w:p w14:paraId="666B88E0" w14:textId="77777777" w:rsidR="00110406" w:rsidRDefault="00110406" w:rsidP="004C09BE">
            <w:pPr>
              <w:ind w:left="0" w:right="137" w:firstLine="0"/>
            </w:pPr>
          </w:p>
        </w:tc>
        <w:tc>
          <w:tcPr>
            <w:tcW w:w="1813" w:type="dxa"/>
          </w:tcPr>
          <w:p w14:paraId="466ED875" w14:textId="77777777" w:rsidR="00110406" w:rsidRDefault="00110406" w:rsidP="004C09BE">
            <w:pPr>
              <w:ind w:left="0" w:right="251" w:firstLine="0"/>
            </w:pPr>
          </w:p>
        </w:tc>
      </w:tr>
      <w:tr w:rsidR="00110406" w14:paraId="44FEC289" w14:textId="77777777" w:rsidTr="004C09BE">
        <w:tc>
          <w:tcPr>
            <w:tcW w:w="2537" w:type="dxa"/>
          </w:tcPr>
          <w:p w14:paraId="4511F267" w14:textId="77777777" w:rsidR="00110406" w:rsidRDefault="00110406" w:rsidP="004C09BE">
            <w:pPr>
              <w:ind w:left="0" w:firstLine="0"/>
              <w:jc w:val="left"/>
            </w:pPr>
            <w:r>
              <w:lastRenderedPageBreak/>
              <w:t xml:space="preserve">Upper limit of borrowing at fixed rates </w:t>
            </w:r>
          </w:p>
        </w:tc>
        <w:tc>
          <w:tcPr>
            <w:tcW w:w="1583" w:type="dxa"/>
          </w:tcPr>
          <w:p w14:paraId="5C8D41DE" w14:textId="77777777" w:rsidR="00110406" w:rsidRDefault="00110406" w:rsidP="004C09BE">
            <w:pPr>
              <w:ind w:left="0" w:right="58" w:firstLine="0"/>
            </w:pPr>
            <w:r>
              <w:t>50%</w:t>
            </w:r>
          </w:p>
        </w:tc>
        <w:tc>
          <w:tcPr>
            <w:tcW w:w="1813" w:type="dxa"/>
          </w:tcPr>
          <w:p w14:paraId="3224C36E" w14:textId="77777777" w:rsidR="00110406" w:rsidRDefault="00110406" w:rsidP="004C09BE">
            <w:pPr>
              <w:ind w:left="0" w:right="30" w:firstLine="0"/>
            </w:pPr>
            <w:r>
              <w:t>50%</w:t>
            </w:r>
          </w:p>
        </w:tc>
        <w:tc>
          <w:tcPr>
            <w:tcW w:w="1813" w:type="dxa"/>
          </w:tcPr>
          <w:p w14:paraId="476A2E60" w14:textId="77777777" w:rsidR="00110406" w:rsidRDefault="00110406" w:rsidP="004C09BE">
            <w:pPr>
              <w:ind w:left="0" w:right="137" w:firstLine="0"/>
            </w:pPr>
            <w:r>
              <w:t>50%</w:t>
            </w:r>
          </w:p>
        </w:tc>
        <w:tc>
          <w:tcPr>
            <w:tcW w:w="1813" w:type="dxa"/>
          </w:tcPr>
          <w:p w14:paraId="4F81E36E" w14:textId="77777777" w:rsidR="00110406" w:rsidRDefault="00110406" w:rsidP="004C09BE">
            <w:pPr>
              <w:ind w:left="0" w:right="251" w:firstLine="0"/>
            </w:pPr>
            <w:r>
              <w:t>50%</w:t>
            </w:r>
          </w:p>
        </w:tc>
      </w:tr>
      <w:tr w:rsidR="00110406" w14:paraId="5381C31B" w14:textId="77777777" w:rsidTr="004C09BE">
        <w:tc>
          <w:tcPr>
            <w:tcW w:w="2537" w:type="dxa"/>
          </w:tcPr>
          <w:p w14:paraId="7C79D7DC" w14:textId="77777777" w:rsidR="00110406" w:rsidRDefault="00110406" w:rsidP="004C09BE">
            <w:pPr>
              <w:ind w:left="0" w:right="0" w:firstLine="0"/>
              <w:jc w:val="left"/>
            </w:pPr>
            <w:r>
              <w:t xml:space="preserve">Upper limit of investments at fixed rates  </w:t>
            </w:r>
          </w:p>
        </w:tc>
        <w:tc>
          <w:tcPr>
            <w:tcW w:w="1583" w:type="dxa"/>
          </w:tcPr>
          <w:p w14:paraId="695B07CF" w14:textId="77777777" w:rsidR="00110406" w:rsidRDefault="00110406" w:rsidP="004C09BE">
            <w:pPr>
              <w:ind w:left="0" w:right="58" w:firstLine="0"/>
            </w:pPr>
            <w:r>
              <w:t>100%</w:t>
            </w:r>
          </w:p>
        </w:tc>
        <w:tc>
          <w:tcPr>
            <w:tcW w:w="1813" w:type="dxa"/>
          </w:tcPr>
          <w:p w14:paraId="644777D3" w14:textId="77777777" w:rsidR="00110406" w:rsidRDefault="00110406" w:rsidP="004C09BE">
            <w:pPr>
              <w:ind w:left="0" w:right="30" w:firstLine="0"/>
            </w:pPr>
            <w:r>
              <w:t>100%</w:t>
            </w:r>
          </w:p>
        </w:tc>
        <w:tc>
          <w:tcPr>
            <w:tcW w:w="1813" w:type="dxa"/>
          </w:tcPr>
          <w:p w14:paraId="24CCBB83" w14:textId="77777777" w:rsidR="00110406" w:rsidRDefault="00110406" w:rsidP="004C09BE">
            <w:pPr>
              <w:ind w:left="0" w:right="137" w:firstLine="0"/>
            </w:pPr>
            <w:r>
              <w:t>100%</w:t>
            </w:r>
          </w:p>
        </w:tc>
        <w:tc>
          <w:tcPr>
            <w:tcW w:w="1813" w:type="dxa"/>
          </w:tcPr>
          <w:p w14:paraId="5D424C9B" w14:textId="77777777" w:rsidR="00110406" w:rsidRDefault="00110406" w:rsidP="004C09BE">
            <w:pPr>
              <w:ind w:left="0" w:right="251" w:firstLine="0"/>
            </w:pPr>
            <w:r>
              <w:t>100%</w:t>
            </w:r>
          </w:p>
        </w:tc>
      </w:tr>
    </w:tbl>
    <w:p w14:paraId="3426B2C2" w14:textId="77777777" w:rsidR="00110406" w:rsidRDefault="00110406" w:rsidP="00110406">
      <w:pPr>
        <w:spacing w:after="0" w:line="259" w:lineRule="auto"/>
        <w:ind w:left="0" w:right="0" w:firstLine="0"/>
        <w:jc w:val="left"/>
      </w:pPr>
    </w:p>
    <w:tbl>
      <w:tblPr>
        <w:tblStyle w:val="TableGrid0"/>
        <w:tblW w:w="0" w:type="auto"/>
        <w:tblInd w:w="-5" w:type="dxa"/>
        <w:tblLayout w:type="fixed"/>
        <w:tblLook w:val="04A0" w:firstRow="1" w:lastRow="0" w:firstColumn="1" w:lastColumn="0" w:noHBand="0" w:noVBand="1"/>
      </w:tblPr>
      <w:tblGrid>
        <w:gridCol w:w="2660"/>
        <w:gridCol w:w="1583"/>
        <w:gridCol w:w="1813"/>
        <w:gridCol w:w="1813"/>
        <w:gridCol w:w="1813"/>
      </w:tblGrid>
      <w:tr w:rsidR="00110406" w14:paraId="7DE729C1" w14:textId="77777777" w:rsidTr="001D69CB">
        <w:tc>
          <w:tcPr>
            <w:tcW w:w="2660" w:type="dxa"/>
          </w:tcPr>
          <w:p w14:paraId="4BA48F0C" w14:textId="77777777" w:rsidR="00110406" w:rsidRDefault="00110406" w:rsidP="004C09BE">
            <w:pPr>
              <w:ind w:left="0" w:firstLine="0"/>
            </w:pPr>
          </w:p>
        </w:tc>
        <w:tc>
          <w:tcPr>
            <w:tcW w:w="1583" w:type="dxa"/>
          </w:tcPr>
          <w:p w14:paraId="03109FA5" w14:textId="77777777" w:rsidR="00110406" w:rsidRDefault="00110406" w:rsidP="004C09BE">
            <w:pPr>
              <w:ind w:left="0" w:right="483" w:firstLine="0"/>
              <w:jc w:val="center"/>
            </w:pPr>
            <w:r>
              <w:rPr>
                <w:b/>
              </w:rPr>
              <w:t xml:space="preserve">2023/24 </w:t>
            </w:r>
            <w:r>
              <w:t>£m</w:t>
            </w:r>
          </w:p>
        </w:tc>
        <w:tc>
          <w:tcPr>
            <w:tcW w:w="1813" w:type="dxa"/>
          </w:tcPr>
          <w:p w14:paraId="2FC94014" w14:textId="77777777" w:rsidR="00110406" w:rsidRDefault="00110406" w:rsidP="004C09BE">
            <w:pPr>
              <w:ind w:left="0" w:right="597" w:firstLine="0"/>
              <w:jc w:val="center"/>
            </w:pPr>
            <w:r>
              <w:rPr>
                <w:b/>
              </w:rPr>
              <w:t xml:space="preserve">2024/25 </w:t>
            </w:r>
            <w:r>
              <w:t>£m</w:t>
            </w:r>
          </w:p>
        </w:tc>
        <w:tc>
          <w:tcPr>
            <w:tcW w:w="1813" w:type="dxa"/>
          </w:tcPr>
          <w:p w14:paraId="56AC0F84" w14:textId="77777777" w:rsidR="00110406" w:rsidRDefault="00110406" w:rsidP="004C09BE">
            <w:pPr>
              <w:ind w:left="0" w:right="562" w:firstLine="0"/>
              <w:jc w:val="center"/>
              <w:rPr>
                <w:b/>
              </w:rPr>
            </w:pPr>
            <w:r>
              <w:rPr>
                <w:b/>
              </w:rPr>
              <w:t>2025/26</w:t>
            </w:r>
          </w:p>
          <w:p w14:paraId="21DC1A0A" w14:textId="77777777" w:rsidR="00110406" w:rsidRDefault="00110406" w:rsidP="004C09BE">
            <w:pPr>
              <w:ind w:left="0" w:right="562" w:firstLine="0"/>
              <w:jc w:val="center"/>
            </w:pPr>
            <w:r>
              <w:t>£m</w:t>
            </w:r>
          </w:p>
        </w:tc>
        <w:tc>
          <w:tcPr>
            <w:tcW w:w="1813" w:type="dxa"/>
          </w:tcPr>
          <w:p w14:paraId="13DFB85E" w14:textId="77777777" w:rsidR="00110406" w:rsidRDefault="00110406" w:rsidP="004C09BE">
            <w:pPr>
              <w:ind w:left="0" w:right="534" w:firstLine="0"/>
              <w:jc w:val="center"/>
              <w:rPr>
                <w:b/>
              </w:rPr>
            </w:pPr>
            <w:r>
              <w:rPr>
                <w:b/>
              </w:rPr>
              <w:t>2026/27</w:t>
            </w:r>
          </w:p>
          <w:p w14:paraId="08B0B39C" w14:textId="77777777" w:rsidR="00110406" w:rsidRDefault="00110406" w:rsidP="004C09BE">
            <w:pPr>
              <w:ind w:left="0" w:right="534" w:firstLine="0"/>
              <w:jc w:val="center"/>
            </w:pPr>
            <w:r>
              <w:t>£m</w:t>
            </w:r>
          </w:p>
        </w:tc>
      </w:tr>
      <w:tr w:rsidR="00110406" w14:paraId="67A0C471" w14:textId="77777777" w:rsidTr="001D69CB">
        <w:tc>
          <w:tcPr>
            <w:tcW w:w="2660" w:type="dxa"/>
          </w:tcPr>
          <w:p w14:paraId="2839D943" w14:textId="77777777" w:rsidR="00110406" w:rsidRPr="001A53B4" w:rsidRDefault="00110406" w:rsidP="004C09BE">
            <w:pPr>
              <w:ind w:left="0" w:right="0" w:firstLine="0"/>
              <w:jc w:val="left"/>
              <w:rPr>
                <w:bCs/>
              </w:rPr>
            </w:pPr>
            <w:r>
              <w:rPr>
                <w:b/>
              </w:rPr>
              <w:t xml:space="preserve">Upper limit for total principal sums invested for over 364 days (per maturity date)  </w:t>
            </w:r>
          </w:p>
        </w:tc>
        <w:tc>
          <w:tcPr>
            <w:tcW w:w="1583" w:type="dxa"/>
          </w:tcPr>
          <w:p w14:paraId="4E509477" w14:textId="77777777" w:rsidR="00110406" w:rsidRDefault="00110406" w:rsidP="004C09BE">
            <w:pPr>
              <w:ind w:left="0" w:right="58" w:firstLine="0"/>
              <w:jc w:val="center"/>
            </w:pPr>
            <w:r>
              <w:t>25.000</w:t>
            </w:r>
          </w:p>
        </w:tc>
        <w:tc>
          <w:tcPr>
            <w:tcW w:w="1813" w:type="dxa"/>
          </w:tcPr>
          <w:p w14:paraId="045C6AC2" w14:textId="77777777" w:rsidR="00110406" w:rsidRDefault="00110406" w:rsidP="004C09BE">
            <w:pPr>
              <w:ind w:left="0" w:right="30" w:firstLine="0"/>
              <w:jc w:val="center"/>
            </w:pPr>
            <w:r>
              <w:t>25.000</w:t>
            </w:r>
          </w:p>
        </w:tc>
        <w:tc>
          <w:tcPr>
            <w:tcW w:w="1813" w:type="dxa"/>
          </w:tcPr>
          <w:p w14:paraId="68783990" w14:textId="77777777" w:rsidR="00110406" w:rsidRDefault="00110406" w:rsidP="004C09BE">
            <w:pPr>
              <w:ind w:left="0" w:right="137" w:firstLine="0"/>
              <w:jc w:val="center"/>
            </w:pPr>
            <w:r>
              <w:t>25.000</w:t>
            </w:r>
          </w:p>
        </w:tc>
        <w:tc>
          <w:tcPr>
            <w:tcW w:w="1813" w:type="dxa"/>
          </w:tcPr>
          <w:p w14:paraId="67454624" w14:textId="77777777" w:rsidR="00110406" w:rsidRDefault="00110406" w:rsidP="004C09BE">
            <w:pPr>
              <w:ind w:left="0" w:right="251" w:firstLine="0"/>
              <w:jc w:val="center"/>
            </w:pPr>
            <w:r>
              <w:t>25.000</w:t>
            </w:r>
          </w:p>
        </w:tc>
      </w:tr>
    </w:tbl>
    <w:tbl>
      <w:tblPr>
        <w:tblStyle w:val="TableGrid"/>
        <w:tblW w:w="9574" w:type="dxa"/>
        <w:tblInd w:w="30" w:type="dxa"/>
        <w:tblCellMar>
          <w:top w:w="0" w:type="dxa"/>
          <w:left w:w="0" w:type="dxa"/>
          <w:bottom w:w="0" w:type="dxa"/>
          <w:right w:w="0" w:type="dxa"/>
        </w:tblCellMar>
        <w:tblLook w:val="04A0" w:firstRow="1" w:lastRow="0" w:firstColumn="1" w:lastColumn="0" w:noHBand="0" w:noVBand="1"/>
      </w:tblPr>
      <w:tblGrid>
        <w:gridCol w:w="7772"/>
        <w:gridCol w:w="233"/>
        <w:gridCol w:w="646"/>
        <w:gridCol w:w="355"/>
        <w:gridCol w:w="568"/>
      </w:tblGrid>
      <w:tr w:rsidR="00110406" w14:paraId="67E0055A" w14:textId="77777777" w:rsidTr="004C09BE">
        <w:trPr>
          <w:trHeight w:val="406"/>
        </w:trPr>
        <w:tc>
          <w:tcPr>
            <w:tcW w:w="7772" w:type="dxa"/>
            <w:tcBorders>
              <w:top w:val="nil"/>
              <w:left w:val="nil"/>
              <w:bottom w:val="nil"/>
              <w:right w:val="nil"/>
            </w:tcBorders>
            <w:vAlign w:val="bottom"/>
          </w:tcPr>
          <w:p w14:paraId="1D9D1C70" w14:textId="77777777" w:rsidR="00110406" w:rsidRDefault="00110406" w:rsidP="004C09BE">
            <w:pPr>
              <w:spacing w:after="0" w:line="259" w:lineRule="auto"/>
              <w:ind w:left="0" w:right="0" w:firstLine="0"/>
              <w:jc w:val="left"/>
            </w:pPr>
            <w:r>
              <w:t xml:space="preserve"> </w:t>
            </w:r>
          </w:p>
          <w:tbl>
            <w:tblPr>
              <w:tblStyle w:val="TableGrid0"/>
              <w:tblW w:w="7762" w:type="dxa"/>
              <w:tblLook w:val="04A0" w:firstRow="1" w:lastRow="0" w:firstColumn="1" w:lastColumn="0" w:noHBand="0" w:noVBand="1"/>
            </w:tblPr>
            <w:tblGrid>
              <w:gridCol w:w="3793"/>
              <w:gridCol w:w="1842"/>
              <w:gridCol w:w="2127"/>
            </w:tblGrid>
            <w:tr w:rsidR="00110406" w14:paraId="4C40AF43" w14:textId="77777777" w:rsidTr="004C09BE">
              <w:tc>
                <w:tcPr>
                  <w:tcW w:w="3793" w:type="dxa"/>
                </w:tcPr>
                <w:p w14:paraId="2F58B20E" w14:textId="77777777" w:rsidR="00110406" w:rsidRDefault="00110406" w:rsidP="004C09BE">
                  <w:pPr>
                    <w:spacing w:after="0" w:line="259" w:lineRule="auto"/>
                    <w:ind w:left="0" w:right="0" w:firstLine="0"/>
                    <w:jc w:val="left"/>
                  </w:pPr>
                  <w:r w:rsidRPr="009D33E8">
                    <w:rPr>
                      <w:b/>
                    </w:rPr>
                    <w:t xml:space="preserve">Maturity structure of Debt </w:t>
                  </w:r>
                  <w:r w:rsidRPr="009D33E8">
                    <w:t xml:space="preserve"> </w:t>
                  </w:r>
                </w:p>
              </w:tc>
              <w:tc>
                <w:tcPr>
                  <w:tcW w:w="1842" w:type="dxa"/>
                </w:tcPr>
                <w:p w14:paraId="78B393DB" w14:textId="77777777" w:rsidR="00110406" w:rsidRDefault="00110406" w:rsidP="004C09BE">
                  <w:pPr>
                    <w:spacing w:after="0" w:line="259" w:lineRule="auto"/>
                    <w:ind w:left="0" w:right="0" w:firstLine="0"/>
                    <w:jc w:val="left"/>
                  </w:pPr>
                  <w:r>
                    <w:rPr>
                      <w:b/>
                    </w:rPr>
                    <w:t>Upper Limit %</w:t>
                  </w:r>
                </w:p>
              </w:tc>
              <w:tc>
                <w:tcPr>
                  <w:tcW w:w="2127" w:type="dxa"/>
                </w:tcPr>
                <w:p w14:paraId="1C3C316C" w14:textId="77777777" w:rsidR="00110406" w:rsidRDefault="00110406" w:rsidP="004C09BE">
                  <w:pPr>
                    <w:spacing w:after="0" w:line="259" w:lineRule="auto"/>
                    <w:ind w:left="0" w:right="0" w:firstLine="0"/>
                    <w:jc w:val="left"/>
                  </w:pPr>
                  <w:r w:rsidRPr="009D33E8">
                    <w:rPr>
                      <w:b/>
                    </w:rPr>
                    <w:t>Lower Limit %</w:t>
                  </w:r>
                </w:p>
              </w:tc>
            </w:tr>
            <w:tr w:rsidR="00110406" w14:paraId="21D0F012" w14:textId="77777777" w:rsidTr="004C09BE">
              <w:tc>
                <w:tcPr>
                  <w:tcW w:w="3793" w:type="dxa"/>
                </w:tcPr>
                <w:p w14:paraId="68906B90" w14:textId="77777777" w:rsidR="00110406" w:rsidRDefault="00110406" w:rsidP="004C09BE">
                  <w:pPr>
                    <w:spacing w:after="0" w:line="259" w:lineRule="auto"/>
                    <w:ind w:left="0" w:right="0" w:firstLine="0"/>
                    <w:jc w:val="left"/>
                  </w:pPr>
                  <w:r>
                    <w:t xml:space="preserve">Under 12 months  </w:t>
                  </w:r>
                </w:p>
              </w:tc>
              <w:tc>
                <w:tcPr>
                  <w:tcW w:w="1842" w:type="dxa"/>
                </w:tcPr>
                <w:p w14:paraId="077B656F" w14:textId="77777777" w:rsidR="00110406" w:rsidRDefault="00110406" w:rsidP="004C09BE">
                  <w:pPr>
                    <w:spacing w:after="0" w:line="259" w:lineRule="auto"/>
                    <w:ind w:left="0" w:right="0" w:firstLine="0"/>
                    <w:jc w:val="left"/>
                  </w:pPr>
                  <w:r>
                    <w:t>100</w:t>
                  </w:r>
                </w:p>
              </w:tc>
              <w:tc>
                <w:tcPr>
                  <w:tcW w:w="2127" w:type="dxa"/>
                </w:tcPr>
                <w:p w14:paraId="23EEF8F1" w14:textId="77777777" w:rsidR="00110406" w:rsidRDefault="00110406" w:rsidP="004C09BE">
                  <w:pPr>
                    <w:spacing w:after="0" w:line="259" w:lineRule="auto"/>
                    <w:ind w:left="0" w:right="0" w:firstLine="0"/>
                    <w:jc w:val="left"/>
                  </w:pPr>
                  <w:r>
                    <w:t>-</w:t>
                  </w:r>
                </w:p>
              </w:tc>
            </w:tr>
            <w:tr w:rsidR="00110406" w14:paraId="0513731A" w14:textId="77777777" w:rsidTr="004C09BE">
              <w:tc>
                <w:tcPr>
                  <w:tcW w:w="3793" w:type="dxa"/>
                </w:tcPr>
                <w:p w14:paraId="6796B70E" w14:textId="77777777" w:rsidR="00110406" w:rsidRDefault="00110406" w:rsidP="004C09BE">
                  <w:pPr>
                    <w:spacing w:after="0" w:line="259" w:lineRule="auto"/>
                    <w:ind w:left="0" w:right="0" w:firstLine="0"/>
                    <w:jc w:val="left"/>
                  </w:pPr>
                  <w:r>
                    <w:t xml:space="preserve">12 months and within 24 months  </w:t>
                  </w:r>
                </w:p>
              </w:tc>
              <w:tc>
                <w:tcPr>
                  <w:tcW w:w="1842" w:type="dxa"/>
                </w:tcPr>
                <w:p w14:paraId="1BF99018" w14:textId="77777777" w:rsidR="00110406" w:rsidRDefault="00110406" w:rsidP="004C09BE">
                  <w:pPr>
                    <w:spacing w:after="0" w:line="259" w:lineRule="auto"/>
                    <w:ind w:left="0" w:right="0" w:firstLine="0"/>
                    <w:jc w:val="left"/>
                  </w:pPr>
                  <w:r>
                    <w:t>50</w:t>
                  </w:r>
                </w:p>
              </w:tc>
              <w:tc>
                <w:tcPr>
                  <w:tcW w:w="2127" w:type="dxa"/>
                </w:tcPr>
                <w:p w14:paraId="5019B3CC" w14:textId="77777777" w:rsidR="00110406" w:rsidRDefault="00110406" w:rsidP="004C09BE">
                  <w:pPr>
                    <w:spacing w:after="0" w:line="259" w:lineRule="auto"/>
                    <w:ind w:left="0" w:right="0" w:firstLine="0"/>
                    <w:jc w:val="left"/>
                  </w:pPr>
                  <w:r>
                    <w:t>-</w:t>
                  </w:r>
                </w:p>
              </w:tc>
            </w:tr>
            <w:tr w:rsidR="00110406" w14:paraId="45969AD3" w14:textId="77777777" w:rsidTr="004C09BE">
              <w:tc>
                <w:tcPr>
                  <w:tcW w:w="3793" w:type="dxa"/>
                </w:tcPr>
                <w:p w14:paraId="563365B1" w14:textId="77777777" w:rsidR="00110406" w:rsidRDefault="00110406" w:rsidP="004C09BE">
                  <w:pPr>
                    <w:spacing w:after="0" w:line="259" w:lineRule="auto"/>
                    <w:ind w:left="0" w:right="0" w:firstLine="0"/>
                    <w:jc w:val="left"/>
                  </w:pPr>
                  <w:r>
                    <w:t xml:space="preserve">24 months and within 5 years  </w:t>
                  </w:r>
                </w:p>
              </w:tc>
              <w:tc>
                <w:tcPr>
                  <w:tcW w:w="1842" w:type="dxa"/>
                </w:tcPr>
                <w:p w14:paraId="0CD10874" w14:textId="77777777" w:rsidR="00110406" w:rsidRDefault="00110406" w:rsidP="004C09BE">
                  <w:pPr>
                    <w:spacing w:after="0" w:line="259" w:lineRule="auto"/>
                    <w:ind w:left="0" w:right="0" w:firstLine="0"/>
                    <w:jc w:val="left"/>
                  </w:pPr>
                  <w:r>
                    <w:t>50</w:t>
                  </w:r>
                </w:p>
              </w:tc>
              <w:tc>
                <w:tcPr>
                  <w:tcW w:w="2127" w:type="dxa"/>
                </w:tcPr>
                <w:p w14:paraId="4A3DF2C0" w14:textId="77777777" w:rsidR="00110406" w:rsidRDefault="00110406" w:rsidP="004C09BE">
                  <w:pPr>
                    <w:spacing w:after="0" w:line="259" w:lineRule="auto"/>
                    <w:ind w:left="0" w:right="0" w:firstLine="0"/>
                    <w:jc w:val="left"/>
                  </w:pPr>
                  <w:r>
                    <w:t>-</w:t>
                  </w:r>
                </w:p>
              </w:tc>
            </w:tr>
            <w:tr w:rsidR="00110406" w14:paraId="1C77E2D9" w14:textId="77777777" w:rsidTr="004C09BE">
              <w:tc>
                <w:tcPr>
                  <w:tcW w:w="3793" w:type="dxa"/>
                </w:tcPr>
                <w:p w14:paraId="3DBE59C8" w14:textId="77777777" w:rsidR="00110406" w:rsidRDefault="00110406" w:rsidP="004C09BE">
                  <w:pPr>
                    <w:spacing w:after="0" w:line="259" w:lineRule="auto"/>
                    <w:ind w:left="0" w:right="0" w:firstLine="0"/>
                    <w:jc w:val="left"/>
                  </w:pPr>
                  <w:r>
                    <w:t xml:space="preserve">5 years and within 10 years  </w:t>
                  </w:r>
                </w:p>
              </w:tc>
              <w:tc>
                <w:tcPr>
                  <w:tcW w:w="1842" w:type="dxa"/>
                </w:tcPr>
                <w:p w14:paraId="4A873249" w14:textId="77777777" w:rsidR="00110406" w:rsidRDefault="00110406" w:rsidP="004C09BE">
                  <w:pPr>
                    <w:spacing w:after="0" w:line="259" w:lineRule="auto"/>
                    <w:ind w:left="0" w:right="0" w:firstLine="0"/>
                    <w:jc w:val="left"/>
                  </w:pPr>
                  <w:r>
                    <w:t>75</w:t>
                  </w:r>
                </w:p>
              </w:tc>
              <w:tc>
                <w:tcPr>
                  <w:tcW w:w="2127" w:type="dxa"/>
                </w:tcPr>
                <w:p w14:paraId="3FA0F230" w14:textId="77777777" w:rsidR="00110406" w:rsidRDefault="00110406" w:rsidP="004C09BE">
                  <w:pPr>
                    <w:spacing w:after="0" w:line="259" w:lineRule="auto"/>
                    <w:ind w:left="0" w:right="0" w:firstLine="0"/>
                    <w:jc w:val="left"/>
                  </w:pPr>
                  <w:r>
                    <w:t>-</w:t>
                  </w:r>
                </w:p>
              </w:tc>
            </w:tr>
            <w:tr w:rsidR="00110406" w14:paraId="37C429E4" w14:textId="77777777" w:rsidTr="004C09BE">
              <w:tc>
                <w:tcPr>
                  <w:tcW w:w="3793" w:type="dxa"/>
                </w:tcPr>
                <w:p w14:paraId="3E465648" w14:textId="77777777" w:rsidR="00110406" w:rsidRDefault="00110406" w:rsidP="004C09BE">
                  <w:pPr>
                    <w:spacing w:after="0" w:line="259" w:lineRule="auto"/>
                    <w:ind w:left="0" w:right="0" w:firstLine="0"/>
                    <w:jc w:val="left"/>
                  </w:pPr>
                  <w:r>
                    <w:t xml:space="preserve">10 years and above  </w:t>
                  </w:r>
                </w:p>
              </w:tc>
              <w:tc>
                <w:tcPr>
                  <w:tcW w:w="1842" w:type="dxa"/>
                </w:tcPr>
                <w:p w14:paraId="2B68CB85" w14:textId="77777777" w:rsidR="00110406" w:rsidRDefault="00110406" w:rsidP="004C09BE">
                  <w:pPr>
                    <w:spacing w:after="0" w:line="259" w:lineRule="auto"/>
                    <w:ind w:left="0" w:right="0" w:firstLine="0"/>
                    <w:jc w:val="left"/>
                  </w:pPr>
                  <w:r>
                    <w:t>100</w:t>
                  </w:r>
                </w:p>
              </w:tc>
              <w:tc>
                <w:tcPr>
                  <w:tcW w:w="2127" w:type="dxa"/>
                </w:tcPr>
                <w:p w14:paraId="6E546C1B" w14:textId="77777777" w:rsidR="00110406" w:rsidRDefault="00110406" w:rsidP="004C09BE">
                  <w:pPr>
                    <w:spacing w:after="0" w:line="259" w:lineRule="auto"/>
                    <w:ind w:left="0" w:right="0" w:firstLine="0"/>
                    <w:jc w:val="left"/>
                  </w:pPr>
                  <w:r>
                    <w:t>-</w:t>
                  </w:r>
                </w:p>
              </w:tc>
            </w:tr>
          </w:tbl>
          <w:p w14:paraId="7B87E0D3" w14:textId="77777777" w:rsidR="00110406" w:rsidRDefault="00110406" w:rsidP="004C09BE">
            <w:pPr>
              <w:spacing w:after="0" w:line="259" w:lineRule="auto"/>
              <w:ind w:left="0" w:right="0" w:firstLine="0"/>
              <w:jc w:val="left"/>
            </w:pPr>
          </w:p>
        </w:tc>
        <w:tc>
          <w:tcPr>
            <w:tcW w:w="233" w:type="dxa"/>
            <w:tcBorders>
              <w:top w:val="nil"/>
              <w:left w:val="nil"/>
              <w:bottom w:val="nil"/>
              <w:right w:val="nil"/>
            </w:tcBorders>
            <w:vAlign w:val="bottom"/>
          </w:tcPr>
          <w:p w14:paraId="26C8E60E" w14:textId="77777777" w:rsidR="00110406" w:rsidRDefault="00110406" w:rsidP="004C09BE">
            <w:pPr>
              <w:spacing w:after="0" w:line="259" w:lineRule="auto"/>
              <w:ind w:left="0" w:right="159" w:firstLine="0"/>
              <w:jc w:val="center"/>
            </w:pPr>
            <w:r>
              <w:t xml:space="preserve"> </w:t>
            </w:r>
          </w:p>
        </w:tc>
        <w:tc>
          <w:tcPr>
            <w:tcW w:w="646" w:type="dxa"/>
            <w:tcBorders>
              <w:top w:val="nil"/>
              <w:left w:val="nil"/>
              <w:bottom w:val="nil"/>
              <w:right w:val="nil"/>
            </w:tcBorders>
            <w:vAlign w:val="bottom"/>
          </w:tcPr>
          <w:p w14:paraId="042E740B" w14:textId="77777777" w:rsidR="00110406" w:rsidRDefault="00110406" w:rsidP="004C09BE">
            <w:pPr>
              <w:spacing w:after="0" w:line="259" w:lineRule="auto"/>
              <w:ind w:left="525" w:right="0" w:firstLine="0"/>
              <w:jc w:val="left"/>
            </w:pPr>
            <w:r>
              <w:t xml:space="preserve"> </w:t>
            </w:r>
          </w:p>
        </w:tc>
        <w:tc>
          <w:tcPr>
            <w:tcW w:w="355" w:type="dxa"/>
            <w:tcBorders>
              <w:top w:val="nil"/>
              <w:left w:val="nil"/>
              <w:bottom w:val="nil"/>
              <w:right w:val="nil"/>
            </w:tcBorders>
            <w:vAlign w:val="bottom"/>
          </w:tcPr>
          <w:p w14:paraId="05266C04" w14:textId="77777777" w:rsidR="00110406" w:rsidRDefault="00110406" w:rsidP="004C09BE">
            <w:pPr>
              <w:spacing w:after="0" w:line="259" w:lineRule="auto"/>
              <w:ind w:left="0" w:right="54" w:firstLine="0"/>
              <w:jc w:val="center"/>
            </w:pPr>
            <w:r>
              <w:t xml:space="preserve"> </w:t>
            </w:r>
          </w:p>
        </w:tc>
        <w:tc>
          <w:tcPr>
            <w:tcW w:w="568" w:type="dxa"/>
            <w:tcBorders>
              <w:top w:val="nil"/>
              <w:left w:val="nil"/>
              <w:bottom w:val="nil"/>
              <w:right w:val="nil"/>
            </w:tcBorders>
            <w:vAlign w:val="bottom"/>
          </w:tcPr>
          <w:p w14:paraId="2E0A9AC3" w14:textId="77777777" w:rsidR="00110406" w:rsidRDefault="00110406" w:rsidP="004C09BE">
            <w:pPr>
              <w:spacing w:after="0" w:line="259" w:lineRule="auto"/>
              <w:ind w:left="375" w:right="0" w:firstLine="0"/>
              <w:jc w:val="left"/>
            </w:pPr>
            <w:r>
              <w:t xml:space="preserve"> </w:t>
            </w:r>
          </w:p>
        </w:tc>
      </w:tr>
    </w:tbl>
    <w:p w14:paraId="183A37B9" w14:textId="77777777" w:rsidR="00110406" w:rsidRDefault="00110406" w:rsidP="00110406">
      <w:pPr>
        <w:spacing w:after="2" w:line="259" w:lineRule="auto"/>
        <w:ind w:left="30" w:right="0" w:firstLine="0"/>
        <w:jc w:val="left"/>
      </w:pPr>
      <w:r>
        <w:rPr>
          <w:b/>
        </w:rPr>
        <w:t xml:space="preserve"> </w:t>
      </w:r>
    </w:p>
    <w:p w14:paraId="0C786883" w14:textId="7D04EE04" w:rsidR="00110406" w:rsidRDefault="00110406" w:rsidP="00110406">
      <w:pPr>
        <w:pStyle w:val="Heading1"/>
        <w:spacing w:after="8"/>
        <w:ind w:left="25"/>
      </w:pPr>
      <w:r>
        <w:t xml:space="preserve">Estimated Capital Expenditure                           </w:t>
      </w:r>
      <w:r>
        <w:rPr>
          <w:b w:val="0"/>
        </w:rPr>
        <w:t xml:space="preserve"> </w:t>
      </w:r>
    </w:p>
    <w:p w14:paraId="024E14D4" w14:textId="77777777" w:rsidR="00110406" w:rsidRDefault="00110406" w:rsidP="00110406">
      <w:pPr>
        <w:spacing w:after="0" w:line="259" w:lineRule="auto"/>
        <w:ind w:left="0" w:right="0" w:firstLine="0"/>
        <w:jc w:val="left"/>
      </w:pPr>
      <w:r>
        <w:t xml:space="preserve"> </w:t>
      </w:r>
    </w:p>
    <w:tbl>
      <w:tblPr>
        <w:tblStyle w:val="TableGrid"/>
        <w:tblW w:w="7629" w:type="dxa"/>
        <w:tblInd w:w="-8" w:type="dxa"/>
        <w:tblCellMar>
          <w:top w:w="45" w:type="dxa"/>
          <w:left w:w="142" w:type="dxa"/>
          <w:bottom w:w="0" w:type="dxa"/>
          <w:right w:w="46" w:type="dxa"/>
        </w:tblCellMar>
        <w:tblLook w:val="04A0" w:firstRow="1" w:lastRow="0" w:firstColumn="1" w:lastColumn="0" w:noHBand="0" w:noVBand="1"/>
      </w:tblPr>
      <w:tblGrid>
        <w:gridCol w:w="2343"/>
        <w:gridCol w:w="1321"/>
        <w:gridCol w:w="1322"/>
        <w:gridCol w:w="1322"/>
        <w:gridCol w:w="1321"/>
      </w:tblGrid>
      <w:tr w:rsidR="00110406" w14:paraId="0902C453" w14:textId="77777777" w:rsidTr="004C09BE">
        <w:trPr>
          <w:trHeight w:val="766"/>
        </w:trPr>
        <w:tc>
          <w:tcPr>
            <w:tcW w:w="2343" w:type="dxa"/>
            <w:tcBorders>
              <w:top w:val="single" w:sz="6" w:space="0" w:color="000000"/>
              <w:left w:val="single" w:sz="6" w:space="0" w:color="000000"/>
              <w:bottom w:val="single" w:sz="6" w:space="0" w:color="000000"/>
              <w:right w:val="single" w:sz="6" w:space="0" w:color="000000"/>
            </w:tcBorders>
            <w:vAlign w:val="center"/>
          </w:tcPr>
          <w:p w14:paraId="0881B514" w14:textId="77777777" w:rsidR="00110406" w:rsidRDefault="00110406" w:rsidP="004C09BE">
            <w:pPr>
              <w:spacing w:after="0" w:line="259" w:lineRule="auto"/>
              <w:ind w:left="0" w:right="0" w:firstLine="0"/>
              <w:jc w:val="left"/>
            </w:pPr>
            <w:r>
              <w:t xml:space="preserve"> </w:t>
            </w:r>
          </w:p>
        </w:tc>
        <w:tc>
          <w:tcPr>
            <w:tcW w:w="1321" w:type="dxa"/>
            <w:tcBorders>
              <w:top w:val="single" w:sz="6" w:space="0" w:color="000000"/>
              <w:left w:val="single" w:sz="6" w:space="0" w:color="000000"/>
              <w:bottom w:val="single" w:sz="6" w:space="0" w:color="000000"/>
              <w:right w:val="single" w:sz="6" w:space="0" w:color="000000"/>
            </w:tcBorders>
          </w:tcPr>
          <w:p w14:paraId="730C6C40" w14:textId="77777777" w:rsidR="00110406" w:rsidRDefault="00110406" w:rsidP="004C09BE">
            <w:pPr>
              <w:spacing w:after="0" w:line="259" w:lineRule="auto"/>
              <w:ind w:left="195" w:right="0" w:hanging="105"/>
              <w:jc w:val="left"/>
            </w:pPr>
            <w:r>
              <w:rPr>
                <w:b/>
              </w:rPr>
              <w:t xml:space="preserve">2022/23 actual </w:t>
            </w:r>
          </w:p>
        </w:tc>
        <w:tc>
          <w:tcPr>
            <w:tcW w:w="1322" w:type="dxa"/>
            <w:tcBorders>
              <w:top w:val="single" w:sz="6" w:space="0" w:color="000000"/>
              <w:left w:val="single" w:sz="6" w:space="0" w:color="000000"/>
              <w:bottom w:val="single" w:sz="6" w:space="0" w:color="000000"/>
              <w:right w:val="single" w:sz="6" w:space="0" w:color="000000"/>
            </w:tcBorders>
          </w:tcPr>
          <w:p w14:paraId="3EA1B59F" w14:textId="77777777" w:rsidR="00110406" w:rsidRDefault="00110406" w:rsidP="004C09BE">
            <w:pPr>
              <w:spacing w:after="0" w:line="259" w:lineRule="auto"/>
              <w:ind w:left="76" w:right="0" w:firstLine="15"/>
              <w:jc w:val="left"/>
            </w:pPr>
            <w:r>
              <w:rPr>
                <w:b/>
              </w:rPr>
              <w:t xml:space="preserve">2023/24 forecast </w:t>
            </w:r>
          </w:p>
        </w:tc>
        <w:tc>
          <w:tcPr>
            <w:tcW w:w="1322" w:type="dxa"/>
            <w:tcBorders>
              <w:top w:val="single" w:sz="6" w:space="0" w:color="000000"/>
              <w:left w:val="single" w:sz="6" w:space="0" w:color="000000"/>
              <w:bottom w:val="single" w:sz="6" w:space="0" w:color="000000"/>
              <w:right w:val="single" w:sz="6" w:space="0" w:color="000000"/>
            </w:tcBorders>
          </w:tcPr>
          <w:p w14:paraId="5CC17259" w14:textId="77777777" w:rsidR="00110406" w:rsidRDefault="00110406" w:rsidP="004C09BE">
            <w:pPr>
              <w:spacing w:after="0" w:line="259" w:lineRule="auto"/>
              <w:ind w:left="135" w:right="0" w:hanging="45"/>
              <w:jc w:val="left"/>
            </w:pPr>
            <w:r>
              <w:rPr>
                <w:b/>
              </w:rPr>
              <w:t xml:space="preserve">2024/25 budget  </w:t>
            </w:r>
          </w:p>
        </w:tc>
        <w:tc>
          <w:tcPr>
            <w:tcW w:w="1321" w:type="dxa"/>
            <w:tcBorders>
              <w:top w:val="single" w:sz="6" w:space="0" w:color="000000"/>
              <w:left w:val="single" w:sz="6" w:space="0" w:color="000000"/>
              <w:bottom w:val="single" w:sz="6" w:space="0" w:color="000000"/>
              <w:right w:val="single" w:sz="6" w:space="0" w:color="000000"/>
            </w:tcBorders>
          </w:tcPr>
          <w:p w14:paraId="044C9528" w14:textId="77777777" w:rsidR="00110406" w:rsidRDefault="00110406" w:rsidP="004C09BE">
            <w:pPr>
              <w:spacing w:after="0" w:line="259" w:lineRule="auto"/>
              <w:ind w:left="0" w:right="0" w:firstLine="0"/>
              <w:jc w:val="center"/>
            </w:pPr>
            <w:r>
              <w:rPr>
                <w:b/>
              </w:rPr>
              <w:t xml:space="preserve">2025/26 budget </w:t>
            </w:r>
          </w:p>
        </w:tc>
      </w:tr>
      <w:tr w:rsidR="00110406" w14:paraId="54B2252B" w14:textId="77777777" w:rsidTr="004C09BE">
        <w:trPr>
          <w:trHeight w:val="435"/>
        </w:trPr>
        <w:tc>
          <w:tcPr>
            <w:tcW w:w="2343" w:type="dxa"/>
            <w:tcBorders>
              <w:top w:val="single" w:sz="6" w:space="0" w:color="000000"/>
              <w:left w:val="single" w:sz="6" w:space="0" w:color="000000"/>
              <w:bottom w:val="single" w:sz="6" w:space="0" w:color="000000"/>
              <w:right w:val="single" w:sz="6" w:space="0" w:color="000000"/>
            </w:tcBorders>
          </w:tcPr>
          <w:p w14:paraId="4A325EBF" w14:textId="77777777" w:rsidR="00110406" w:rsidRDefault="00110406" w:rsidP="004C09BE">
            <w:pPr>
              <w:spacing w:after="0" w:line="259" w:lineRule="auto"/>
              <w:ind w:left="0" w:right="0" w:firstLine="0"/>
              <w:jc w:val="left"/>
            </w:pPr>
            <w:r>
              <w:t xml:space="preserve"> </w:t>
            </w:r>
          </w:p>
        </w:tc>
        <w:tc>
          <w:tcPr>
            <w:tcW w:w="1321" w:type="dxa"/>
            <w:tcBorders>
              <w:top w:val="single" w:sz="6" w:space="0" w:color="000000"/>
              <w:left w:val="single" w:sz="6" w:space="0" w:color="000000"/>
              <w:bottom w:val="single" w:sz="6" w:space="0" w:color="000000"/>
              <w:right w:val="single" w:sz="6" w:space="0" w:color="000000"/>
            </w:tcBorders>
          </w:tcPr>
          <w:p w14:paraId="0969A0E1" w14:textId="77777777" w:rsidR="00110406" w:rsidRDefault="00110406" w:rsidP="004C09BE">
            <w:pPr>
              <w:spacing w:after="0" w:line="259" w:lineRule="auto"/>
              <w:ind w:left="0" w:right="77" w:firstLine="0"/>
              <w:jc w:val="center"/>
            </w:pPr>
            <w:r>
              <w:t xml:space="preserve">£m </w:t>
            </w:r>
          </w:p>
        </w:tc>
        <w:tc>
          <w:tcPr>
            <w:tcW w:w="1322" w:type="dxa"/>
            <w:tcBorders>
              <w:top w:val="single" w:sz="6" w:space="0" w:color="000000"/>
              <w:left w:val="single" w:sz="6" w:space="0" w:color="000000"/>
              <w:bottom w:val="single" w:sz="6" w:space="0" w:color="000000"/>
              <w:right w:val="single" w:sz="6" w:space="0" w:color="000000"/>
            </w:tcBorders>
          </w:tcPr>
          <w:p w14:paraId="344D82E6" w14:textId="77777777" w:rsidR="00110406" w:rsidRDefault="00110406" w:rsidP="004C09BE">
            <w:pPr>
              <w:spacing w:after="0" w:line="259" w:lineRule="auto"/>
              <w:ind w:left="0" w:right="77" w:firstLine="0"/>
              <w:jc w:val="center"/>
            </w:pPr>
            <w:r>
              <w:t xml:space="preserve">£m </w:t>
            </w:r>
          </w:p>
        </w:tc>
        <w:tc>
          <w:tcPr>
            <w:tcW w:w="1322" w:type="dxa"/>
            <w:tcBorders>
              <w:top w:val="single" w:sz="6" w:space="0" w:color="000000"/>
              <w:left w:val="single" w:sz="6" w:space="0" w:color="000000"/>
              <w:bottom w:val="single" w:sz="6" w:space="0" w:color="000000"/>
              <w:right w:val="single" w:sz="6" w:space="0" w:color="000000"/>
            </w:tcBorders>
          </w:tcPr>
          <w:p w14:paraId="1CA37D03" w14:textId="77777777" w:rsidR="00110406" w:rsidRDefault="00110406" w:rsidP="004C09BE">
            <w:pPr>
              <w:spacing w:after="0" w:line="259" w:lineRule="auto"/>
              <w:ind w:left="0" w:right="78" w:firstLine="0"/>
              <w:jc w:val="center"/>
            </w:pPr>
            <w:r>
              <w:t xml:space="preserve">£m </w:t>
            </w:r>
          </w:p>
        </w:tc>
        <w:tc>
          <w:tcPr>
            <w:tcW w:w="1321" w:type="dxa"/>
            <w:tcBorders>
              <w:top w:val="single" w:sz="6" w:space="0" w:color="000000"/>
              <w:left w:val="single" w:sz="6" w:space="0" w:color="000000"/>
              <w:bottom w:val="single" w:sz="6" w:space="0" w:color="000000"/>
              <w:right w:val="single" w:sz="6" w:space="0" w:color="000000"/>
            </w:tcBorders>
          </w:tcPr>
          <w:p w14:paraId="46FF8C32" w14:textId="77777777" w:rsidR="00110406" w:rsidRDefault="00110406" w:rsidP="004C09BE">
            <w:pPr>
              <w:spacing w:after="0" w:line="259" w:lineRule="auto"/>
              <w:ind w:left="0" w:right="47" w:firstLine="0"/>
              <w:jc w:val="center"/>
            </w:pPr>
            <w:r>
              <w:t xml:space="preserve">£m </w:t>
            </w:r>
          </w:p>
        </w:tc>
      </w:tr>
      <w:tr w:rsidR="00110406" w14:paraId="368021B1" w14:textId="77777777" w:rsidTr="004C09BE">
        <w:trPr>
          <w:trHeight w:val="451"/>
        </w:trPr>
        <w:tc>
          <w:tcPr>
            <w:tcW w:w="2343" w:type="dxa"/>
            <w:tcBorders>
              <w:top w:val="single" w:sz="6" w:space="0" w:color="000000"/>
              <w:left w:val="single" w:sz="6" w:space="0" w:color="000000"/>
              <w:bottom w:val="single" w:sz="6" w:space="0" w:color="000000"/>
              <w:right w:val="single" w:sz="6" w:space="0" w:color="000000"/>
            </w:tcBorders>
          </w:tcPr>
          <w:p w14:paraId="5148B5A4" w14:textId="77777777" w:rsidR="00110406" w:rsidRDefault="00110406" w:rsidP="004C09BE">
            <w:pPr>
              <w:spacing w:after="0" w:line="259" w:lineRule="auto"/>
              <w:ind w:left="0" w:right="0" w:firstLine="0"/>
              <w:jc w:val="left"/>
            </w:pPr>
            <w:r>
              <w:lastRenderedPageBreak/>
              <w:t xml:space="preserve">Capital Expenditure </w:t>
            </w:r>
          </w:p>
        </w:tc>
        <w:tc>
          <w:tcPr>
            <w:tcW w:w="1321" w:type="dxa"/>
            <w:tcBorders>
              <w:top w:val="single" w:sz="6" w:space="0" w:color="000000"/>
              <w:left w:val="single" w:sz="6" w:space="0" w:color="000000"/>
              <w:bottom w:val="single" w:sz="6" w:space="0" w:color="000000"/>
              <w:right w:val="single" w:sz="6" w:space="0" w:color="000000"/>
            </w:tcBorders>
          </w:tcPr>
          <w:p w14:paraId="6D6D384E" w14:textId="77777777" w:rsidR="00110406" w:rsidRDefault="00110406" w:rsidP="004C09BE">
            <w:pPr>
              <w:spacing w:after="0" w:line="259" w:lineRule="auto"/>
              <w:ind w:left="0" w:right="84" w:firstLine="0"/>
              <w:jc w:val="center"/>
            </w:pPr>
            <w:r>
              <w:t xml:space="preserve">1.635 </w:t>
            </w:r>
          </w:p>
        </w:tc>
        <w:tc>
          <w:tcPr>
            <w:tcW w:w="1322" w:type="dxa"/>
            <w:tcBorders>
              <w:top w:val="single" w:sz="6" w:space="0" w:color="000000"/>
              <w:left w:val="single" w:sz="6" w:space="0" w:color="000000"/>
              <w:bottom w:val="single" w:sz="6" w:space="0" w:color="000000"/>
              <w:right w:val="single" w:sz="6" w:space="0" w:color="000000"/>
            </w:tcBorders>
          </w:tcPr>
          <w:p w14:paraId="1215FF7A" w14:textId="77777777" w:rsidR="00110406" w:rsidRDefault="00110406" w:rsidP="004C09BE">
            <w:pPr>
              <w:spacing w:after="0" w:line="259" w:lineRule="auto"/>
              <w:ind w:left="0" w:right="84" w:firstLine="0"/>
              <w:jc w:val="center"/>
            </w:pPr>
            <w:r>
              <w:t xml:space="preserve">7.598 </w:t>
            </w:r>
          </w:p>
        </w:tc>
        <w:tc>
          <w:tcPr>
            <w:tcW w:w="1322" w:type="dxa"/>
            <w:tcBorders>
              <w:top w:val="single" w:sz="6" w:space="0" w:color="000000"/>
              <w:left w:val="single" w:sz="6" w:space="0" w:color="000000"/>
              <w:bottom w:val="single" w:sz="6" w:space="0" w:color="000000"/>
              <w:right w:val="single" w:sz="6" w:space="0" w:color="000000"/>
            </w:tcBorders>
          </w:tcPr>
          <w:p w14:paraId="70F6979A" w14:textId="77777777" w:rsidR="00110406" w:rsidRDefault="00110406" w:rsidP="004C09BE">
            <w:pPr>
              <w:spacing w:after="0" w:line="259" w:lineRule="auto"/>
              <w:ind w:left="0" w:right="69" w:firstLine="0"/>
              <w:jc w:val="center"/>
            </w:pPr>
            <w:r>
              <w:t xml:space="preserve">10.196 </w:t>
            </w:r>
          </w:p>
        </w:tc>
        <w:tc>
          <w:tcPr>
            <w:tcW w:w="1321" w:type="dxa"/>
            <w:tcBorders>
              <w:top w:val="single" w:sz="6" w:space="0" w:color="000000"/>
              <w:left w:val="single" w:sz="6" w:space="0" w:color="000000"/>
              <w:bottom w:val="single" w:sz="6" w:space="0" w:color="000000"/>
              <w:right w:val="single" w:sz="6" w:space="0" w:color="000000"/>
            </w:tcBorders>
          </w:tcPr>
          <w:p w14:paraId="3F22D632" w14:textId="77777777" w:rsidR="00110406" w:rsidRDefault="00110406" w:rsidP="004C09BE">
            <w:pPr>
              <w:spacing w:after="0" w:line="259" w:lineRule="auto"/>
              <w:ind w:left="0" w:right="68" w:firstLine="0"/>
              <w:jc w:val="center"/>
            </w:pPr>
            <w:r>
              <w:t xml:space="preserve">20.259 </w:t>
            </w:r>
          </w:p>
        </w:tc>
      </w:tr>
    </w:tbl>
    <w:p w14:paraId="6C9961DC" w14:textId="77777777" w:rsidR="00110406" w:rsidRDefault="00110406" w:rsidP="00110406">
      <w:pPr>
        <w:spacing w:after="0" w:line="259" w:lineRule="auto"/>
        <w:ind w:left="0" w:right="0" w:firstLine="0"/>
        <w:jc w:val="left"/>
      </w:pPr>
      <w:r>
        <w:t xml:space="preserve"> </w:t>
      </w:r>
    </w:p>
    <w:p w14:paraId="534C179A" w14:textId="412C13DA" w:rsidR="00110406" w:rsidRDefault="00110406" w:rsidP="001D69CB">
      <w:pPr>
        <w:pStyle w:val="Heading1"/>
        <w:spacing w:after="8"/>
      </w:pPr>
      <w:r>
        <w:t xml:space="preserve">Proportion of Financing Costs to Net Revenue Stream </w:t>
      </w:r>
    </w:p>
    <w:p w14:paraId="29325154" w14:textId="77777777" w:rsidR="00110406" w:rsidRDefault="00110406" w:rsidP="00110406">
      <w:pPr>
        <w:spacing w:after="0" w:line="259" w:lineRule="auto"/>
        <w:ind w:left="30" w:right="0" w:firstLine="0"/>
        <w:jc w:val="left"/>
      </w:pPr>
      <w:r>
        <w:rPr>
          <w:b/>
        </w:rPr>
        <w:t xml:space="preserve"> </w:t>
      </w:r>
    </w:p>
    <w:tbl>
      <w:tblPr>
        <w:tblStyle w:val="TableGrid"/>
        <w:tblW w:w="7569" w:type="dxa"/>
        <w:tblInd w:w="-8" w:type="dxa"/>
        <w:tblCellMar>
          <w:top w:w="16" w:type="dxa"/>
          <w:left w:w="0" w:type="dxa"/>
          <w:bottom w:w="0" w:type="dxa"/>
          <w:right w:w="16" w:type="dxa"/>
        </w:tblCellMar>
        <w:tblLook w:val="04A0" w:firstRow="1" w:lastRow="0" w:firstColumn="1" w:lastColumn="0" w:noHBand="0" w:noVBand="1"/>
      </w:tblPr>
      <w:tblGrid>
        <w:gridCol w:w="2989"/>
        <w:gridCol w:w="1141"/>
        <w:gridCol w:w="1141"/>
        <w:gridCol w:w="1142"/>
        <w:gridCol w:w="1156"/>
      </w:tblGrid>
      <w:tr w:rsidR="00110406" w14:paraId="588A057B" w14:textId="77777777" w:rsidTr="004C09BE">
        <w:trPr>
          <w:trHeight w:val="766"/>
        </w:trPr>
        <w:tc>
          <w:tcPr>
            <w:tcW w:w="2989" w:type="dxa"/>
            <w:tcBorders>
              <w:top w:val="single" w:sz="6" w:space="0" w:color="000000"/>
              <w:left w:val="single" w:sz="6" w:space="0" w:color="000000"/>
              <w:bottom w:val="single" w:sz="6" w:space="0" w:color="000000"/>
              <w:right w:val="single" w:sz="6" w:space="0" w:color="000000"/>
            </w:tcBorders>
            <w:vAlign w:val="center"/>
          </w:tcPr>
          <w:p w14:paraId="0A66C9F4" w14:textId="77777777" w:rsidR="00110406" w:rsidRDefault="00110406" w:rsidP="004C09BE">
            <w:pPr>
              <w:spacing w:after="0" w:line="259" w:lineRule="auto"/>
              <w:ind w:left="8" w:right="0" w:firstLine="0"/>
              <w:jc w:val="left"/>
            </w:pPr>
            <w:r>
              <w:rPr>
                <w:rFonts w:ascii="Trebuchet MS" w:eastAsia="Trebuchet MS" w:hAnsi="Trebuchet MS" w:cs="Trebuchet MS"/>
                <w:sz w:val="20"/>
              </w:rPr>
              <w:t xml:space="preserve">  </w:t>
            </w:r>
          </w:p>
        </w:tc>
        <w:tc>
          <w:tcPr>
            <w:tcW w:w="1141" w:type="dxa"/>
            <w:tcBorders>
              <w:top w:val="single" w:sz="6" w:space="0" w:color="000000"/>
              <w:left w:val="single" w:sz="6" w:space="0" w:color="000000"/>
              <w:bottom w:val="single" w:sz="6" w:space="0" w:color="000000"/>
              <w:right w:val="single" w:sz="6" w:space="0" w:color="000000"/>
            </w:tcBorders>
          </w:tcPr>
          <w:p w14:paraId="245E3F3A" w14:textId="77777777" w:rsidR="00110406" w:rsidRDefault="00110406" w:rsidP="004C09BE">
            <w:pPr>
              <w:spacing w:after="0" w:line="259" w:lineRule="auto"/>
              <w:ind w:left="0" w:right="0" w:firstLine="0"/>
              <w:jc w:val="center"/>
            </w:pPr>
            <w:r>
              <w:rPr>
                <w:b/>
              </w:rPr>
              <w:t xml:space="preserve">2022/23 actual </w:t>
            </w:r>
          </w:p>
        </w:tc>
        <w:tc>
          <w:tcPr>
            <w:tcW w:w="1141" w:type="dxa"/>
            <w:tcBorders>
              <w:top w:val="single" w:sz="6" w:space="0" w:color="000000"/>
              <w:left w:val="single" w:sz="6" w:space="0" w:color="000000"/>
              <w:bottom w:val="single" w:sz="6" w:space="0" w:color="000000"/>
              <w:right w:val="single" w:sz="6" w:space="0" w:color="000000"/>
            </w:tcBorders>
          </w:tcPr>
          <w:p w14:paraId="4EAC66A4" w14:textId="77777777" w:rsidR="00110406" w:rsidRDefault="00110406" w:rsidP="004C09BE">
            <w:pPr>
              <w:spacing w:after="0" w:line="259" w:lineRule="auto"/>
              <w:ind w:left="0" w:right="0" w:firstLine="0"/>
              <w:jc w:val="center"/>
            </w:pPr>
            <w:r>
              <w:rPr>
                <w:b/>
              </w:rPr>
              <w:t xml:space="preserve">2023/24 budget </w:t>
            </w:r>
          </w:p>
        </w:tc>
        <w:tc>
          <w:tcPr>
            <w:tcW w:w="1142" w:type="dxa"/>
            <w:tcBorders>
              <w:top w:val="single" w:sz="6" w:space="0" w:color="000000"/>
              <w:left w:val="single" w:sz="6" w:space="0" w:color="000000"/>
              <w:bottom w:val="single" w:sz="6" w:space="0" w:color="000000"/>
              <w:right w:val="single" w:sz="6" w:space="0" w:color="000000"/>
            </w:tcBorders>
          </w:tcPr>
          <w:p w14:paraId="46EA81DC" w14:textId="77777777" w:rsidR="00110406" w:rsidRDefault="00110406" w:rsidP="004C09BE">
            <w:pPr>
              <w:spacing w:after="0" w:line="259" w:lineRule="auto"/>
              <w:ind w:left="0" w:right="0" w:firstLine="0"/>
              <w:jc w:val="center"/>
            </w:pPr>
            <w:r>
              <w:rPr>
                <w:b/>
              </w:rPr>
              <w:t xml:space="preserve">2024/25 budget  </w:t>
            </w:r>
          </w:p>
        </w:tc>
        <w:tc>
          <w:tcPr>
            <w:tcW w:w="1156" w:type="dxa"/>
            <w:tcBorders>
              <w:top w:val="single" w:sz="6" w:space="0" w:color="000000"/>
              <w:left w:val="single" w:sz="6" w:space="0" w:color="000000"/>
              <w:bottom w:val="single" w:sz="6" w:space="0" w:color="000000"/>
              <w:right w:val="single" w:sz="6" w:space="0" w:color="000000"/>
            </w:tcBorders>
          </w:tcPr>
          <w:p w14:paraId="2D84BE6C" w14:textId="77777777" w:rsidR="00110406" w:rsidRDefault="00110406" w:rsidP="004C09BE">
            <w:pPr>
              <w:spacing w:after="0" w:line="259" w:lineRule="auto"/>
              <w:ind w:left="0" w:right="0" w:firstLine="0"/>
              <w:jc w:val="center"/>
            </w:pPr>
            <w:r>
              <w:rPr>
                <w:b/>
              </w:rPr>
              <w:t xml:space="preserve">2025/26 budget </w:t>
            </w:r>
          </w:p>
        </w:tc>
      </w:tr>
      <w:tr w:rsidR="00110406" w14:paraId="6C0CDD54" w14:textId="77777777" w:rsidTr="004C09BE">
        <w:trPr>
          <w:trHeight w:val="345"/>
        </w:trPr>
        <w:tc>
          <w:tcPr>
            <w:tcW w:w="2989" w:type="dxa"/>
            <w:tcBorders>
              <w:top w:val="single" w:sz="6" w:space="0" w:color="000000"/>
              <w:left w:val="single" w:sz="6" w:space="0" w:color="000000"/>
              <w:bottom w:val="single" w:sz="6" w:space="0" w:color="000000"/>
              <w:right w:val="single" w:sz="6" w:space="0" w:color="000000"/>
            </w:tcBorders>
          </w:tcPr>
          <w:p w14:paraId="42012E21" w14:textId="77777777" w:rsidR="00110406" w:rsidRDefault="00110406" w:rsidP="004C09BE">
            <w:pPr>
              <w:spacing w:after="0" w:line="259" w:lineRule="auto"/>
              <w:ind w:left="38" w:right="0" w:firstLine="0"/>
              <w:jc w:val="left"/>
            </w:pPr>
            <w:r>
              <w:t xml:space="preserve">Financing costs (£m) </w:t>
            </w:r>
          </w:p>
        </w:tc>
        <w:tc>
          <w:tcPr>
            <w:tcW w:w="1141" w:type="dxa"/>
            <w:tcBorders>
              <w:top w:val="single" w:sz="6" w:space="0" w:color="000000"/>
              <w:left w:val="single" w:sz="6" w:space="0" w:color="000000"/>
              <w:bottom w:val="single" w:sz="6" w:space="0" w:color="000000"/>
              <w:right w:val="single" w:sz="6" w:space="0" w:color="000000"/>
            </w:tcBorders>
          </w:tcPr>
          <w:p w14:paraId="425377C9" w14:textId="77777777" w:rsidR="00110406" w:rsidRDefault="00110406" w:rsidP="004C09BE">
            <w:pPr>
              <w:spacing w:after="0" w:line="259" w:lineRule="auto"/>
              <w:ind w:left="42" w:right="0" w:firstLine="0"/>
              <w:jc w:val="center"/>
            </w:pPr>
            <w:r>
              <w:t xml:space="preserve">-0.747 </w:t>
            </w:r>
          </w:p>
        </w:tc>
        <w:tc>
          <w:tcPr>
            <w:tcW w:w="1141" w:type="dxa"/>
            <w:tcBorders>
              <w:top w:val="single" w:sz="6" w:space="0" w:color="000000"/>
              <w:left w:val="single" w:sz="6" w:space="0" w:color="000000"/>
              <w:bottom w:val="single" w:sz="6" w:space="0" w:color="000000"/>
              <w:right w:val="single" w:sz="6" w:space="0" w:color="000000"/>
            </w:tcBorders>
          </w:tcPr>
          <w:p w14:paraId="17274505" w14:textId="77777777" w:rsidR="00110406" w:rsidRDefault="00110406" w:rsidP="004C09BE">
            <w:pPr>
              <w:spacing w:after="0" w:line="259" w:lineRule="auto"/>
              <w:ind w:left="43" w:right="0" w:firstLine="0"/>
              <w:jc w:val="center"/>
            </w:pPr>
            <w:r>
              <w:t xml:space="preserve">-1.210 </w:t>
            </w:r>
          </w:p>
        </w:tc>
        <w:tc>
          <w:tcPr>
            <w:tcW w:w="1142" w:type="dxa"/>
            <w:tcBorders>
              <w:top w:val="single" w:sz="6" w:space="0" w:color="000000"/>
              <w:left w:val="single" w:sz="6" w:space="0" w:color="000000"/>
              <w:bottom w:val="single" w:sz="6" w:space="0" w:color="000000"/>
              <w:right w:val="single" w:sz="6" w:space="0" w:color="000000"/>
            </w:tcBorders>
          </w:tcPr>
          <w:p w14:paraId="588F92FA" w14:textId="77777777" w:rsidR="00110406" w:rsidRDefault="00110406" w:rsidP="004C09BE">
            <w:pPr>
              <w:spacing w:after="0" w:line="259" w:lineRule="auto"/>
              <w:ind w:left="43" w:right="0" w:firstLine="0"/>
              <w:jc w:val="center"/>
            </w:pPr>
            <w:r>
              <w:t xml:space="preserve">-0.960 </w:t>
            </w:r>
          </w:p>
        </w:tc>
        <w:tc>
          <w:tcPr>
            <w:tcW w:w="1156" w:type="dxa"/>
            <w:tcBorders>
              <w:top w:val="single" w:sz="6" w:space="0" w:color="000000"/>
              <w:left w:val="single" w:sz="6" w:space="0" w:color="000000"/>
              <w:bottom w:val="single" w:sz="6" w:space="0" w:color="000000"/>
              <w:right w:val="single" w:sz="6" w:space="0" w:color="000000"/>
            </w:tcBorders>
          </w:tcPr>
          <w:p w14:paraId="17066993" w14:textId="77777777" w:rsidR="00110406" w:rsidRDefault="00110406" w:rsidP="004C09BE">
            <w:pPr>
              <w:spacing w:after="0" w:line="259" w:lineRule="auto"/>
              <w:ind w:left="28" w:right="0" w:firstLine="0"/>
              <w:jc w:val="center"/>
            </w:pPr>
            <w:r>
              <w:t xml:space="preserve">-0.252 </w:t>
            </w:r>
          </w:p>
        </w:tc>
      </w:tr>
      <w:tr w:rsidR="00110406" w14:paraId="3818A2E2" w14:textId="77777777" w:rsidTr="004C09BE">
        <w:trPr>
          <w:trHeight w:val="586"/>
        </w:trPr>
        <w:tc>
          <w:tcPr>
            <w:tcW w:w="2989" w:type="dxa"/>
            <w:tcBorders>
              <w:top w:val="single" w:sz="6" w:space="0" w:color="000000"/>
              <w:left w:val="single" w:sz="6" w:space="0" w:color="000000"/>
              <w:bottom w:val="single" w:sz="6" w:space="0" w:color="000000"/>
              <w:right w:val="single" w:sz="6" w:space="0" w:color="000000"/>
            </w:tcBorders>
          </w:tcPr>
          <w:p w14:paraId="4493D0CF" w14:textId="77777777" w:rsidR="00110406" w:rsidRDefault="00110406" w:rsidP="004C09BE">
            <w:pPr>
              <w:spacing w:after="0" w:line="259" w:lineRule="auto"/>
              <w:ind w:left="53" w:right="0" w:hanging="15"/>
              <w:jc w:val="left"/>
            </w:pPr>
            <w:r>
              <w:t xml:space="preserve">Proportion of net revenue stream </w:t>
            </w:r>
          </w:p>
        </w:tc>
        <w:tc>
          <w:tcPr>
            <w:tcW w:w="1141" w:type="dxa"/>
            <w:tcBorders>
              <w:top w:val="single" w:sz="6" w:space="0" w:color="000000"/>
              <w:left w:val="single" w:sz="6" w:space="0" w:color="000000"/>
              <w:bottom w:val="single" w:sz="6" w:space="0" w:color="000000"/>
              <w:right w:val="single" w:sz="6" w:space="0" w:color="000000"/>
            </w:tcBorders>
          </w:tcPr>
          <w:p w14:paraId="75BE6140" w14:textId="77777777" w:rsidR="00110406" w:rsidRDefault="00110406" w:rsidP="004C09BE">
            <w:pPr>
              <w:spacing w:after="0" w:line="259" w:lineRule="auto"/>
              <w:ind w:left="-14" w:right="0" w:firstLine="0"/>
              <w:jc w:val="left"/>
            </w:pPr>
            <w:r>
              <w:t xml:space="preserve"> </w:t>
            </w:r>
          </w:p>
          <w:p w14:paraId="23A5BC1A" w14:textId="77777777" w:rsidR="00110406" w:rsidRDefault="00110406" w:rsidP="004C09BE">
            <w:pPr>
              <w:spacing w:after="0" w:line="259" w:lineRule="auto"/>
              <w:ind w:left="218" w:right="0" w:firstLine="0"/>
              <w:jc w:val="left"/>
            </w:pPr>
            <w:r>
              <w:t xml:space="preserve">-1.18% </w:t>
            </w:r>
          </w:p>
        </w:tc>
        <w:tc>
          <w:tcPr>
            <w:tcW w:w="1141" w:type="dxa"/>
            <w:tcBorders>
              <w:top w:val="single" w:sz="6" w:space="0" w:color="000000"/>
              <w:left w:val="single" w:sz="6" w:space="0" w:color="000000"/>
              <w:bottom w:val="single" w:sz="6" w:space="0" w:color="000000"/>
              <w:right w:val="single" w:sz="6" w:space="0" w:color="000000"/>
            </w:tcBorders>
            <w:vAlign w:val="center"/>
          </w:tcPr>
          <w:p w14:paraId="282E01FF" w14:textId="77777777" w:rsidR="00110406" w:rsidRDefault="00110406" w:rsidP="004C09BE">
            <w:pPr>
              <w:spacing w:after="0" w:line="259" w:lineRule="auto"/>
              <w:ind w:left="218" w:right="0" w:firstLine="0"/>
              <w:jc w:val="left"/>
            </w:pPr>
            <w:r>
              <w:t xml:space="preserve">-1.77% </w:t>
            </w:r>
          </w:p>
        </w:tc>
        <w:tc>
          <w:tcPr>
            <w:tcW w:w="1142" w:type="dxa"/>
            <w:tcBorders>
              <w:top w:val="single" w:sz="6" w:space="0" w:color="000000"/>
              <w:left w:val="single" w:sz="6" w:space="0" w:color="000000"/>
              <w:bottom w:val="single" w:sz="6" w:space="0" w:color="000000"/>
              <w:right w:val="single" w:sz="6" w:space="0" w:color="000000"/>
            </w:tcBorders>
            <w:vAlign w:val="center"/>
          </w:tcPr>
          <w:p w14:paraId="080F513B" w14:textId="77777777" w:rsidR="00110406" w:rsidRDefault="00110406" w:rsidP="004C09BE">
            <w:pPr>
              <w:spacing w:after="0" w:line="259" w:lineRule="auto"/>
              <w:ind w:left="218" w:right="0" w:firstLine="0"/>
              <w:jc w:val="left"/>
            </w:pPr>
            <w:r>
              <w:t xml:space="preserve">-1.28% </w:t>
            </w:r>
          </w:p>
        </w:tc>
        <w:tc>
          <w:tcPr>
            <w:tcW w:w="1156" w:type="dxa"/>
            <w:tcBorders>
              <w:top w:val="single" w:sz="6" w:space="0" w:color="000000"/>
              <w:left w:val="single" w:sz="6" w:space="0" w:color="000000"/>
              <w:bottom w:val="single" w:sz="6" w:space="0" w:color="000000"/>
              <w:right w:val="single" w:sz="6" w:space="0" w:color="000000"/>
            </w:tcBorders>
            <w:vAlign w:val="center"/>
          </w:tcPr>
          <w:p w14:paraId="4EAC03BF" w14:textId="77777777" w:rsidR="00110406" w:rsidRDefault="00110406" w:rsidP="004C09BE">
            <w:pPr>
              <w:spacing w:after="0" w:line="259" w:lineRule="auto"/>
              <w:ind w:left="218" w:right="0" w:firstLine="0"/>
              <w:jc w:val="left"/>
            </w:pPr>
            <w:r>
              <w:t xml:space="preserve">-0.33% </w:t>
            </w:r>
          </w:p>
        </w:tc>
      </w:tr>
    </w:tbl>
    <w:p w14:paraId="242D928B" w14:textId="77777777" w:rsidR="00110406" w:rsidRDefault="00110406" w:rsidP="00110406">
      <w:pPr>
        <w:spacing w:after="0" w:line="261" w:lineRule="auto"/>
        <w:ind w:left="0" w:right="6630" w:firstLine="0"/>
        <w:jc w:val="left"/>
      </w:pPr>
      <w:r>
        <w:rPr>
          <w:b/>
        </w:rPr>
        <w:t xml:space="preserve">  </w:t>
      </w:r>
      <w:r>
        <w:rPr>
          <w:b/>
        </w:rPr>
        <w:tab/>
        <w:t xml:space="preserve"> </w:t>
      </w:r>
    </w:p>
    <w:p w14:paraId="035B9B31" w14:textId="77777777" w:rsidR="00110406" w:rsidRDefault="00110406" w:rsidP="00110406">
      <w:pPr>
        <w:spacing w:after="23" w:line="253" w:lineRule="auto"/>
        <w:ind w:left="25" w:right="0"/>
        <w:jc w:val="left"/>
      </w:pPr>
      <w:r>
        <w:rPr>
          <w:b/>
        </w:rPr>
        <w:t xml:space="preserve">Appendix 1 </w:t>
      </w:r>
      <w:r>
        <w:t xml:space="preserve"> </w:t>
      </w:r>
    </w:p>
    <w:p w14:paraId="6C5D5F38" w14:textId="77777777" w:rsidR="00110406" w:rsidRDefault="00110406" w:rsidP="00110406">
      <w:pPr>
        <w:spacing w:after="0" w:line="259" w:lineRule="auto"/>
        <w:ind w:left="0" w:right="0" w:firstLine="0"/>
        <w:jc w:val="left"/>
      </w:pPr>
      <w:r>
        <w:t xml:space="preserve">  </w:t>
      </w:r>
    </w:p>
    <w:p w14:paraId="551ADEEE" w14:textId="77777777" w:rsidR="00110406" w:rsidRDefault="00110406" w:rsidP="00110406">
      <w:pPr>
        <w:pStyle w:val="Heading1"/>
        <w:spacing w:after="38"/>
        <w:ind w:left="25"/>
      </w:pPr>
      <w:r>
        <w:t xml:space="preserve">Treasury Management Policy Statement  </w:t>
      </w:r>
    </w:p>
    <w:p w14:paraId="02E72668" w14:textId="77777777" w:rsidR="00110406" w:rsidRDefault="00110406" w:rsidP="00110406">
      <w:pPr>
        <w:spacing w:after="23" w:line="259" w:lineRule="auto"/>
        <w:ind w:left="30" w:right="0" w:firstLine="0"/>
        <w:jc w:val="left"/>
      </w:pPr>
      <w:r>
        <w:t xml:space="preserve">  </w:t>
      </w:r>
    </w:p>
    <w:p w14:paraId="78B9245E" w14:textId="77777777" w:rsidR="00110406" w:rsidRDefault="00110406" w:rsidP="00110406">
      <w:pPr>
        <w:spacing w:after="5" w:line="243" w:lineRule="auto"/>
        <w:ind w:left="15" w:right="462" w:hanging="15"/>
        <w:jc w:val="left"/>
      </w:pPr>
      <w:r>
        <w:t xml:space="preserve">The Fire Authority adopts the key recommendations of CIPFA’s Treasury Management in the Public Services: Code of Practice (the Code), as described in Section 5 of the Code.  </w:t>
      </w:r>
    </w:p>
    <w:p w14:paraId="71B51A04" w14:textId="77777777" w:rsidR="00110406" w:rsidRDefault="00110406" w:rsidP="00110406">
      <w:pPr>
        <w:spacing w:after="2" w:line="259" w:lineRule="auto"/>
        <w:ind w:left="15" w:right="0" w:firstLine="0"/>
        <w:jc w:val="left"/>
      </w:pPr>
      <w:r>
        <w:t xml:space="preserve"> </w:t>
      </w:r>
    </w:p>
    <w:p w14:paraId="4BB40390" w14:textId="77777777" w:rsidR="00110406" w:rsidRDefault="00110406" w:rsidP="00110406">
      <w:pPr>
        <w:ind w:left="25" w:right="468"/>
      </w:pPr>
      <w:r>
        <w:t xml:space="preserve"> Accordingly, the Authority will create and maintain, as the cornerstones for effective treasury management: </w:t>
      </w:r>
    </w:p>
    <w:p w14:paraId="53F98BBF" w14:textId="77777777" w:rsidR="00110406" w:rsidRDefault="00110406" w:rsidP="00110406">
      <w:pPr>
        <w:numPr>
          <w:ilvl w:val="0"/>
          <w:numId w:val="32"/>
        </w:numPr>
        <w:spacing w:after="13" w:line="247" w:lineRule="auto"/>
        <w:ind w:right="636" w:hanging="361"/>
      </w:pPr>
      <w:r>
        <w:t xml:space="preserve">A treasury management policy statement stating the policies, objectives, and approach to risk management of its treasury management activities. </w:t>
      </w:r>
    </w:p>
    <w:p w14:paraId="2772EF76" w14:textId="77777777" w:rsidR="00110406" w:rsidRDefault="00110406" w:rsidP="00110406">
      <w:pPr>
        <w:numPr>
          <w:ilvl w:val="0"/>
          <w:numId w:val="32"/>
        </w:numPr>
        <w:spacing w:after="13" w:line="247" w:lineRule="auto"/>
        <w:ind w:right="636" w:hanging="361"/>
      </w:pPr>
      <w:r>
        <w:t xml:space="preserve">Suitable Treasury Management Practices (TMPs), setting out the </w:t>
      </w:r>
      <w:proofErr w:type="gramStart"/>
      <w:r>
        <w:t>manner in which</w:t>
      </w:r>
      <w:proofErr w:type="gramEnd"/>
      <w:r>
        <w:t xml:space="preserve"> the Authority will seek to achieve those policies and objectives, and prescribing how it will manage and control those activities. </w:t>
      </w:r>
    </w:p>
    <w:p w14:paraId="7F5949DF" w14:textId="77777777" w:rsidR="00110406" w:rsidRDefault="00110406" w:rsidP="00110406">
      <w:pPr>
        <w:spacing w:after="0" w:line="259" w:lineRule="auto"/>
        <w:ind w:left="30" w:right="0" w:firstLine="0"/>
        <w:jc w:val="left"/>
      </w:pPr>
      <w:r>
        <w:t xml:space="preserve"> </w:t>
      </w:r>
    </w:p>
    <w:p w14:paraId="1F73DF35" w14:textId="77777777" w:rsidR="00110406" w:rsidRDefault="00110406" w:rsidP="00110406">
      <w:pPr>
        <w:ind w:left="25" w:right="542"/>
      </w:pPr>
      <w:r>
        <w:t xml:space="preserve"> The Authority delegates responsibility for the implementation and monitoring of its treasury management policies and practices to the Resources Committee and for the execution and administration of treasury management decisions to the Director of Corporate Services, who will act in accordance with the organisation’s policy statement and TMPs, IMPs and CIPFA’s Standard of Professional Practice on treasury management. </w:t>
      </w:r>
    </w:p>
    <w:p w14:paraId="3B46BD03" w14:textId="77777777" w:rsidR="00110406" w:rsidRDefault="00110406" w:rsidP="00110406">
      <w:pPr>
        <w:spacing w:after="3" w:line="259" w:lineRule="auto"/>
        <w:ind w:left="15" w:right="0" w:firstLine="0"/>
        <w:jc w:val="left"/>
      </w:pPr>
      <w:r>
        <w:t xml:space="preserve"> </w:t>
      </w:r>
    </w:p>
    <w:p w14:paraId="23CDDDE1" w14:textId="77777777" w:rsidR="00110406" w:rsidRDefault="00110406" w:rsidP="00110406">
      <w:pPr>
        <w:ind w:left="25" w:right="468"/>
      </w:pPr>
      <w:r>
        <w:lastRenderedPageBreak/>
        <w:t xml:space="preserve">The Authority nominates the Resources Committee to be responsible for ensuring effective scrutiny of the treasury management strategy and policies. </w:t>
      </w:r>
    </w:p>
    <w:p w14:paraId="2BC5C6A6" w14:textId="77777777" w:rsidR="00110406" w:rsidRDefault="00110406" w:rsidP="00110406">
      <w:pPr>
        <w:spacing w:after="0" w:line="259" w:lineRule="auto"/>
        <w:ind w:left="30" w:right="0" w:firstLine="0"/>
        <w:jc w:val="left"/>
      </w:pPr>
      <w:r>
        <w:rPr>
          <w:b/>
        </w:rPr>
        <w:t xml:space="preserve"> </w:t>
      </w:r>
      <w:r>
        <w:t xml:space="preserve"> </w:t>
      </w:r>
    </w:p>
    <w:p w14:paraId="5D6293D6" w14:textId="77777777" w:rsidR="00110406" w:rsidRDefault="00110406" w:rsidP="00110406">
      <w:pPr>
        <w:pStyle w:val="Heading1"/>
        <w:spacing w:after="8"/>
        <w:ind w:left="25"/>
      </w:pPr>
      <w:r>
        <w:t xml:space="preserve">Definition  </w:t>
      </w:r>
    </w:p>
    <w:p w14:paraId="29CE682A" w14:textId="77777777" w:rsidR="00110406" w:rsidRDefault="00110406" w:rsidP="00110406">
      <w:pPr>
        <w:ind w:left="25" w:right="610"/>
      </w:pPr>
      <w:r>
        <w:t xml:space="preserve">The Authority defines its treasury management activities as: the management of the Authority’s investments and cash flows, its banking, money market and capital market transactions; the effective control of the risks associated with those activities; and the pursuit of optimum performance consistent with those risks.  </w:t>
      </w:r>
    </w:p>
    <w:p w14:paraId="6E7ECA8D" w14:textId="77777777" w:rsidR="00110406" w:rsidRDefault="00110406" w:rsidP="00110406">
      <w:pPr>
        <w:spacing w:after="0" w:line="259" w:lineRule="auto"/>
        <w:ind w:left="30" w:right="0" w:firstLine="0"/>
        <w:jc w:val="left"/>
      </w:pPr>
      <w:r>
        <w:t xml:space="preserve">  </w:t>
      </w:r>
    </w:p>
    <w:p w14:paraId="112D8560" w14:textId="77777777" w:rsidR="00110406" w:rsidRDefault="00110406" w:rsidP="00110406">
      <w:pPr>
        <w:pStyle w:val="Heading1"/>
        <w:spacing w:after="8"/>
        <w:ind w:left="25"/>
      </w:pPr>
      <w:r>
        <w:t xml:space="preserve">Risk management  </w:t>
      </w:r>
    </w:p>
    <w:p w14:paraId="1A627AFC" w14:textId="77777777" w:rsidR="00110406" w:rsidRDefault="00110406" w:rsidP="00110406">
      <w:pPr>
        <w:ind w:left="25" w:right="860"/>
      </w:pPr>
      <w:r>
        <w:t xml:space="preserve">The Fire Authority regards the successful identification, monitoring, and control of risk to be the prime criteria by which the effectiveness of its treasury management activities will be measured. Accordingly, the analysis and reporting of treasury management activities will focus on their risk implications for the organisation, and any financial instruments </w:t>
      </w:r>
      <w:proofErr w:type="gramStart"/>
      <w:r>
        <w:t>entered into</w:t>
      </w:r>
      <w:proofErr w:type="gramEnd"/>
      <w:r>
        <w:t xml:space="preserve"> to manage these risks.  </w:t>
      </w:r>
    </w:p>
    <w:p w14:paraId="4F14D77C" w14:textId="77777777" w:rsidR="00110406" w:rsidRDefault="00110406" w:rsidP="00110406">
      <w:pPr>
        <w:spacing w:after="0" w:line="259" w:lineRule="auto"/>
        <w:ind w:left="30" w:right="0" w:firstLine="0"/>
        <w:jc w:val="left"/>
      </w:pPr>
      <w:r>
        <w:t xml:space="preserve">  </w:t>
      </w:r>
    </w:p>
    <w:p w14:paraId="6D9B83E4" w14:textId="77777777" w:rsidR="00110406" w:rsidRDefault="00110406" w:rsidP="00110406">
      <w:pPr>
        <w:pStyle w:val="Heading1"/>
        <w:spacing w:after="8"/>
        <w:ind w:left="25"/>
      </w:pPr>
      <w:r>
        <w:t xml:space="preserve">Value for money  </w:t>
      </w:r>
    </w:p>
    <w:p w14:paraId="021FA57D" w14:textId="77777777" w:rsidR="00110406" w:rsidRDefault="00110406" w:rsidP="00110406">
      <w:pPr>
        <w:ind w:left="25" w:right="678"/>
      </w:pPr>
      <w:r>
        <w:t xml:space="preserve">The Fire Authority acknowledges that effective treasury management will provide support towards the achievement of its business and service objectives. It is therefore committed to the principles of achieving value for money in treasury management, and to employing suitable comprehensive performance measurement techniques, within the context of effective risk management.  </w:t>
      </w:r>
    </w:p>
    <w:p w14:paraId="131C5001" w14:textId="77777777" w:rsidR="00110406" w:rsidRDefault="00110406" w:rsidP="00110406">
      <w:pPr>
        <w:spacing w:after="0" w:line="259" w:lineRule="auto"/>
        <w:ind w:left="30" w:right="0" w:firstLine="0"/>
        <w:jc w:val="left"/>
      </w:pPr>
      <w:r>
        <w:t xml:space="preserve">  </w:t>
      </w:r>
    </w:p>
    <w:p w14:paraId="4035F48E" w14:textId="77777777" w:rsidR="00110406" w:rsidRDefault="00110406" w:rsidP="00110406">
      <w:pPr>
        <w:pStyle w:val="Heading1"/>
        <w:spacing w:after="8"/>
        <w:ind w:left="25"/>
      </w:pPr>
      <w:r>
        <w:t xml:space="preserve">Borrowing policy   </w:t>
      </w:r>
    </w:p>
    <w:p w14:paraId="70F3D349" w14:textId="77777777" w:rsidR="00110406" w:rsidRDefault="00110406" w:rsidP="00110406">
      <w:pPr>
        <w:ind w:left="25" w:right="625"/>
      </w:pPr>
      <w:r>
        <w:t xml:space="preserve">The Fire Authority greatly values revenue budget stability and will therefore borrow </w:t>
      </w:r>
      <w:proofErr w:type="gramStart"/>
      <w:r>
        <w:t>the majority of</w:t>
      </w:r>
      <w:proofErr w:type="gramEnd"/>
      <w:r>
        <w:t xml:space="preserve"> its long-term funding needs at long-term fixed rates of interest. However, short term and variable rate loans may be borrowed to either offset </w:t>
      </w:r>
      <w:proofErr w:type="spellStart"/>
      <w:r>
        <w:t>shortterm</w:t>
      </w:r>
      <w:proofErr w:type="spellEnd"/>
      <w:r>
        <w:t xml:space="preserve"> and variable rate investments or to produce revenue savings. The Authority will also constantly evaluate debt restructuring opportunities of the existing portfolio.  </w:t>
      </w:r>
    </w:p>
    <w:p w14:paraId="54FD8058" w14:textId="77777777" w:rsidR="00110406" w:rsidRDefault="00110406" w:rsidP="00110406">
      <w:pPr>
        <w:spacing w:after="2" w:line="259" w:lineRule="auto"/>
        <w:ind w:left="15" w:right="0" w:firstLine="0"/>
        <w:jc w:val="left"/>
      </w:pPr>
      <w:r>
        <w:t xml:space="preserve"> </w:t>
      </w:r>
    </w:p>
    <w:p w14:paraId="1C318E4E" w14:textId="77777777" w:rsidR="00110406" w:rsidRDefault="00110406" w:rsidP="00110406">
      <w:pPr>
        <w:ind w:left="25" w:right="550"/>
      </w:pPr>
      <w:r>
        <w:t xml:space="preserve">The Fire Authority will set an affordable borrowing limit each year in compliance with the </w:t>
      </w:r>
      <w:r>
        <w:rPr>
          <w:i/>
        </w:rPr>
        <w:t>Local Government Act 2003</w:t>
      </w:r>
      <w:r>
        <w:t xml:space="preserve"> and will have regard to the </w:t>
      </w:r>
      <w:r>
        <w:rPr>
          <w:i/>
        </w:rPr>
        <w:t xml:space="preserve">CIPFA Prudential Code for Capital Finance in Local Authorities </w:t>
      </w:r>
      <w:r>
        <w:t xml:space="preserve">when setting that limit. It will also set limits on its exposure to changes in interest rates and limits on the maturity structure of its borrowing in the treasury management strategy report each year.  </w:t>
      </w:r>
    </w:p>
    <w:p w14:paraId="342D141D" w14:textId="77777777" w:rsidR="00110406" w:rsidRDefault="00110406" w:rsidP="00110406">
      <w:pPr>
        <w:spacing w:after="0" w:line="259" w:lineRule="auto"/>
        <w:ind w:left="30" w:right="0" w:firstLine="0"/>
        <w:jc w:val="left"/>
      </w:pPr>
      <w:r>
        <w:lastRenderedPageBreak/>
        <w:t xml:space="preserve">  </w:t>
      </w:r>
    </w:p>
    <w:p w14:paraId="406964D7" w14:textId="77777777" w:rsidR="00110406" w:rsidRDefault="00110406" w:rsidP="00110406">
      <w:pPr>
        <w:pStyle w:val="Heading1"/>
        <w:spacing w:after="10"/>
        <w:ind w:left="25"/>
      </w:pPr>
      <w:r>
        <w:t xml:space="preserve">Investment policy   </w:t>
      </w:r>
    </w:p>
    <w:p w14:paraId="264E70D0" w14:textId="77777777" w:rsidR="00110406" w:rsidRDefault="00110406" w:rsidP="00110406">
      <w:pPr>
        <w:ind w:left="25" w:right="701"/>
      </w:pPr>
      <w:r>
        <w:t xml:space="preserve">The Fire Authority’s primary objectives for the investment of its surplus funds are to protect the principal sums invested from loss, and to ensure adequate liquidity so that funds are available for expenditure when needed. The generation of investment income to support the provision of local authority services is an important, but secondary, objective.  </w:t>
      </w:r>
    </w:p>
    <w:p w14:paraId="2A4A93D6" w14:textId="77777777" w:rsidR="00110406" w:rsidRDefault="00110406" w:rsidP="00110406">
      <w:pPr>
        <w:spacing w:after="2" w:line="259" w:lineRule="auto"/>
        <w:ind w:left="15" w:right="0" w:firstLine="0"/>
        <w:jc w:val="left"/>
      </w:pPr>
      <w:r>
        <w:t xml:space="preserve"> </w:t>
      </w:r>
    </w:p>
    <w:p w14:paraId="0A163C08" w14:textId="77777777" w:rsidR="00110406" w:rsidRDefault="00110406" w:rsidP="00110406">
      <w:pPr>
        <w:ind w:left="25" w:right="468"/>
      </w:pPr>
      <w:r>
        <w:t xml:space="preserve">The Fire Authority will have regard to the then Ministry of Housing, Communities and </w:t>
      </w:r>
    </w:p>
    <w:p w14:paraId="1209B6BB" w14:textId="77777777" w:rsidR="00110406" w:rsidRDefault="00110406" w:rsidP="00110406">
      <w:pPr>
        <w:ind w:left="25" w:right="740"/>
      </w:pPr>
      <w:r>
        <w:t xml:space="preserve">Local Government Guidance on Local Government Investments. It will approve an Investment Strategy each year as part of the Treasury Management Strategy. The strategy will set criteria to determine suitable organisations with which cash may be invested, limits on the maximum duration of such investments and limits on the amount of cash that may be invested with any one organisation.  </w:t>
      </w:r>
    </w:p>
    <w:p w14:paraId="51C2E28E" w14:textId="77777777" w:rsidR="00D83842" w:rsidRDefault="00D83842" w:rsidP="00110406">
      <w:pPr>
        <w:spacing w:after="228" w:line="259" w:lineRule="auto"/>
        <w:ind w:left="0" w:right="0" w:firstLine="0"/>
        <w:jc w:val="left"/>
      </w:pPr>
    </w:p>
    <w:sectPr w:rsidR="00D83842" w:rsidSect="00BA5F13">
      <w:pgSz w:w="16845" w:h="11910" w:orient="landscape"/>
      <w:pgMar w:top="1442" w:right="1439" w:bottom="1345" w:left="148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E07"/>
    <w:multiLevelType w:val="hybridMultilevel"/>
    <w:tmpl w:val="07F4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72ECC"/>
    <w:multiLevelType w:val="hybridMultilevel"/>
    <w:tmpl w:val="21A2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9075E"/>
    <w:multiLevelType w:val="hybridMultilevel"/>
    <w:tmpl w:val="A340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F4859"/>
    <w:multiLevelType w:val="hybridMultilevel"/>
    <w:tmpl w:val="783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87645"/>
    <w:multiLevelType w:val="hybridMultilevel"/>
    <w:tmpl w:val="168A19A0"/>
    <w:lvl w:ilvl="0" w:tplc="580C17D2">
      <w:start w:val="25"/>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42D282">
      <w:start w:val="1"/>
      <w:numFmt w:val="bullet"/>
      <w:lvlText w:val="•"/>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60DFCA">
      <w:start w:val="1"/>
      <w:numFmt w:val="bullet"/>
      <w:lvlText w:val="▪"/>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D21242">
      <w:start w:val="1"/>
      <w:numFmt w:val="bullet"/>
      <w:lvlText w:val="•"/>
      <w:lvlJc w:val="left"/>
      <w:pPr>
        <w:ind w:left="2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D227EA">
      <w:start w:val="1"/>
      <w:numFmt w:val="bullet"/>
      <w:lvlText w:val="o"/>
      <w:lvlJc w:val="left"/>
      <w:pPr>
        <w:ind w:left="3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C29A20">
      <w:start w:val="1"/>
      <w:numFmt w:val="bullet"/>
      <w:lvlText w:val="▪"/>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BCCC6A">
      <w:start w:val="1"/>
      <w:numFmt w:val="bullet"/>
      <w:lvlText w:val="•"/>
      <w:lvlJc w:val="left"/>
      <w:pPr>
        <w:ind w:left="4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966856">
      <w:start w:val="1"/>
      <w:numFmt w:val="bullet"/>
      <w:lvlText w:val="o"/>
      <w:lvlJc w:val="left"/>
      <w:pPr>
        <w:ind w:left="5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308648">
      <w:start w:val="1"/>
      <w:numFmt w:val="bullet"/>
      <w:lvlText w:val="▪"/>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7F1800"/>
    <w:multiLevelType w:val="hybridMultilevel"/>
    <w:tmpl w:val="C450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B326A"/>
    <w:multiLevelType w:val="hybridMultilevel"/>
    <w:tmpl w:val="A63252EE"/>
    <w:lvl w:ilvl="0" w:tplc="E284877A">
      <w:start w:val="1"/>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DC494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4E02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1081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56D5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FA26B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89E4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725B3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2E62E2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BF202C"/>
    <w:multiLevelType w:val="hybridMultilevel"/>
    <w:tmpl w:val="C05C2634"/>
    <w:lvl w:ilvl="0" w:tplc="FB6299A0">
      <w:start w:val="4"/>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A00E52">
      <w:start w:val="1"/>
      <w:numFmt w:val="bullet"/>
      <w:lvlText w:val="•"/>
      <w:lvlJc w:val="left"/>
      <w:pPr>
        <w:ind w:left="1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B4F5C4">
      <w:start w:val="1"/>
      <w:numFmt w:val="bullet"/>
      <w:lvlText w:val="▪"/>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4C713A">
      <w:start w:val="1"/>
      <w:numFmt w:val="bullet"/>
      <w:lvlText w:val="•"/>
      <w:lvlJc w:val="left"/>
      <w:pPr>
        <w:ind w:left="2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EE1628">
      <w:start w:val="1"/>
      <w:numFmt w:val="bullet"/>
      <w:lvlText w:val="o"/>
      <w:lvlJc w:val="left"/>
      <w:pPr>
        <w:ind w:left="3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641926">
      <w:start w:val="1"/>
      <w:numFmt w:val="bullet"/>
      <w:lvlText w:val="▪"/>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02D77E">
      <w:start w:val="1"/>
      <w:numFmt w:val="bullet"/>
      <w:lvlText w:val="•"/>
      <w:lvlJc w:val="left"/>
      <w:pPr>
        <w:ind w:left="4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A62EA">
      <w:start w:val="1"/>
      <w:numFmt w:val="bullet"/>
      <w:lvlText w:val="o"/>
      <w:lvlJc w:val="left"/>
      <w:pPr>
        <w:ind w:left="5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228BD6">
      <w:start w:val="1"/>
      <w:numFmt w:val="bullet"/>
      <w:lvlText w:val="▪"/>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4D76F7"/>
    <w:multiLevelType w:val="hybridMultilevel"/>
    <w:tmpl w:val="5D8893A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9" w15:restartNumberingAfterBreak="0">
    <w:nsid w:val="2E30110D"/>
    <w:multiLevelType w:val="hybridMultilevel"/>
    <w:tmpl w:val="9018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D3A3B"/>
    <w:multiLevelType w:val="hybridMultilevel"/>
    <w:tmpl w:val="63F2C99A"/>
    <w:lvl w:ilvl="0" w:tplc="08090001">
      <w:start w:val="1"/>
      <w:numFmt w:val="bullet"/>
      <w:lvlText w:val=""/>
      <w:lvlJc w:val="left"/>
      <w:pPr>
        <w:ind w:left="58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ED6F89"/>
    <w:multiLevelType w:val="hybridMultilevel"/>
    <w:tmpl w:val="6C6C09A8"/>
    <w:lvl w:ilvl="0" w:tplc="08090001">
      <w:start w:val="1"/>
      <w:numFmt w:val="bullet"/>
      <w:lvlText w:val=""/>
      <w:lvlJc w:val="left"/>
      <w:pPr>
        <w:ind w:left="1615" w:hanging="360"/>
      </w:pPr>
      <w:rPr>
        <w:rFonts w:ascii="Symbol" w:hAnsi="Symbol" w:hint="default"/>
      </w:rPr>
    </w:lvl>
    <w:lvl w:ilvl="1" w:tplc="08090003" w:tentative="1">
      <w:start w:val="1"/>
      <w:numFmt w:val="bullet"/>
      <w:lvlText w:val="o"/>
      <w:lvlJc w:val="left"/>
      <w:pPr>
        <w:ind w:left="2335" w:hanging="360"/>
      </w:pPr>
      <w:rPr>
        <w:rFonts w:ascii="Courier New" w:hAnsi="Courier New" w:cs="Courier New" w:hint="default"/>
      </w:rPr>
    </w:lvl>
    <w:lvl w:ilvl="2" w:tplc="08090005" w:tentative="1">
      <w:start w:val="1"/>
      <w:numFmt w:val="bullet"/>
      <w:lvlText w:val=""/>
      <w:lvlJc w:val="left"/>
      <w:pPr>
        <w:ind w:left="3055" w:hanging="360"/>
      </w:pPr>
      <w:rPr>
        <w:rFonts w:ascii="Wingdings" w:hAnsi="Wingdings" w:hint="default"/>
      </w:rPr>
    </w:lvl>
    <w:lvl w:ilvl="3" w:tplc="08090001" w:tentative="1">
      <w:start w:val="1"/>
      <w:numFmt w:val="bullet"/>
      <w:lvlText w:val=""/>
      <w:lvlJc w:val="left"/>
      <w:pPr>
        <w:ind w:left="3775" w:hanging="360"/>
      </w:pPr>
      <w:rPr>
        <w:rFonts w:ascii="Symbol" w:hAnsi="Symbol" w:hint="default"/>
      </w:rPr>
    </w:lvl>
    <w:lvl w:ilvl="4" w:tplc="08090003" w:tentative="1">
      <w:start w:val="1"/>
      <w:numFmt w:val="bullet"/>
      <w:lvlText w:val="o"/>
      <w:lvlJc w:val="left"/>
      <w:pPr>
        <w:ind w:left="4495" w:hanging="360"/>
      </w:pPr>
      <w:rPr>
        <w:rFonts w:ascii="Courier New" w:hAnsi="Courier New" w:cs="Courier New" w:hint="default"/>
      </w:rPr>
    </w:lvl>
    <w:lvl w:ilvl="5" w:tplc="08090005" w:tentative="1">
      <w:start w:val="1"/>
      <w:numFmt w:val="bullet"/>
      <w:lvlText w:val=""/>
      <w:lvlJc w:val="left"/>
      <w:pPr>
        <w:ind w:left="5215" w:hanging="360"/>
      </w:pPr>
      <w:rPr>
        <w:rFonts w:ascii="Wingdings" w:hAnsi="Wingdings" w:hint="default"/>
      </w:rPr>
    </w:lvl>
    <w:lvl w:ilvl="6" w:tplc="08090001" w:tentative="1">
      <w:start w:val="1"/>
      <w:numFmt w:val="bullet"/>
      <w:lvlText w:val=""/>
      <w:lvlJc w:val="left"/>
      <w:pPr>
        <w:ind w:left="5935" w:hanging="360"/>
      </w:pPr>
      <w:rPr>
        <w:rFonts w:ascii="Symbol" w:hAnsi="Symbol" w:hint="default"/>
      </w:rPr>
    </w:lvl>
    <w:lvl w:ilvl="7" w:tplc="08090003" w:tentative="1">
      <w:start w:val="1"/>
      <w:numFmt w:val="bullet"/>
      <w:lvlText w:val="o"/>
      <w:lvlJc w:val="left"/>
      <w:pPr>
        <w:ind w:left="6655" w:hanging="360"/>
      </w:pPr>
      <w:rPr>
        <w:rFonts w:ascii="Courier New" w:hAnsi="Courier New" w:cs="Courier New" w:hint="default"/>
      </w:rPr>
    </w:lvl>
    <w:lvl w:ilvl="8" w:tplc="08090005" w:tentative="1">
      <w:start w:val="1"/>
      <w:numFmt w:val="bullet"/>
      <w:lvlText w:val=""/>
      <w:lvlJc w:val="left"/>
      <w:pPr>
        <w:ind w:left="7375" w:hanging="360"/>
      </w:pPr>
      <w:rPr>
        <w:rFonts w:ascii="Wingdings" w:hAnsi="Wingdings" w:hint="default"/>
      </w:rPr>
    </w:lvl>
  </w:abstractNum>
  <w:abstractNum w:abstractNumId="12" w15:restartNumberingAfterBreak="0">
    <w:nsid w:val="34473CDE"/>
    <w:multiLevelType w:val="hybridMultilevel"/>
    <w:tmpl w:val="9AA6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A756F"/>
    <w:multiLevelType w:val="hybridMultilevel"/>
    <w:tmpl w:val="050624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85E27F7"/>
    <w:multiLevelType w:val="hybridMultilevel"/>
    <w:tmpl w:val="C616E602"/>
    <w:lvl w:ilvl="0" w:tplc="898A054C">
      <w:start w:val="2"/>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AB5C0">
      <w:start w:val="1"/>
      <w:numFmt w:val="bullet"/>
      <w:lvlText w:val="•"/>
      <w:lvlJc w:val="left"/>
      <w:pPr>
        <w:ind w:left="1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C25ACC">
      <w:start w:val="1"/>
      <w:numFmt w:val="bullet"/>
      <w:lvlText w:val="▪"/>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00AC24">
      <w:start w:val="1"/>
      <w:numFmt w:val="bullet"/>
      <w:lvlText w:val="•"/>
      <w:lvlJc w:val="left"/>
      <w:pPr>
        <w:ind w:left="2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D280C0">
      <w:start w:val="1"/>
      <w:numFmt w:val="bullet"/>
      <w:lvlText w:val="o"/>
      <w:lvlJc w:val="left"/>
      <w:pPr>
        <w:ind w:left="3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E4CA48">
      <w:start w:val="1"/>
      <w:numFmt w:val="bullet"/>
      <w:lvlText w:val="▪"/>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9A06D4">
      <w:start w:val="1"/>
      <w:numFmt w:val="bullet"/>
      <w:lvlText w:val="•"/>
      <w:lvlJc w:val="left"/>
      <w:pPr>
        <w:ind w:left="4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6229AA">
      <w:start w:val="1"/>
      <w:numFmt w:val="bullet"/>
      <w:lvlText w:val="o"/>
      <w:lvlJc w:val="left"/>
      <w:pPr>
        <w:ind w:left="5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E2CFF0">
      <w:start w:val="1"/>
      <w:numFmt w:val="bullet"/>
      <w:lvlText w:val="▪"/>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B84CFF"/>
    <w:multiLevelType w:val="hybridMultilevel"/>
    <w:tmpl w:val="3F8C4306"/>
    <w:lvl w:ilvl="0" w:tplc="BD7A64A2">
      <w:start w:val="1"/>
      <w:numFmt w:val="bullet"/>
      <w:lvlText w:val="•"/>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3C8640">
      <w:start w:val="1"/>
      <w:numFmt w:val="bullet"/>
      <w:lvlText w:val="o"/>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F013A8">
      <w:start w:val="1"/>
      <w:numFmt w:val="bullet"/>
      <w:lvlText w:val="▪"/>
      <w:lvlJc w:val="left"/>
      <w:pPr>
        <w:ind w:left="2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E843E8">
      <w:start w:val="1"/>
      <w:numFmt w:val="bullet"/>
      <w:lvlText w:val="•"/>
      <w:lvlJc w:val="left"/>
      <w:pPr>
        <w:ind w:left="3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8E03FA">
      <w:start w:val="1"/>
      <w:numFmt w:val="bullet"/>
      <w:lvlText w:val="o"/>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308F36">
      <w:start w:val="1"/>
      <w:numFmt w:val="bullet"/>
      <w:lvlText w:val="▪"/>
      <w:lvlJc w:val="left"/>
      <w:pPr>
        <w:ind w:left="4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0A5474">
      <w:start w:val="1"/>
      <w:numFmt w:val="bullet"/>
      <w:lvlText w:val="•"/>
      <w:lvlJc w:val="left"/>
      <w:pPr>
        <w:ind w:left="5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D09E58">
      <w:start w:val="1"/>
      <w:numFmt w:val="bullet"/>
      <w:lvlText w:val="o"/>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F2C2F8">
      <w:start w:val="1"/>
      <w:numFmt w:val="bullet"/>
      <w:lvlText w:val="▪"/>
      <w:lvlJc w:val="left"/>
      <w:pPr>
        <w:ind w:left="6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BF1918"/>
    <w:multiLevelType w:val="hybridMultilevel"/>
    <w:tmpl w:val="A09AC33E"/>
    <w:lvl w:ilvl="0" w:tplc="A5485EC2">
      <w:start w:val="27"/>
      <w:numFmt w:val="decimal"/>
      <w:lvlText w:val="%1."/>
      <w:lvlJc w:val="left"/>
      <w:pPr>
        <w:ind w:left="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EF70A">
      <w:start w:val="1"/>
      <w:numFmt w:val="bullet"/>
      <w:lvlText w:val="•"/>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CEC28C">
      <w:start w:val="1"/>
      <w:numFmt w:val="bullet"/>
      <w:lvlText w:val="▪"/>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780B62">
      <w:start w:val="1"/>
      <w:numFmt w:val="bullet"/>
      <w:lvlText w:val="•"/>
      <w:lvlJc w:val="left"/>
      <w:pPr>
        <w:ind w:left="2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220688">
      <w:start w:val="1"/>
      <w:numFmt w:val="bullet"/>
      <w:lvlText w:val="o"/>
      <w:lvlJc w:val="left"/>
      <w:pPr>
        <w:ind w:left="3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FE3566">
      <w:start w:val="1"/>
      <w:numFmt w:val="bullet"/>
      <w:lvlText w:val="▪"/>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BA872C">
      <w:start w:val="1"/>
      <w:numFmt w:val="bullet"/>
      <w:lvlText w:val="•"/>
      <w:lvlJc w:val="left"/>
      <w:pPr>
        <w:ind w:left="4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049254">
      <w:start w:val="1"/>
      <w:numFmt w:val="bullet"/>
      <w:lvlText w:val="o"/>
      <w:lvlJc w:val="left"/>
      <w:pPr>
        <w:ind w:left="5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72FA8C">
      <w:start w:val="1"/>
      <w:numFmt w:val="bullet"/>
      <w:lvlText w:val="▪"/>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F0350E"/>
    <w:multiLevelType w:val="hybridMultilevel"/>
    <w:tmpl w:val="2FA67FDE"/>
    <w:lvl w:ilvl="0" w:tplc="0D5499C4">
      <w:start w:val="3"/>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003092">
      <w:start w:val="1"/>
      <w:numFmt w:val="bullet"/>
      <w:lvlText w:val="•"/>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9E3DAE">
      <w:start w:val="1"/>
      <w:numFmt w:val="bullet"/>
      <w:lvlText w:val="▪"/>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6EE99C">
      <w:start w:val="1"/>
      <w:numFmt w:val="bullet"/>
      <w:lvlText w:val="•"/>
      <w:lvlJc w:val="left"/>
      <w:pPr>
        <w:ind w:left="2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4E0EB4">
      <w:start w:val="1"/>
      <w:numFmt w:val="bullet"/>
      <w:lvlText w:val="o"/>
      <w:lvlJc w:val="left"/>
      <w:pPr>
        <w:ind w:left="3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EEB0D0">
      <w:start w:val="1"/>
      <w:numFmt w:val="bullet"/>
      <w:lvlText w:val="▪"/>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7A16C6">
      <w:start w:val="1"/>
      <w:numFmt w:val="bullet"/>
      <w:lvlText w:val="•"/>
      <w:lvlJc w:val="left"/>
      <w:pPr>
        <w:ind w:left="4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FE6690">
      <w:start w:val="1"/>
      <w:numFmt w:val="bullet"/>
      <w:lvlText w:val="o"/>
      <w:lvlJc w:val="left"/>
      <w:pPr>
        <w:ind w:left="5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D0C882">
      <w:start w:val="1"/>
      <w:numFmt w:val="bullet"/>
      <w:lvlText w:val="▪"/>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3F12D6"/>
    <w:multiLevelType w:val="hybridMultilevel"/>
    <w:tmpl w:val="5B0AEA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72349ED4">
      <w:start w:val="13"/>
      <w:numFmt w:val="bullet"/>
      <w:lvlText w:val=""/>
      <w:lvlJc w:val="left"/>
      <w:pPr>
        <w:ind w:left="2340" w:hanging="360"/>
      </w:pPr>
      <w:rPr>
        <w:rFonts w:ascii="Symbol" w:eastAsia="Courier New" w:hAnsi="Symbol"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801547"/>
    <w:multiLevelType w:val="hybridMultilevel"/>
    <w:tmpl w:val="F702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140CAF"/>
    <w:multiLevelType w:val="hybridMultilevel"/>
    <w:tmpl w:val="8022FC78"/>
    <w:lvl w:ilvl="0" w:tplc="1B26DF08">
      <w:start w:val="5"/>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16FD7A">
      <w:start w:val="1"/>
      <w:numFmt w:val="bullet"/>
      <w:lvlText w:val="•"/>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8E9C72">
      <w:start w:val="1"/>
      <w:numFmt w:val="bullet"/>
      <w:lvlText w:val="▪"/>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AE4C6">
      <w:start w:val="1"/>
      <w:numFmt w:val="bullet"/>
      <w:lvlText w:val="•"/>
      <w:lvlJc w:val="left"/>
      <w:pPr>
        <w:ind w:left="2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90B668">
      <w:start w:val="1"/>
      <w:numFmt w:val="bullet"/>
      <w:lvlText w:val="o"/>
      <w:lvlJc w:val="left"/>
      <w:pPr>
        <w:ind w:left="3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78B802">
      <w:start w:val="1"/>
      <w:numFmt w:val="bullet"/>
      <w:lvlText w:val="▪"/>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ECE044">
      <w:start w:val="1"/>
      <w:numFmt w:val="bullet"/>
      <w:lvlText w:val="•"/>
      <w:lvlJc w:val="left"/>
      <w:pPr>
        <w:ind w:left="4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0CDE6">
      <w:start w:val="1"/>
      <w:numFmt w:val="bullet"/>
      <w:lvlText w:val="o"/>
      <w:lvlJc w:val="left"/>
      <w:pPr>
        <w:ind w:left="5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789474">
      <w:start w:val="1"/>
      <w:numFmt w:val="bullet"/>
      <w:lvlText w:val="▪"/>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9E32744"/>
    <w:multiLevelType w:val="hybridMultilevel"/>
    <w:tmpl w:val="0C1C01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16240A8"/>
    <w:multiLevelType w:val="hybridMultilevel"/>
    <w:tmpl w:val="7D06CF40"/>
    <w:lvl w:ilvl="0" w:tplc="8AD45880">
      <w:start w:val="23"/>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50B7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74A8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4423D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64C9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8FE0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06186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1C70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C257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441590F"/>
    <w:multiLevelType w:val="hybridMultilevel"/>
    <w:tmpl w:val="9F02AE3E"/>
    <w:lvl w:ilvl="0" w:tplc="24A8CA62">
      <w:start w:val="13"/>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47256">
      <w:start w:val="1"/>
      <w:numFmt w:val="bullet"/>
      <w:lvlText w:val="•"/>
      <w:lvlJc w:val="left"/>
      <w:pPr>
        <w:ind w:left="1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8112A">
      <w:start w:val="1"/>
      <w:numFmt w:val="bullet"/>
      <w:lvlText w:val="▪"/>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C63058">
      <w:start w:val="1"/>
      <w:numFmt w:val="bullet"/>
      <w:lvlText w:val="•"/>
      <w:lvlJc w:val="left"/>
      <w:pPr>
        <w:ind w:left="2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6CCF06">
      <w:start w:val="1"/>
      <w:numFmt w:val="bullet"/>
      <w:lvlText w:val="o"/>
      <w:lvlJc w:val="left"/>
      <w:pPr>
        <w:ind w:left="3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C05C38">
      <w:start w:val="1"/>
      <w:numFmt w:val="bullet"/>
      <w:lvlText w:val="▪"/>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D6D9B2">
      <w:start w:val="1"/>
      <w:numFmt w:val="bullet"/>
      <w:lvlText w:val="•"/>
      <w:lvlJc w:val="left"/>
      <w:pPr>
        <w:ind w:left="4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A8966A">
      <w:start w:val="1"/>
      <w:numFmt w:val="bullet"/>
      <w:lvlText w:val="o"/>
      <w:lvlJc w:val="left"/>
      <w:pPr>
        <w:ind w:left="5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9C7A16">
      <w:start w:val="1"/>
      <w:numFmt w:val="bullet"/>
      <w:lvlText w:val="▪"/>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4D5D2C"/>
    <w:multiLevelType w:val="hybridMultilevel"/>
    <w:tmpl w:val="33D84DB8"/>
    <w:lvl w:ilvl="0" w:tplc="06926DCE">
      <w:start w:val="23"/>
      <w:numFmt w:val="decimal"/>
      <w:lvlText w:val="%1."/>
      <w:lvlJc w:val="left"/>
      <w:pPr>
        <w:ind w:left="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106D3E">
      <w:start w:val="1"/>
      <w:numFmt w:val="bullet"/>
      <w:lvlText w:val="•"/>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EA22C6">
      <w:start w:val="1"/>
      <w:numFmt w:val="bullet"/>
      <w:lvlText w:val="▪"/>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74512A">
      <w:start w:val="1"/>
      <w:numFmt w:val="bullet"/>
      <w:lvlText w:val="•"/>
      <w:lvlJc w:val="left"/>
      <w:pPr>
        <w:ind w:left="2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2E6118">
      <w:start w:val="1"/>
      <w:numFmt w:val="bullet"/>
      <w:lvlText w:val="o"/>
      <w:lvlJc w:val="left"/>
      <w:pPr>
        <w:ind w:left="3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7ADF28">
      <w:start w:val="1"/>
      <w:numFmt w:val="bullet"/>
      <w:lvlText w:val="▪"/>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C871B4">
      <w:start w:val="1"/>
      <w:numFmt w:val="bullet"/>
      <w:lvlText w:val="•"/>
      <w:lvlJc w:val="left"/>
      <w:pPr>
        <w:ind w:left="4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87E56">
      <w:start w:val="1"/>
      <w:numFmt w:val="bullet"/>
      <w:lvlText w:val="o"/>
      <w:lvlJc w:val="left"/>
      <w:pPr>
        <w:ind w:left="5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963610">
      <w:start w:val="1"/>
      <w:numFmt w:val="bullet"/>
      <w:lvlText w:val="▪"/>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D21A20"/>
    <w:multiLevelType w:val="hybridMultilevel"/>
    <w:tmpl w:val="EE40B5A6"/>
    <w:lvl w:ilvl="0" w:tplc="26AAB8D4">
      <w:start w:val="16"/>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8C991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FAC4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703FD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E65F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5C942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22810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6CD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28F5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FF669D"/>
    <w:multiLevelType w:val="hybridMultilevel"/>
    <w:tmpl w:val="B44E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825E9"/>
    <w:multiLevelType w:val="hybridMultilevel"/>
    <w:tmpl w:val="D5DAC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8F1E81"/>
    <w:multiLevelType w:val="hybridMultilevel"/>
    <w:tmpl w:val="C58C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B6D62"/>
    <w:multiLevelType w:val="hybridMultilevel"/>
    <w:tmpl w:val="14B27628"/>
    <w:lvl w:ilvl="0" w:tplc="685E43CC">
      <w:start w:val="11"/>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E8B72A">
      <w:start w:val="1"/>
      <w:numFmt w:val="bullet"/>
      <w:lvlText w:val="•"/>
      <w:lvlJc w:val="left"/>
      <w:pPr>
        <w:ind w:left="1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0C1094">
      <w:start w:val="1"/>
      <w:numFmt w:val="bullet"/>
      <w:lvlText w:val="o"/>
      <w:lvlJc w:val="left"/>
      <w:pPr>
        <w:ind w:left="15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D6091A0">
      <w:start w:val="1"/>
      <w:numFmt w:val="bullet"/>
      <w:lvlText w:val="•"/>
      <w:lvlJc w:val="left"/>
      <w:pPr>
        <w:ind w:left="22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324D312">
      <w:start w:val="1"/>
      <w:numFmt w:val="bullet"/>
      <w:lvlText w:val="o"/>
      <w:lvlJc w:val="left"/>
      <w:pPr>
        <w:ind w:left="29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B9A5342">
      <w:start w:val="1"/>
      <w:numFmt w:val="bullet"/>
      <w:lvlText w:val="▪"/>
      <w:lvlJc w:val="left"/>
      <w:pPr>
        <w:ind w:left="36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BA85894">
      <w:start w:val="1"/>
      <w:numFmt w:val="bullet"/>
      <w:lvlText w:val="•"/>
      <w:lvlJc w:val="left"/>
      <w:pPr>
        <w:ind w:left="43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99C3A2C">
      <w:start w:val="1"/>
      <w:numFmt w:val="bullet"/>
      <w:lvlText w:val="o"/>
      <w:lvlJc w:val="left"/>
      <w:pPr>
        <w:ind w:left="51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6107304">
      <w:start w:val="1"/>
      <w:numFmt w:val="bullet"/>
      <w:lvlText w:val="▪"/>
      <w:lvlJc w:val="left"/>
      <w:pPr>
        <w:ind w:left="58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857AFB"/>
    <w:multiLevelType w:val="hybridMultilevel"/>
    <w:tmpl w:val="95509148"/>
    <w:lvl w:ilvl="0" w:tplc="DD161D9A">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5E6764">
      <w:start w:val="1"/>
      <w:numFmt w:val="bullet"/>
      <w:lvlText w:val="o"/>
      <w:lvlJc w:val="left"/>
      <w:pPr>
        <w:ind w:left="1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30C96A">
      <w:start w:val="1"/>
      <w:numFmt w:val="bullet"/>
      <w:lvlText w:val="▪"/>
      <w:lvlJc w:val="left"/>
      <w:pPr>
        <w:ind w:left="2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7EECBC">
      <w:start w:val="1"/>
      <w:numFmt w:val="bullet"/>
      <w:lvlText w:val="•"/>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80D90">
      <w:start w:val="1"/>
      <w:numFmt w:val="bullet"/>
      <w:lvlText w:val="o"/>
      <w:lvlJc w:val="left"/>
      <w:pPr>
        <w:ind w:left="3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6C6D84">
      <w:start w:val="1"/>
      <w:numFmt w:val="bullet"/>
      <w:lvlText w:val="▪"/>
      <w:lvlJc w:val="left"/>
      <w:pPr>
        <w:ind w:left="4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561D42">
      <w:start w:val="1"/>
      <w:numFmt w:val="bullet"/>
      <w:lvlText w:val="•"/>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84459C">
      <w:start w:val="1"/>
      <w:numFmt w:val="bullet"/>
      <w:lvlText w:val="o"/>
      <w:lvlJc w:val="left"/>
      <w:pPr>
        <w:ind w:left="5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D2B566">
      <w:start w:val="1"/>
      <w:numFmt w:val="bullet"/>
      <w:lvlText w:val="▪"/>
      <w:lvlJc w:val="left"/>
      <w:pPr>
        <w:ind w:left="6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63E6D9D"/>
    <w:multiLevelType w:val="hybridMultilevel"/>
    <w:tmpl w:val="C40A329A"/>
    <w:lvl w:ilvl="0" w:tplc="ABF0ABF6">
      <w:start w:val="18"/>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88C2DC">
      <w:start w:val="1"/>
      <w:numFmt w:val="bullet"/>
      <w:lvlText w:val="•"/>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3CF662">
      <w:start w:val="1"/>
      <w:numFmt w:val="bullet"/>
      <w:lvlText w:val="▪"/>
      <w:lvlJc w:val="left"/>
      <w:pPr>
        <w:ind w:left="1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36267C">
      <w:start w:val="1"/>
      <w:numFmt w:val="bullet"/>
      <w:lvlText w:val="•"/>
      <w:lvlJc w:val="left"/>
      <w:pPr>
        <w:ind w:left="2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B088EA">
      <w:start w:val="1"/>
      <w:numFmt w:val="bullet"/>
      <w:lvlText w:val="o"/>
      <w:lvlJc w:val="left"/>
      <w:pPr>
        <w:ind w:left="3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01966">
      <w:start w:val="1"/>
      <w:numFmt w:val="bullet"/>
      <w:lvlText w:val="▪"/>
      <w:lvlJc w:val="left"/>
      <w:pPr>
        <w:ind w:left="4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746FB2">
      <w:start w:val="1"/>
      <w:numFmt w:val="bullet"/>
      <w:lvlText w:val="•"/>
      <w:lvlJc w:val="left"/>
      <w:pPr>
        <w:ind w:left="4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F84E64">
      <w:start w:val="1"/>
      <w:numFmt w:val="bullet"/>
      <w:lvlText w:val="o"/>
      <w:lvlJc w:val="left"/>
      <w:pPr>
        <w:ind w:left="5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5A3FF8">
      <w:start w:val="1"/>
      <w:numFmt w:val="bullet"/>
      <w:lvlText w:val="▪"/>
      <w:lvlJc w:val="left"/>
      <w:pPr>
        <w:ind w:left="6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A130CAB"/>
    <w:multiLevelType w:val="hybridMultilevel"/>
    <w:tmpl w:val="CFFEE8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AE56916E">
      <w:start w:val="2"/>
      <w:numFmt w:val="bullet"/>
      <w:lvlText w:val="-"/>
      <w:lvlJc w:val="left"/>
      <w:pPr>
        <w:ind w:left="2880" w:hanging="360"/>
      </w:pPr>
      <w:rPr>
        <w:rFonts w:ascii="Arial" w:eastAsia="Arial"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F83E10"/>
    <w:multiLevelType w:val="hybridMultilevel"/>
    <w:tmpl w:val="51B4FBD0"/>
    <w:lvl w:ilvl="0" w:tplc="F6F016C6">
      <w:start w:val="12"/>
      <w:numFmt w:val="decimal"/>
      <w:lvlText w:val="%1."/>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7EA7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B020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DC4EC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A3F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F858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58DC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6EA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D64F5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0858416">
    <w:abstractNumId w:val="14"/>
  </w:num>
  <w:num w:numId="2" w16cid:durableId="499852279">
    <w:abstractNumId w:val="7"/>
  </w:num>
  <w:num w:numId="3" w16cid:durableId="1231423239">
    <w:abstractNumId w:val="29"/>
  </w:num>
  <w:num w:numId="4" w16cid:durableId="1209103000">
    <w:abstractNumId w:val="23"/>
  </w:num>
  <w:num w:numId="5" w16cid:durableId="1836528606">
    <w:abstractNumId w:val="25"/>
  </w:num>
  <w:num w:numId="6" w16cid:durableId="877280016">
    <w:abstractNumId w:val="6"/>
  </w:num>
  <w:num w:numId="7" w16cid:durableId="155613389">
    <w:abstractNumId w:val="17"/>
  </w:num>
  <w:num w:numId="8" w16cid:durableId="157892902">
    <w:abstractNumId w:val="20"/>
  </w:num>
  <w:num w:numId="9" w16cid:durableId="1436824842">
    <w:abstractNumId w:val="33"/>
  </w:num>
  <w:num w:numId="10" w16cid:durableId="337119788">
    <w:abstractNumId w:val="15"/>
  </w:num>
  <w:num w:numId="11" w16cid:durableId="1993485332">
    <w:abstractNumId w:val="31"/>
  </w:num>
  <w:num w:numId="12" w16cid:durableId="1162696958">
    <w:abstractNumId w:val="22"/>
  </w:num>
  <w:num w:numId="13" w16cid:durableId="408423972">
    <w:abstractNumId w:val="4"/>
  </w:num>
  <w:num w:numId="14" w16cid:durableId="1038239186">
    <w:abstractNumId w:val="18"/>
  </w:num>
  <w:num w:numId="15" w16cid:durableId="132675359">
    <w:abstractNumId w:val="13"/>
  </w:num>
  <w:num w:numId="16" w16cid:durableId="751897561">
    <w:abstractNumId w:val="11"/>
  </w:num>
  <w:num w:numId="17" w16cid:durableId="251933034">
    <w:abstractNumId w:val="21"/>
  </w:num>
  <w:num w:numId="18" w16cid:durableId="1663199094">
    <w:abstractNumId w:val="32"/>
  </w:num>
  <w:num w:numId="19" w16cid:durableId="910315300">
    <w:abstractNumId w:val="27"/>
  </w:num>
  <w:num w:numId="20" w16cid:durableId="2025325684">
    <w:abstractNumId w:val="3"/>
  </w:num>
  <w:num w:numId="21" w16cid:durableId="474033018">
    <w:abstractNumId w:val="5"/>
  </w:num>
  <w:num w:numId="22" w16cid:durableId="877475747">
    <w:abstractNumId w:val="9"/>
  </w:num>
  <w:num w:numId="23" w16cid:durableId="180168106">
    <w:abstractNumId w:val="12"/>
  </w:num>
  <w:num w:numId="24" w16cid:durableId="990982567">
    <w:abstractNumId w:val="0"/>
  </w:num>
  <w:num w:numId="25" w16cid:durableId="70741492">
    <w:abstractNumId w:val="26"/>
  </w:num>
  <w:num w:numId="26" w16cid:durableId="654337363">
    <w:abstractNumId w:val="28"/>
  </w:num>
  <w:num w:numId="27" w16cid:durableId="1667588766">
    <w:abstractNumId w:val="1"/>
  </w:num>
  <w:num w:numId="28" w16cid:durableId="1298757860">
    <w:abstractNumId w:val="8"/>
  </w:num>
  <w:num w:numId="29" w16cid:durableId="926383607">
    <w:abstractNumId w:val="10"/>
  </w:num>
  <w:num w:numId="30" w16cid:durableId="1139345172">
    <w:abstractNumId w:val="24"/>
  </w:num>
  <w:num w:numId="31" w16cid:durableId="1573732109">
    <w:abstractNumId w:val="16"/>
  </w:num>
  <w:num w:numId="32" w16cid:durableId="440758822">
    <w:abstractNumId w:val="30"/>
  </w:num>
  <w:num w:numId="33" w16cid:durableId="808087380">
    <w:abstractNumId w:val="19"/>
  </w:num>
  <w:num w:numId="34" w16cid:durableId="495807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42"/>
    <w:rsid w:val="00110406"/>
    <w:rsid w:val="001D69CB"/>
    <w:rsid w:val="002D54A3"/>
    <w:rsid w:val="00B87AEC"/>
    <w:rsid w:val="00BA5F13"/>
    <w:rsid w:val="00D45BB2"/>
    <w:rsid w:val="00D83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8C3F"/>
  <w15:docId w15:val="{65A0D718-2776-4456-BF15-3CC0471E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5" w:line="248" w:lineRule="auto"/>
      <w:ind w:left="10" w:right="323"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07"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BA5F13"/>
  </w:style>
  <w:style w:type="paragraph" w:styleId="ListParagraph">
    <w:name w:val="List Paragraph"/>
    <w:basedOn w:val="Normal"/>
    <w:uiPriority w:val="34"/>
    <w:qFormat/>
    <w:rsid w:val="00BA5F13"/>
    <w:pPr>
      <w:spacing w:after="119"/>
      <w:ind w:left="720" w:right="151" w:hanging="640"/>
      <w:contextualSpacing/>
    </w:pPr>
  </w:style>
  <w:style w:type="table" w:styleId="TableGrid0">
    <w:name w:val="Table Grid"/>
    <w:basedOn w:val="TableNormal"/>
    <w:uiPriority w:val="39"/>
    <w:rsid w:val="002D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D508-C993-4190-AA4B-36B40C6A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11596</Words>
  <Characters>66101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Brown, Steven</dc:creator>
  <cp:keywords/>
  <cp:lastModifiedBy>Richard Edney</cp:lastModifiedBy>
  <cp:revision>2</cp:revision>
  <dcterms:created xsi:type="dcterms:W3CDTF">2024-07-11T23:06:00Z</dcterms:created>
  <dcterms:modified xsi:type="dcterms:W3CDTF">2024-07-11T23:06:00Z</dcterms:modified>
</cp:coreProperties>
</file>