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83DE" w14:textId="6809B46F" w:rsidR="006874FD" w:rsidRDefault="00813B2E" w:rsidP="00845604">
      <w:pPr>
        <w:pStyle w:val="Title"/>
        <w:rPr>
          <w:rStyle w:val="normaltextrun"/>
        </w:rPr>
      </w:pPr>
      <w:r w:rsidRPr="00845604">
        <w:rPr>
          <w:rStyle w:val="normaltextrun"/>
        </w:rPr>
        <w:t>Lancashire Combined Fire Authority</w:t>
      </w:r>
      <w:r w:rsidR="00725AA3" w:rsidRPr="00845604">
        <w:rPr>
          <w:rStyle w:val="normaltextrun"/>
        </w:rPr>
        <w:t xml:space="preserve"> </w:t>
      </w:r>
      <w:r w:rsidRPr="00845604">
        <w:rPr>
          <w:rStyle w:val="normaltextrun"/>
        </w:rPr>
        <w:t>Productivity and Efficiency Plan</w:t>
      </w:r>
      <w:r w:rsidR="00B6439B" w:rsidRPr="00845604">
        <w:rPr>
          <w:rStyle w:val="normaltextrun"/>
        </w:rPr>
        <w:t xml:space="preserve"> </w:t>
      </w:r>
      <w:r w:rsidR="009C4FF0" w:rsidRPr="00845604">
        <w:rPr>
          <w:rStyle w:val="normaltextrun"/>
        </w:rPr>
        <w:t>202</w:t>
      </w:r>
      <w:r w:rsidR="00234175" w:rsidRPr="00845604">
        <w:rPr>
          <w:rStyle w:val="normaltextrun"/>
        </w:rPr>
        <w:t>5</w:t>
      </w:r>
      <w:r w:rsidR="009C4FF0" w:rsidRPr="00845604">
        <w:rPr>
          <w:rStyle w:val="normaltextrun"/>
        </w:rPr>
        <w:t>/2</w:t>
      </w:r>
      <w:r w:rsidR="00234175" w:rsidRPr="00845604">
        <w:rPr>
          <w:rStyle w:val="normaltextrun"/>
        </w:rPr>
        <w:t>6</w:t>
      </w:r>
    </w:p>
    <w:p w14:paraId="0885A3D2" w14:textId="77777777" w:rsidR="00B379DB" w:rsidRDefault="00B379DB">
      <w:pPr>
        <w:rPr>
          <w:rStyle w:val="normaltextrun"/>
          <w:rFonts w:ascii="Arial" w:eastAsiaTheme="majorEastAsia" w:hAnsi="Arial" w:cstheme="majorBidi"/>
          <w:b/>
          <w:sz w:val="36"/>
          <w:szCs w:val="32"/>
        </w:rPr>
      </w:pPr>
      <w:bookmarkStart w:id="0" w:name="_Toc196988006"/>
      <w:r>
        <w:rPr>
          <w:rStyle w:val="normaltextrun"/>
        </w:rPr>
        <w:br w:type="page"/>
      </w:r>
    </w:p>
    <w:p w14:paraId="7613DF4F" w14:textId="4D531CD3" w:rsidR="00CE32F7" w:rsidRPr="00725AA3" w:rsidRDefault="009B12AB" w:rsidP="00725AA3">
      <w:pPr>
        <w:pStyle w:val="Heading1"/>
        <w:rPr>
          <w:rStyle w:val="normaltextrun"/>
        </w:rPr>
      </w:pPr>
      <w:r w:rsidRPr="00725AA3">
        <w:rPr>
          <w:rStyle w:val="normaltextrun"/>
        </w:rPr>
        <w:lastRenderedPageBreak/>
        <w:t>Primary information</w:t>
      </w:r>
      <w:bookmarkEnd w:id="0"/>
    </w:p>
    <w:p w14:paraId="3634C47D" w14:textId="6F9D0B97" w:rsidR="002F29AC" w:rsidRPr="00D75223" w:rsidRDefault="00CE32F7" w:rsidP="00845604">
      <w:pPr>
        <w:pStyle w:val="Heading2"/>
      </w:pPr>
      <w:bookmarkStart w:id="1" w:name="_Toc196988007"/>
      <w:r w:rsidRPr="00D75223">
        <w:t>Budget (£</w:t>
      </w:r>
      <w:r w:rsidR="003678E3" w:rsidRPr="00D75223">
        <w:t>’000</w:t>
      </w:r>
      <w:r w:rsidRPr="00D75223">
        <w:t>)</w:t>
      </w:r>
      <w:bookmarkEnd w:id="1"/>
      <w:r w:rsidR="00761CEC" w:rsidRPr="00D75223">
        <w:t xml:space="preserve"> </w:t>
      </w:r>
    </w:p>
    <w:tbl>
      <w:tblPr>
        <w:tblStyle w:val="TableGrid"/>
        <w:tblW w:w="0" w:type="auto"/>
        <w:tblLayout w:type="fixed"/>
        <w:tblLook w:val="06A0" w:firstRow="1" w:lastRow="0" w:firstColumn="1" w:lastColumn="0" w:noHBand="1" w:noVBand="1"/>
      </w:tblPr>
      <w:tblGrid>
        <w:gridCol w:w="2835"/>
        <w:gridCol w:w="1134"/>
        <w:gridCol w:w="1134"/>
        <w:gridCol w:w="1134"/>
      </w:tblGrid>
      <w:tr w:rsidR="153DD988" w:rsidRPr="00D75223" w14:paraId="47DD62E4" w14:textId="77777777" w:rsidTr="0010372D">
        <w:trPr>
          <w:trHeight w:val="255"/>
        </w:trPr>
        <w:tc>
          <w:tcPr>
            <w:tcW w:w="2835" w:type="dxa"/>
          </w:tcPr>
          <w:p w14:paraId="746068A6" w14:textId="3BCCA124" w:rsidR="7872ECC0" w:rsidRPr="00D75223" w:rsidRDefault="7872ECC0" w:rsidP="004A4D56">
            <w:pPr>
              <w:spacing w:before="100" w:beforeAutospacing="1" w:after="100" w:afterAutospacing="1"/>
              <w:rPr>
                <w:rFonts w:ascii="Arial" w:hAnsi="Arial" w:cs="Arial"/>
                <w:b/>
                <w:bCs/>
                <w:sz w:val="24"/>
                <w:szCs w:val="24"/>
              </w:rPr>
            </w:pPr>
            <w:r w:rsidRPr="00D75223">
              <w:rPr>
                <w:rFonts w:ascii="Arial" w:hAnsi="Arial" w:cs="Arial"/>
                <w:b/>
                <w:bCs/>
                <w:sz w:val="24"/>
                <w:szCs w:val="24"/>
              </w:rPr>
              <w:t>Revenue Expenditure</w:t>
            </w:r>
          </w:p>
        </w:tc>
        <w:tc>
          <w:tcPr>
            <w:tcW w:w="1134" w:type="dxa"/>
          </w:tcPr>
          <w:p w14:paraId="6CCBE31F" w14:textId="29ADDB02" w:rsidR="7872ECC0" w:rsidRPr="00D75223" w:rsidRDefault="7872ECC0"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2023/24</w:t>
            </w:r>
          </w:p>
        </w:tc>
        <w:tc>
          <w:tcPr>
            <w:tcW w:w="1134" w:type="dxa"/>
          </w:tcPr>
          <w:p w14:paraId="3024EBF4" w14:textId="66CCFF67" w:rsidR="7872ECC0" w:rsidRPr="00D75223" w:rsidRDefault="7872ECC0"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2024/25</w:t>
            </w:r>
          </w:p>
        </w:tc>
        <w:tc>
          <w:tcPr>
            <w:tcW w:w="1134" w:type="dxa"/>
          </w:tcPr>
          <w:p w14:paraId="15F6E036" w14:textId="4D1DDFE0" w:rsidR="7872ECC0" w:rsidRPr="00D75223" w:rsidRDefault="7872ECC0"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2025/26</w:t>
            </w:r>
          </w:p>
        </w:tc>
      </w:tr>
      <w:tr w:rsidR="003303AF" w:rsidRPr="00D75223" w14:paraId="27E8A629" w14:textId="77777777" w:rsidTr="0010372D">
        <w:trPr>
          <w:trHeight w:val="255"/>
        </w:trPr>
        <w:tc>
          <w:tcPr>
            <w:tcW w:w="2835" w:type="dxa"/>
          </w:tcPr>
          <w:p w14:paraId="70AD3F72" w14:textId="18A98A68" w:rsidR="003303AF" w:rsidRPr="00D75223" w:rsidRDefault="003303AF" w:rsidP="004A4D56">
            <w:pPr>
              <w:spacing w:before="100" w:beforeAutospacing="1" w:after="100" w:afterAutospacing="1"/>
              <w:rPr>
                <w:rFonts w:ascii="Arial" w:hAnsi="Arial" w:cs="Arial"/>
                <w:sz w:val="24"/>
                <w:szCs w:val="24"/>
              </w:rPr>
            </w:pPr>
            <w:r w:rsidRPr="00D75223">
              <w:rPr>
                <w:rFonts w:ascii="Arial" w:hAnsi="Arial" w:cs="Arial"/>
                <w:sz w:val="24"/>
                <w:szCs w:val="24"/>
              </w:rPr>
              <w:t>Employee</w:t>
            </w:r>
          </w:p>
        </w:tc>
        <w:tc>
          <w:tcPr>
            <w:tcW w:w="1134" w:type="dxa"/>
          </w:tcPr>
          <w:p w14:paraId="4E7929FC" w14:textId="1358D45B"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54,000 </w:t>
            </w:r>
          </w:p>
        </w:tc>
        <w:tc>
          <w:tcPr>
            <w:tcW w:w="1134" w:type="dxa"/>
          </w:tcPr>
          <w:p w14:paraId="306E0C88" w14:textId="4EBE9FAC"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59,500 </w:t>
            </w:r>
          </w:p>
        </w:tc>
        <w:tc>
          <w:tcPr>
            <w:tcW w:w="1134" w:type="dxa"/>
          </w:tcPr>
          <w:p w14:paraId="352A1ACD" w14:textId="65288ABA"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61,500 </w:t>
            </w:r>
          </w:p>
        </w:tc>
      </w:tr>
      <w:tr w:rsidR="003303AF" w:rsidRPr="00D75223" w14:paraId="4EC2CB5E" w14:textId="77777777" w:rsidTr="0010372D">
        <w:trPr>
          <w:trHeight w:val="255"/>
        </w:trPr>
        <w:tc>
          <w:tcPr>
            <w:tcW w:w="2835" w:type="dxa"/>
          </w:tcPr>
          <w:p w14:paraId="62F232A1" w14:textId="664C1BFC" w:rsidR="003303AF" w:rsidRPr="00D75223" w:rsidRDefault="003303AF" w:rsidP="004A4D56">
            <w:pPr>
              <w:spacing w:before="100" w:beforeAutospacing="1" w:after="100" w:afterAutospacing="1"/>
              <w:rPr>
                <w:rFonts w:ascii="Arial" w:hAnsi="Arial" w:cs="Arial"/>
                <w:sz w:val="24"/>
                <w:szCs w:val="24"/>
              </w:rPr>
            </w:pPr>
            <w:r w:rsidRPr="00D75223">
              <w:rPr>
                <w:rFonts w:ascii="Arial" w:hAnsi="Arial" w:cs="Arial"/>
                <w:sz w:val="24"/>
                <w:szCs w:val="24"/>
              </w:rPr>
              <w:t>Premises</w:t>
            </w:r>
          </w:p>
        </w:tc>
        <w:tc>
          <w:tcPr>
            <w:tcW w:w="1134" w:type="dxa"/>
          </w:tcPr>
          <w:p w14:paraId="302C28E2" w14:textId="56AF4153"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5,700 </w:t>
            </w:r>
          </w:p>
        </w:tc>
        <w:tc>
          <w:tcPr>
            <w:tcW w:w="1134" w:type="dxa"/>
          </w:tcPr>
          <w:p w14:paraId="568895D8" w14:textId="280E5615"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5,800 </w:t>
            </w:r>
          </w:p>
        </w:tc>
        <w:tc>
          <w:tcPr>
            <w:tcW w:w="1134" w:type="dxa"/>
          </w:tcPr>
          <w:p w14:paraId="0840C13E" w14:textId="7FADD71C"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5,800 </w:t>
            </w:r>
          </w:p>
        </w:tc>
      </w:tr>
      <w:tr w:rsidR="003303AF" w:rsidRPr="00D75223" w14:paraId="44E8585B" w14:textId="77777777" w:rsidTr="0010372D">
        <w:trPr>
          <w:trHeight w:val="255"/>
        </w:trPr>
        <w:tc>
          <w:tcPr>
            <w:tcW w:w="2835" w:type="dxa"/>
          </w:tcPr>
          <w:p w14:paraId="69EE33BB" w14:textId="41CA1274" w:rsidR="003303AF" w:rsidRPr="00D75223" w:rsidRDefault="003303AF" w:rsidP="004A4D56">
            <w:pPr>
              <w:spacing w:before="100" w:beforeAutospacing="1" w:after="100" w:afterAutospacing="1"/>
              <w:rPr>
                <w:rFonts w:ascii="Arial" w:hAnsi="Arial" w:cs="Arial"/>
                <w:sz w:val="24"/>
                <w:szCs w:val="24"/>
              </w:rPr>
            </w:pPr>
            <w:r w:rsidRPr="00D75223">
              <w:rPr>
                <w:rFonts w:ascii="Arial" w:hAnsi="Arial" w:cs="Arial"/>
                <w:sz w:val="24"/>
                <w:szCs w:val="24"/>
              </w:rPr>
              <w:t>Transport</w:t>
            </w:r>
          </w:p>
        </w:tc>
        <w:tc>
          <w:tcPr>
            <w:tcW w:w="1134" w:type="dxa"/>
          </w:tcPr>
          <w:p w14:paraId="4B00D8B0" w14:textId="7F919B83"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2,300 </w:t>
            </w:r>
          </w:p>
        </w:tc>
        <w:tc>
          <w:tcPr>
            <w:tcW w:w="1134" w:type="dxa"/>
          </w:tcPr>
          <w:p w14:paraId="140386CC" w14:textId="1C6E04E8"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2,300 </w:t>
            </w:r>
          </w:p>
        </w:tc>
        <w:tc>
          <w:tcPr>
            <w:tcW w:w="1134" w:type="dxa"/>
          </w:tcPr>
          <w:p w14:paraId="79F9FB52" w14:textId="0F4A58EF"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2,400 </w:t>
            </w:r>
          </w:p>
        </w:tc>
      </w:tr>
      <w:tr w:rsidR="003303AF" w:rsidRPr="00D75223" w14:paraId="5B2B03A2" w14:textId="77777777" w:rsidTr="0010372D">
        <w:trPr>
          <w:trHeight w:val="255"/>
        </w:trPr>
        <w:tc>
          <w:tcPr>
            <w:tcW w:w="2835" w:type="dxa"/>
          </w:tcPr>
          <w:p w14:paraId="6B25AE49" w14:textId="59A2DBD8" w:rsidR="003303AF" w:rsidRPr="00D75223" w:rsidRDefault="003303AF" w:rsidP="004A4D56">
            <w:pPr>
              <w:spacing w:before="100" w:beforeAutospacing="1" w:after="100" w:afterAutospacing="1"/>
              <w:rPr>
                <w:rFonts w:ascii="Arial" w:hAnsi="Arial" w:cs="Arial"/>
                <w:sz w:val="24"/>
                <w:szCs w:val="24"/>
              </w:rPr>
            </w:pPr>
            <w:r w:rsidRPr="00D75223">
              <w:rPr>
                <w:rFonts w:ascii="Arial" w:hAnsi="Arial" w:cs="Arial"/>
                <w:sz w:val="24"/>
                <w:szCs w:val="24"/>
              </w:rPr>
              <w:t>Supplies &amp; Services</w:t>
            </w:r>
          </w:p>
        </w:tc>
        <w:tc>
          <w:tcPr>
            <w:tcW w:w="1134" w:type="dxa"/>
          </w:tcPr>
          <w:p w14:paraId="5624E875" w14:textId="3E8A2668"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7,700 </w:t>
            </w:r>
          </w:p>
        </w:tc>
        <w:tc>
          <w:tcPr>
            <w:tcW w:w="1134" w:type="dxa"/>
          </w:tcPr>
          <w:p w14:paraId="74223B4C" w14:textId="21A95538"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9,600 </w:t>
            </w:r>
          </w:p>
        </w:tc>
        <w:tc>
          <w:tcPr>
            <w:tcW w:w="1134" w:type="dxa"/>
          </w:tcPr>
          <w:p w14:paraId="49D5D36D" w14:textId="7030BF3E"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10,500 </w:t>
            </w:r>
          </w:p>
        </w:tc>
      </w:tr>
      <w:tr w:rsidR="003303AF" w:rsidRPr="00D75223" w14:paraId="7A9E83CA" w14:textId="77777777" w:rsidTr="0010372D">
        <w:trPr>
          <w:trHeight w:val="255"/>
        </w:trPr>
        <w:tc>
          <w:tcPr>
            <w:tcW w:w="2835" w:type="dxa"/>
          </w:tcPr>
          <w:p w14:paraId="0B9D26F8" w14:textId="7014F907" w:rsidR="003303AF" w:rsidRPr="00D75223" w:rsidRDefault="003303AF" w:rsidP="004A4D56">
            <w:pPr>
              <w:spacing w:before="100" w:beforeAutospacing="1" w:after="100" w:afterAutospacing="1"/>
              <w:rPr>
                <w:rFonts w:ascii="Arial" w:hAnsi="Arial" w:cs="Arial"/>
                <w:sz w:val="24"/>
                <w:szCs w:val="24"/>
              </w:rPr>
            </w:pPr>
            <w:r w:rsidRPr="00D75223">
              <w:rPr>
                <w:rFonts w:ascii="Arial" w:hAnsi="Arial" w:cs="Arial"/>
                <w:sz w:val="24"/>
                <w:szCs w:val="24"/>
              </w:rPr>
              <w:t>Capital Financing Costs</w:t>
            </w:r>
          </w:p>
        </w:tc>
        <w:tc>
          <w:tcPr>
            <w:tcW w:w="1134" w:type="dxa"/>
          </w:tcPr>
          <w:p w14:paraId="073D6C53" w14:textId="53FF9BE8"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4,100 </w:t>
            </w:r>
          </w:p>
        </w:tc>
        <w:tc>
          <w:tcPr>
            <w:tcW w:w="1134" w:type="dxa"/>
          </w:tcPr>
          <w:p w14:paraId="40488380" w14:textId="59ACBE8C"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2,600 </w:t>
            </w:r>
          </w:p>
        </w:tc>
        <w:tc>
          <w:tcPr>
            <w:tcW w:w="1134" w:type="dxa"/>
          </w:tcPr>
          <w:p w14:paraId="3048E33D" w14:textId="2F8BAE4B"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2,600 </w:t>
            </w:r>
          </w:p>
        </w:tc>
      </w:tr>
      <w:tr w:rsidR="003303AF" w:rsidRPr="00D75223" w14:paraId="77798833" w14:textId="77777777" w:rsidTr="0010372D">
        <w:trPr>
          <w:trHeight w:val="255"/>
        </w:trPr>
        <w:tc>
          <w:tcPr>
            <w:tcW w:w="2835" w:type="dxa"/>
          </w:tcPr>
          <w:p w14:paraId="0485CFF5" w14:textId="77777777" w:rsidR="003303AF" w:rsidRPr="00D75223" w:rsidRDefault="003303AF" w:rsidP="004A4D56">
            <w:pPr>
              <w:spacing w:before="100" w:beforeAutospacing="1" w:after="100" w:afterAutospacing="1" w:line="259" w:lineRule="auto"/>
              <w:rPr>
                <w:rFonts w:ascii="Arial" w:hAnsi="Arial" w:cs="Arial"/>
                <w:sz w:val="24"/>
                <w:szCs w:val="24"/>
              </w:rPr>
            </w:pPr>
            <w:r w:rsidRPr="00D75223">
              <w:rPr>
                <w:rFonts w:ascii="Arial" w:hAnsi="Arial" w:cs="Arial"/>
                <w:sz w:val="24"/>
                <w:szCs w:val="24"/>
              </w:rPr>
              <w:t>Other</w:t>
            </w:r>
          </w:p>
        </w:tc>
        <w:tc>
          <w:tcPr>
            <w:tcW w:w="1134" w:type="dxa"/>
          </w:tcPr>
          <w:p w14:paraId="1C879803" w14:textId="4C64B647" w:rsidR="003303AF" w:rsidRPr="00D75223" w:rsidRDefault="219EE2C4"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1,300 </w:t>
            </w:r>
          </w:p>
        </w:tc>
        <w:tc>
          <w:tcPr>
            <w:tcW w:w="1134" w:type="dxa"/>
          </w:tcPr>
          <w:p w14:paraId="18DF72CD" w14:textId="0CC0DDA4" w:rsidR="003303AF" w:rsidRPr="00D75223" w:rsidRDefault="219EE2C4"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1,300 </w:t>
            </w:r>
          </w:p>
        </w:tc>
        <w:tc>
          <w:tcPr>
            <w:tcW w:w="1134" w:type="dxa"/>
          </w:tcPr>
          <w:p w14:paraId="4F43CF6E" w14:textId="4BC84317" w:rsidR="003303AF" w:rsidRPr="00D75223" w:rsidRDefault="219EE2C4"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1,300 </w:t>
            </w:r>
          </w:p>
        </w:tc>
      </w:tr>
      <w:tr w:rsidR="003303AF" w:rsidRPr="00D75223" w14:paraId="1CAA28AE" w14:textId="77777777" w:rsidTr="0010372D">
        <w:trPr>
          <w:trHeight w:val="255"/>
        </w:trPr>
        <w:tc>
          <w:tcPr>
            <w:tcW w:w="2835" w:type="dxa"/>
          </w:tcPr>
          <w:p w14:paraId="6C70901E" w14:textId="027080D3" w:rsidR="003303AF" w:rsidRPr="00D75223" w:rsidRDefault="003303AF" w:rsidP="004A4D56">
            <w:pPr>
              <w:spacing w:before="100" w:beforeAutospacing="1" w:after="100" w:afterAutospacing="1"/>
              <w:rPr>
                <w:rFonts w:ascii="Arial" w:hAnsi="Arial" w:cs="Arial"/>
                <w:sz w:val="24"/>
                <w:szCs w:val="24"/>
              </w:rPr>
            </w:pPr>
            <w:r w:rsidRPr="00D75223">
              <w:rPr>
                <w:rFonts w:ascii="Arial" w:hAnsi="Arial" w:cs="Arial"/>
                <w:sz w:val="24"/>
                <w:szCs w:val="24"/>
              </w:rPr>
              <w:t>Income</w:t>
            </w:r>
          </w:p>
        </w:tc>
        <w:tc>
          <w:tcPr>
            <w:tcW w:w="1134" w:type="dxa"/>
          </w:tcPr>
          <w:p w14:paraId="247028D9" w14:textId="33E150FB"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(6,900)</w:t>
            </w:r>
          </w:p>
        </w:tc>
        <w:tc>
          <w:tcPr>
            <w:tcW w:w="1134" w:type="dxa"/>
          </w:tcPr>
          <w:p w14:paraId="0EB12602" w14:textId="3D106DD8"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(5,900)</w:t>
            </w:r>
          </w:p>
        </w:tc>
        <w:tc>
          <w:tcPr>
            <w:tcW w:w="1134" w:type="dxa"/>
          </w:tcPr>
          <w:p w14:paraId="51A31152" w14:textId="16E3ED7C"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(6,600)</w:t>
            </w:r>
          </w:p>
        </w:tc>
      </w:tr>
      <w:tr w:rsidR="003303AF" w:rsidRPr="00D75223" w14:paraId="3CAE5110" w14:textId="77777777" w:rsidTr="0010372D">
        <w:trPr>
          <w:trHeight w:val="255"/>
        </w:trPr>
        <w:tc>
          <w:tcPr>
            <w:tcW w:w="2835" w:type="dxa"/>
          </w:tcPr>
          <w:p w14:paraId="2F81B1AB" w14:textId="34156F17" w:rsidR="003303AF" w:rsidRPr="00D75223" w:rsidRDefault="003303AF" w:rsidP="004A4D56">
            <w:pPr>
              <w:spacing w:before="100" w:beforeAutospacing="1" w:after="100" w:afterAutospacing="1"/>
              <w:rPr>
                <w:rFonts w:ascii="Arial" w:hAnsi="Arial" w:cs="Arial"/>
                <w:b/>
                <w:bCs/>
                <w:sz w:val="24"/>
                <w:szCs w:val="24"/>
              </w:rPr>
            </w:pPr>
            <w:r w:rsidRPr="00D75223">
              <w:rPr>
                <w:rFonts w:ascii="Arial" w:hAnsi="Arial" w:cs="Arial"/>
                <w:b/>
                <w:bCs/>
                <w:sz w:val="24"/>
                <w:szCs w:val="24"/>
              </w:rPr>
              <w:t>Net Budget Requirement</w:t>
            </w:r>
          </w:p>
        </w:tc>
        <w:tc>
          <w:tcPr>
            <w:tcW w:w="1134" w:type="dxa"/>
          </w:tcPr>
          <w:p w14:paraId="6D96C201" w14:textId="2E9D2683" w:rsidR="003303AF" w:rsidRPr="00D75223" w:rsidRDefault="219EE2C4"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68,200 </w:t>
            </w:r>
          </w:p>
        </w:tc>
        <w:tc>
          <w:tcPr>
            <w:tcW w:w="1134" w:type="dxa"/>
          </w:tcPr>
          <w:p w14:paraId="092F4ECF" w14:textId="40CDB06F" w:rsidR="003303AF" w:rsidRPr="00D75223" w:rsidRDefault="219EE2C4"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75,200 </w:t>
            </w:r>
          </w:p>
        </w:tc>
        <w:tc>
          <w:tcPr>
            <w:tcW w:w="1134" w:type="dxa"/>
          </w:tcPr>
          <w:p w14:paraId="3527C77E" w14:textId="628EEE32" w:rsidR="003303AF" w:rsidRPr="00D75223" w:rsidRDefault="219EE2C4"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77,500 </w:t>
            </w:r>
          </w:p>
        </w:tc>
      </w:tr>
    </w:tbl>
    <w:p w14:paraId="20454B49" w14:textId="153A0F0F" w:rsidR="153DD988" w:rsidRDefault="153DD988" w:rsidP="004A4D56">
      <w:pPr>
        <w:rPr>
          <w:rFonts w:ascii="Arial" w:hAnsi="Arial" w:cs="Arial"/>
          <w:sz w:val="24"/>
          <w:szCs w:val="24"/>
        </w:rPr>
      </w:pPr>
    </w:p>
    <w:tbl>
      <w:tblPr>
        <w:tblStyle w:val="TableGrid"/>
        <w:tblW w:w="0" w:type="auto"/>
        <w:tblLayout w:type="fixed"/>
        <w:tblLook w:val="06A0" w:firstRow="1" w:lastRow="0" w:firstColumn="1" w:lastColumn="0" w:noHBand="1" w:noVBand="1"/>
      </w:tblPr>
      <w:tblGrid>
        <w:gridCol w:w="2835"/>
        <w:gridCol w:w="1134"/>
        <w:gridCol w:w="1134"/>
        <w:gridCol w:w="1134"/>
      </w:tblGrid>
      <w:tr w:rsidR="009E4F91" w:rsidRPr="00D75223" w14:paraId="2C22A301" w14:textId="77777777" w:rsidTr="00DE6A7B">
        <w:trPr>
          <w:trHeight w:val="255"/>
        </w:trPr>
        <w:tc>
          <w:tcPr>
            <w:tcW w:w="2835" w:type="dxa"/>
          </w:tcPr>
          <w:p w14:paraId="0F28EFA8" w14:textId="77777777" w:rsidR="009E4F91" w:rsidRPr="00D75223" w:rsidRDefault="009E4F91" w:rsidP="00DE6A7B">
            <w:pPr>
              <w:spacing w:before="100" w:beforeAutospacing="1" w:after="100" w:afterAutospacing="1"/>
              <w:rPr>
                <w:rFonts w:ascii="Arial" w:hAnsi="Arial" w:cs="Arial"/>
                <w:b/>
                <w:bCs/>
                <w:sz w:val="24"/>
                <w:szCs w:val="24"/>
              </w:rPr>
            </w:pPr>
            <w:r w:rsidRPr="00D75223">
              <w:rPr>
                <w:rFonts w:ascii="Arial" w:hAnsi="Arial" w:cs="Arial"/>
                <w:b/>
                <w:bCs/>
                <w:sz w:val="24"/>
                <w:szCs w:val="24"/>
              </w:rPr>
              <w:t>Sources of Funding</w:t>
            </w:r>
          </w:p>
        </w:tc>
        <w:tc>
          <w:tcPr>
            <w:tcW w:w="1134" w:type="dxa"/>
          </w:tcPr>
          <w:p w14:paraId="307EAFC3" w14:textId="77777777" w:rsidR="009E4F91" w:rsidRPr="00D75223" w:rsidRDefault="009E4F91" w:rsidP="00DE6A7B">
            <w:pPr>
              <w:spacing w:before="100" w:beforeAutospacing="1" w:after="100" w:afterAutospacing="1"/>
              <w:jc w:val="right"/>
              <w:rPr>
                <w:rFonts w:ascii="Arial" w:hAnsi="Arial" w:cs="Arial"/>
                <w:b/>
                <w:bCs/>
                <w:sz w:val="24"/>
                <w:szCs w:val="24"/>
              </w:rPr>
            </w:pPr>
          </w:p>
        </w:tc>
        <w:tc>
          <w:tcPr>
            <w:tcW w:w="1134" w:type="dxa"/>
          </w:tcPr>
          <w:p w14:paraId="07299A5E" w14:textId="77777777" w:rsidR="009E4F91" w:rsidRPr="00D75223" w:rsidRDefault="009E4F91" w:rsidP="00DE6A7B">
            <w:pPr>
              <w:spacing w:before="100" w:beforeAutospacing="1" w:after="100" w:afterAutospacing="1"/>
              <w:jc w:val="right"/>
              <w:rPr>
                <w:rFonts w:ascii="Arial" w:hAnsi="Arial" w:cs="Arial"/>
                <w:b/>
                <w:bCs/>
                <w:sz w:val="24"/>
                <w:szCs w:val="24"/>
              </w:rPr>
            </w:pPr>
          </w:p>
        </w:tc>
        <w:tc>
          <w:tcPr>
            <w:tcW w:w="1134" w:type="dxa"/>
          </w:tcPr>
          <w:p w14:paraId="6213C969" w14:textId="77777777" w:rsidR="009E4F91" w:rsidRPr="00D75223" w:rsidRDefault="009E4F91" w:rsidP="00DE6A7B">
            <w:pPr>
              <w:spacing w:before="100" w:beforeAutospacing="1" w:after="100" w:afterAutospacing="1"/>
              <w:jc w:val="right"/>
              <w:rPr>
                <w:rFonts w:ascii="Arial" w:hAnsi="Arial" w:cs="Arial"/>
                <w:b/>
                <w:bCs/>
                <w:sz w:val="24"/>
                <w:szCs w:val="24"/>
              </w:rPr>
            </w:pPr>
          </w:p>
        </w:tc>
      </w:tr>
      <w:tr w:rsidR="009E4F91" w:rsidRPr="00D75223" w14:paraId="393C774B" w14:textId="77777777" w:rsidTr="00DE6A7B">
        <w:trPr>
          <w:trHeight w:val="255"/>
        </w:trPr>
        <w:tc>
          <w:tcPr>
            <w:tcW w:w="2835" w:type="dxa"/>
          </w:tcPr>
          <w:p w14:paraId="47D41961" w14:textId="77777777" w:rsidR="009E4F91" w:rsidRPr="00D75223" w:rsidRDefault="009E4F91" w:rsidP="00DE6A7B">
            <w:pPr>
              <w:spacing w:before="100" w:beforeAutospacing="1" w:after="100" w:afterAutospacing="1"/>
              <w:rPr>
                <w:rFonts w:ascii="Arial" w:hAnsi="Arial" w:cs="Arial"/>
                <w:sz w:val="24"/>
                <w:szCs w:val="24"/>
              </w:rPr>
            </w:pPr>
            <w:r w:rsidRPr="00D75223">
              <w:rPr>
                <w:rFonts w:ascii="Arial" w:hAnsi="Arial" w:cs="Arial"/>
                <w:sz w:val="24"/>
                <w:szCs w:val="24"/>
              </w:rPr>
              <w:t>Council Tax</w:t>
            </w:r>
          </w:p>
        </w:tc>
        <w:tc>
          <w:tcPr>
            <w:tcW w:w="1134" w:type="dxa"/>
          </w:tcPr>
          <w:p w14:paraId="2EDE8B09"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38,000 </w:t>
            </w:r>
          </w:p>
        </w:tc>
        <w:tc>
          <w:tcPr>
            <w:tcW w:w="1134" w:type="dxa"/>
          </w:tcPr>
          <w:p w14:paraId="2A88A838"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39,400 </w:t>
            </w:r>
          </w:p>
        </w:tc>
        <w:tc>
          <w:tcPr>
            <w:tcW w:w="1134" w:type="dxa"/>
          </w:tcPr>
          <w:p w14:paraId="57AA3EEA"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42,300 </w:t>
            </w:r>
          </w:p>
        </w:tc>
      </w:tr>
      <w:tr w:rsidR="009E4F91" w:rsidRPr="00D75223" w14:paraId="5C0843ED" w14:textId="77777777" w:rsidTr="00DE6A7B">
        <w:trPr>
          <w:trHeight w:val="255"/>
        </w:trPr>
        <w:tc>
          <w:tcPr>
            <w:tcW w:w="2835" w:type="dxa"/>
          </w:tcPr>
          <w:p w14:paraId="5FB93B61" w14:textId="77777777" w:rsidR="009E4F91" w:rsidRPr="00D75223" w:rsidRDefault="009E4F91" w:rsidP="00DE6A7B">
            <w:pPr>
              <w:spacing w:before="100" w:beforeAutospacing="1" w:after="100" w:afterAutospacing="1"/>
              <w:rPr>
                <w:rFonts w:ascii="Arial" w:hAnsi="Arial" w:cs="Arial"/>
                <w:sz w:val="24"/>
                <w:szCs w:val="24"/>
              </w:rPr>
            </w:pPr>
            <w:r w:rsidRPr="00D75223">
              <w:rPr>
                <w:rFonts w:ascii="Arial" w:hAnsi="Arial" w:cs="Arial"/>
                <w:sz w:val="24"/>
                <w:szCs w:val="24"/>
              </w:rPr>
              <w:t>Business Rates</w:t>
            </w:r>
          </w:p>
        </w:tc>
        <w:tc>
          <w:tcPr>
            <w:tcW w:w="1134" w:type="dxa"/>
          </w:tcPr>
          <w:p w14:paraId="6027EED9"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19,900 </w:t>
            </w:r>
          </w:p>
        </w:tc>
        <w:tc>
          <w:tcPr>
            <w:tcW w:w="1134" w:type="dxa"/>
          </w:tcPr>
          <w:p w14:paraId="7702E946"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21,300 </w:t>
            </w:r>
          </w:p>
        </w:tc>
        <w:tc>
          <w:tcPr>
            <w:tcW w:w="1134" w:type="dxa"/>
          </w:tcPr>
          <w:p w14:paraId="45BC1897"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21,600 </w:t>
            </w:r>
          </w:p>
        </w:tc>
      </w:tr>
      <w:tr w:rsidR="009E4F91" w:rsidRPr="00D75223" w14:paraId="4909B846" w14:textId="77777777" w:rsidTr="00DE6A7B">
        <w:trPr>
          <w:trHeight w:val="255"/>
        </w:trPr>
        <w:tc>
          <w:tcPr>
            <w:tcW w:w="2835" w:type="dxa"/>
          </w:tcPr>
          <w:p w14:paraId="4422CA97" w14:textId="77777777" w:rsidR="009E4F91" w:rsidRPr="00D75223" w:rsidRDefault="009E4F91" w:rsidP="00DE6A7B">
            <w:pPr>
              <w:spacing w:before="100" w:beforeAutospacing="1" w:after="100" w:afterAutospacing="1"/>
              <w:rPr>
                <w:rFonts w:ascii="Arial" w:hAnsi="Arial" w:cs="Arial"/>
                <w:sz w:val="24"/>
                <w:szCs w:val="24"/>
              </w:rPr>
            </w:pPr>
            <w:r w:rsidRPr="00D75223">
              <w:rPr>
                <w:rFonts w:ascii="Arial" w:hAnsi="Arial" w:cs="Arial"/>
                <w:sz w:val="24"/>
                <w:szCs w:val="24"/>
              </w:rPr>
              <w:t>Revenue Support Grant</w:t>
            </w:r>
          </w:p>
        </w:tc>
        <w:tc>
          <w:tcPr>
            <w:tcW w:w="1134" w:type="dxa"/>
          </w:tcPr>
          <w:p w14:paraId="05C2E77D"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9,700 </w:t>
            </w:r>
          </w:p>
        </w:tc>
        <w:tc>
          <w:tcPr>
            <w:tcW w:w="1134" w:type="dxa"/>
          </w:tcPr>
          <w:p w14:paraId="213757B7"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13,500 </w:t>
            </w:r>
          </w:p>
        </w:tc>
        <w:tc>
          <w:tcPr>
            <w:tcW w:w="1134" w:type="dxa"/>
          </w:tcPr>
          <w:p w14:paraId="632CCEE3"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13,700 </w:t>
            </w:r>
          </w:p>
        </w:tc>
      </w:tr>
      <w:tr w:rsidR="009E4F91" w:rsidRPr="00D75223" w14:paraId="73F10341" w14:textId="77777777" w:rsidTr="00DE6A7B">
        <w:trPr>
          <w:trHeight w:val="255"/>
        </w:trPr>
        <w:tc>
          <w:tcPr>
            <w:tcW w:w="2835" w:type="dxa"/>
          </w:tcPr>
          <w:p w14:paraId="14EF3F28" w14:textId="77777777" w:rsidR="009E4F91" w:rsidRPr="00D75223" w:rsidRDefault="009E4F91" w:rsidP="00DE6A7B">
            <w:pPr>
              <w:spacing w:before="100" w:beforeAutospacing="1" w:after="100" w:afterAutospacing="1"/>
              <w:rPr>
                <w:rFonts w:ascii="Arial" w:hAnsi="Arial" w:cs="Arial"/>
                <w:sz w:val="24"/>
                <w:szCs w:val="24"/>
              </w:rPr>
            </w:pPr>
            <w:r w:rsidRPr="00D75223">
              <w:rPr>
                <w:rFonts w:ascii="Arial" w:hAnsi="Arial" w:cs="Arial"/>
                <w:sz w:val="24"/>
                <w:szCs w:val="24"/>
              </w:rPr>
              <w:t>Other Grants</w:t>
            </w:r>
          </w:p>
        </w:tc>
        <w:tc>
          <w:tcPr>
            <w:tcW w:w="1134" w:type="dxa"/>
          </w:tcPr>
          <w:p w14:paraId="3956A052"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600 </w:t>
            </w:r>
          </w:p>
        </w:tc>
        <w:tc>
          <w:tcPr>
            <w:tcW w:w="1134" w:type="dxa"/>
          </w:tcPr>
          <w:p w14:paraId="4B514BDF"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1,000 </w:t>
            </w:r>
          </w:p>
        </w:tc>
        <w:tc>
          <w:tcPr>
            <w:tcW w:w="1134" w:type="dxa"/>
          </w:tcPr>
          <w:p w14:paraId="08D87AF0" w14:textId="77777777"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   </w:t>
            </w:r>
          </w:p>
        </w:tc>
      </w:tr>
      <w:tr w:rsidR="009E4F91" w:rsidRPr="00D75223" w14:paraId="7E5A36F8" w14:textId="77777777" w:rsidTr="00DE6A7B">
        <w:trPr>
          <w:trHeight w:val="255"/>
        </w:trPr>
        <w:tc>
          <w:tcPr>
            <w:tcW w:w="2835" w:type="dxa"/>
          </w:tcPr>
          <w:p w14:paraId="0016CC0E" w14:textId="77777777" w:rsidR="009E4F91" w:rsidRPr="00D75223" w:rsidRDefault="009E4F91" w:rsidP="00DE6A7B">
            <w:pPr>
              <w:spacing w:before="100" w:beforeAutospacing="1" w:after="100" w:afterAutospacing="1"/>
              <w:rPr>
                <w:rFonts w:ascii="Arial" w:hAnsi="Arial" w:cs="Arial"/>
                <w:b/>
                <w:bCs/>
                <w:sz w:val="24"/>
                <w:szCs w:val="24"/>
              </w:rPr>
            </w:pPr>
            <w:r w:rsidRPr="00D75223">
              <w:rPr>
                <w:rFonts w:ascii="Arial" w:hAnsi="Arial" w:cs="Arial"/>
                <w:b/>
                <w:bCs/>
                <w:sz w:val="24"/>
                <w:szCs w:val="24"/>
              </w:rPr>
              <w:t>Total Funding</w:t>
            </w:r>
          </w:p>
        </w:tc>
        <w:tc>
          <w:tcPr>
            <w:tcW w:w="1134" w:type="dxa"/>
          </w:tcPr>
          <w:p w14:paraId="059ED6E2" w14:textId="77777777" w:rsidR="009E4F91" w:rsidRPr="00D75223" w:rsidRDefault="009E4F91" w:rsidP="00DE6A7B">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68,200 </w:t>
            </w:r>
          </w:p>
        </w:tc>
        <w:tc>
          <w:tcPr>
            <w:tcW w:w="1134" w:type="dxa"/>
          </w:tcPr>
          <w:p w14:paraId="39A64C82" w14:textId="77777777" w:rsidR="009E4F91" w:rsidRPr="00D75223" w:rsidRDefault="009E4F91" w:rsidP="00DE6A7B">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75,200 </w:t>
            </w:r>
          </w:p>
        </w:tc>
        <w:tc>
          <w:tcPr>
            <w:tcW w:w="1134" w:type="dxa"/>
          </w:tcPr>
          <w:p w14:paraId="3BD1E565" w14:textId="77777777" w:rsidR="009E4F91" w:rsidRPr="00D75223" w:rsidRDefault="009E4F91" w:rsidP="00DE6A7B">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77,500 </w:t>
            </w:r>
          </w:p>
        </w:tc>
      </w:tr>
    </w:tbl>
    <w:p w14:paraId="0732D727" w14:textId="77777777" w:rsidR="009E4F91" w:rsidRPr="00D75223" w:rsidRDefault="009E4F91" w:rsidP="004A4D56">
      <w:pPr>
        <w:rPr>
          <w:rFonts w:ascii="Arial" w:hAnsi="Arial" w:cs="Arial"/>
          <w:sz w:val="24"/>
          <w:szCs w:val="24"/>
        </w:rPr>
      </w:pPr>
    </w:p>
    <w:p w14:paraId="2021D24B" w14:textId="08AEC163" w:rsidR="00FD2668" w:rsidRPr="00845604" w:rsidRDefault="00FD2668" w:rsidP="00845604">
      <w:pPr>
        <w:pStyle w:val="Heading2"/>
      </w:pPr>
      <w:bookmarkStart w:id="2" w:name="_Toc196988008"/>
      <w:r w:rsidRPr="00845604">
        <w:t xml:space="preserve">Reserves </w:t>
      </w:r>
      <w:r w:rsidR="005E4CAA">
        <w:t>table</w:t>
      </w:r>
      <w:bookmarkEnd w:id="2"/>
      <w:r w:rsidRPr="00845604">
        <w:t xml:space="preserve"> </w:t>
      </w:r>
    </w:p>
    <w:tbl>
      <w:tblPr>
        <w:tblStyle w:val="TableGrid"/>
        <w:tblW w:w="0" w:type="auto"/>
        <w:tblLayout w:type="fixed"/>
        <w:tblLook w:val="06A0" w:firstRow="1" w:lastRow="0" w:firstColumn="1" w:lastColumn="0" w:noHBand="1" w:noVBand="1"/>
      </w:tblPr>
      <w:tblGrid>
        <w:gridCol w:w="2835"/>
        <w:gridCol w:w="1134"/>
        <w:gridCol w:w="1134"/>
        <w:gridCol w:w="1134"/>
        <w:gridCol w:w="1134"/>
        <w:gridCol w:w="1134"/>
      </w:tblGrid>
      <w:tr w:rsidR="00FD2668" w:rsidRPr="00D75223" w14:paraId="590E3D4F" w14:textId="77777777" w:rsidTr="0010372D">
        <w:trPr>
          <w:trHeight w:val="255"/>
        </w:trPr>
        <w:tc>
          <w:tcPr>
            <w:tcW w:w="2835" w:type="dxa"/>
          </w:tcPr>
          <w:p w14:paraId="4C8D418A" w14:textId="32A38AA9" w:rsidR="00FD2668" w:rsidRPr="005E4CAA" w:rsidRDefault="009E4F91" w:rsidP="005E4CAA">
            <w:pPr>
              <w:pStyle w:val="Heading3"/>
            </w:pPr>
            <w:bookmarkStart w:id="3" w:name="_Toc196988009"/>
            <w:r w:rsidRPr="005E4CAA">
              <w:t>Reserves</w:t>
            </w:r>
            <w:r w:rsidR="005E4CAA" w:rsidRPr="005E4CAA">
              <w:t xml:space="preserve"> (£’000)</w:t>
            </w:r>
            <w:bookmarkEnd w:id="3"/>
          </w:p>
        </w:tc>
        <w:tc>
          <w:tcPr>
            <w:tcW w:w="1134" w:type="dxa"/>
          </w:tcPr>
          <w:p w14:paraId="6218311C" w14:textId="77777777" w:rsidR="00FD2668" w:rsidRPr="00D75223" w:rsidRDefault="00FD2668"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2023/24</w:t>
            </w:r>
          </w:p>
        </w:tc>
        <w:tc>
          <w:tcPr>
            <w:tcW w:w="1134" w:type="dxa"/>
          </w:tcPr>
          <w:p w14:paraId="2210E3B8" w14:textId="219BF094" w:rsidR="00FD2668" w:rsidRPr="00D75223" w:rsidRDefault="00FD2668"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2024/25</w:t>
            </w:r>
          </w:p>
        </w:tc>
        <w:tc>
          <w:tcPr>
            <w:tcW w:w="1134" w:type="dxa"/>
          </w:tcPr>
          <w:p w14:paraId="21CC719A" w14:textId="766913B6" w:rsidR="00FD2668" w:rsidRPr="00D75223" w:rsidRDefault="00FD2668"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2025/26</w:t>
            </w:r>
          </w:p>
        </w:tc>
        <w:tc>
          <w:tcPr>
            <w:tcW w:w="1134" w:type="dxa"/>
          </w:tcPr>
          <w:p w14:paraId="5520E12D" w14:textId="5DF204BF" w:rsidR="00FD2668" w:rsidRPr="00D75223" w:rsidRDefault="00FD2668"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2026/27</w:t>
            </w:r>
          </w:p>
        </w:tc>
        <w:tc>
          <w:tcPr>
            <w:tcW w:w="1134" w:type="dxa"/>
          </w:tcPr>
          <w:p w14:paraId="696B6BAA" w14:textId="31577A74" w:rsidR="00FD2668" w:rsidRPr="00D75223" w:rsidRDefault="00FD2668"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2027/28</w:t>
            </w:r>
          </w:p>
        </w:tc>
      </w:tr>
      <w:tr w:rsidR="00E069FC" w:rsidRPr="00D75223" w14:paraId="6AC68845" w14:textId="77777777" w:rsidTr="0010372D">
        <w:trPr>
          <w:trHeight w:val="255"/>
        </w:trPr>
        <w:tc>
          <w:tcPr>
            <w:tcW w:w="2835" w:type="dxa"/>
          </w:tcPr>
          <w:p w14:paraId="1252F6C3" w14:textId="637F477C" w:rsidR="00E069FC" w:rsidRPr="00D75223" w:rsidRDefault="00E069FC" w:rsidP="004A4D56">
            <w:pPr>
              <w:spacing w:before="100" w:beforeAutospacing="1" w:after="100" w:afterAutospacing="1" w:line="259" w:lineRule="auto"/>
              <w:rPr>
                <w:rFonts w:ascii="Arial" w:hAnsi="Arial" w:cs="Arial"/>
                <w:sz w:val="24"/>
                <w:szCs w:val="24"/>
              </w:rPr>
            </w:pPr>
            <w:r w:rsidRPr="00D75223">
              <w:rPr>
                <w:rFonts w:ascii="Arial" w:hAnsi="Arial" w:cs="Arial"/>
                <w:sz w:val="24"/>
                <w:szCs w:val="24"/>
              </w:rPr>
              <w:t>General Reserve</w:t>
            </w:r>
          </w:p>
        </w:tc>
        <w:tc>
          <w:tcPr>
            <w:tcW w:w="1134" w:type="dxa"/>
          </w:tcPr>
          <w:p w14:paraId="13D1625F" w14:textId="30575739"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4,800 </w:t>
            </w:r>
          </w:p>
        </w:tc>
        <w:tc>
          <w:tcPr>
            <w:tcW w:w="1134" w:type="dxa"/>
          </w:tcPr>
          <w:p w14:paraId="2E8D8E76" w14:textId="75572901"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5,000 </w:t>
            </w:r>
          </w:p>
        </w:tc>
        <w:tc>
          <w:tcPr>
            <w:tcW w:w="1134" w:type="dxa"/>
          </w:tcPr>
          <w:p w14:paraId="3AF0696F" w14:textId="751EE163"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5,100 </w:t>
            </w:r>
          </w:p>
        </w:tc>
        <w:tc>
          <w:tcPr>
            <w:tcW w:w="1134" w:type="dxa"/>
          </w:tcPr>
          <w:p w14:paraId="62B78D95" w14:textId="34AEDD32"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4,700 </w:t>
            </w:r>
          </w:p>
        </w:tc>
        <w:tc>
          <w:tcPr>
            <w:tcW w:w="1134" w:type="dxa"/>
          </w:tcPr>
          <w:p w14:paraId="36BF7A60" w14:textId="4F8B19D2"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4,400 </w:t>
            </w:r>
          </w:p>
        </w:tc>
      </w:tr>
      <w:tr w:rsidR="00E069FC" w:rsidRPr="00D75223" w14:paraId="2D03FE78" w14:textId="77777777" w:rsidTr="0010372D">
        <w:trPr>
          <w:trHeight w:val="255"/>
        </w:trPr>
        <w:tc>
          <w:tcPr>
            <w:tcW w:w="2835" w:type="dxa"/>
          </w:tcPr>
          <w:p w14:paraId="5D669F46" w14:textId="2F30B4C1" w:rsidR="00E069FC" w:rsidRPr="00D75223" w:rsidRDefault="00E069FC" w:rsidP="004A4D56">
            <w:pPr>
              <w:spacing w:before="100" w:beforeAutospacing="1" w:after="100" w:afterAutospacing="1" w:line="259" w:lineRule="auto"/>
              <w:rPr>
                <w:rFonts w:ascii="Arial" w:hAnsi="Arial" w:cs="Arial"/>
                <w:sz w:val="24"/>
                <w:szCs w:val="24"/>
              </w:rPr>
            </w:pPr>
            <w:r w:rsidRPr="00D75223">
              <w:rPr>
                <w:rFonts w:ascii="Arial" w:hAnsi="Arial" w:cs="Arial"/>
                <w:sz w:val="24"/>
                <w:szCs w:val="24"/>
              </w:rPr>
              <w:t>Capital Reserve</w:t>
            </w:r>
          </w:p>
        </w:tc>
        <w:tc>
          <w:tcPr>
            <w:tcW w:w="1134" w:type="dxa"/>
          </w:tcPr>
          <w:p w14:paraId="44F922F6" w14:textId="5ACC911E"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18,800 </w:t>
            </w:r>
          </w:p>
        </w:tc>
        <w:tc>
          <w:tcPr>
            <w:tcW w:w="1134" w:type="dxa"/>
          </w:tcPr>
          <w:p w14:paraId="33436750" w14:textId="045C1365"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19,700 </w:t>
            </w:r>
          </w:p>
        </w:tc>
        <w:tc>
          <w:tcPr>
            <w:tcW w:w="1134" w:type="dxa"/>
          </w:tcPr>
          <w:p w14:paraId="787EF66A" w14:textId="2B739335"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6,700 </w:t>
            </w:r>
          </w:p>
        </w:tc>
        <w:tc>
          <w:tcPr>
            <w:tcW w:w="1134" w:type="dxa"/>
          </w:tcPr>
          <w:p w14:paraId="24BF0BBD" w14:textId="21204CC7"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100 </w:t>
            </w:r>
          </w:p>
        </w:tc>
        <w:tc>
          <w:tcPr>
            <w:tcW w:w="1134" w:type="dxa"/>
          </w:tcPr>
          <w:p w14:paraId="5032195E" w14:textId="5C8F5DA9"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100 </w:t>
            </w:r>
          </w:p>
        </w:tc>
      </w:tr>
      <w:tr w:rsidR="00E069FC" w:rsidRPr="00D75223" w14:paraId="03F3A25F" w14:textId="77777777" w:rsidTr="0010372D">
        <w:trPr>
          <w:trHeight w:val="255"/>
        </w:trPr>
        <w:tc>
          <w:tcPr>
            <w:tcW w:w="2835" w:type="dxa"/>
          </w:tcPr>
          <w:p w14:paraId="0D461AD6" w14:textId="17A6A5F9" w:rsidR="00E069FC" w:rsidRPr="00D75223" w:rsidRDefault="00E069FC" w:rsidP="004A4D56">
            <w:pPr>
              <w:spacing w:before="100" w:beforeAutospacing="1" w:after="100" w:afterAutospacing="1" w:line="259" w:lineRule="auto"/>
              <w:rPr>
                <w:rFonts w:ascii="Arial" w:hAnsi="Arial" w:cs="Arial"/>
                <w:sz w:val="24"/>
                <w:szCs w:val="24"/>
              </w:rPr>
            </w:pPr>
            <w:r w:rsidRPr="00D75223">
              <w:rPr>
                <w:rFonts w:ascii="Arial" w:hAnsi="Arial" w:cs="Arial"/>
                <w:sz w:val="24"/>
                <w:szCs w:val="24"/>
              </w:rPr>
              <w:t>PFI Reserves</w:t>
            </w:r>
          </w:p>
        </w:tc>
        <w:tc>
          <w:tcPr>
            <w:tcW w:w="1134" w:type="dxa"/>
          </w:tcPr>
          <w:p w14:paraId="55804408" w14:textId="0DA10205"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4,900 </w:t>
            </w:r>
          </w:p>
        </w:tc>
        <w:tc>
          <w:tcPr>
            <w:tcW w:w="1134" w:type="dxa"/>
          </w:tcPr>
          <w:p w14:paraId="47FB7114" w14:textId="7D5645E7"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5,200 </w:t>
            </w:r>
          </w:p>
        </w:tc>
        <w:tc>
          <w:tcPr>
            <w:tcW w:w="1134" w:type="dxa"/>
          </w:tcPr>
          <w:p w14:paraId="2FE6B79A" w14:textId="1EEFA77F"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4,800 </w:t>
            </w:r>
          </w:p>
        </w:tc>
        <w:tc>
          <w:tcPr>
            <w:tcW w:w="1134" w:type="dxa"/>
          </w:tcPr>
          <w:p w14:paraId="34BEBAE7" w14:textId="00B3BABE"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4,600 </w:t>
            </w:r>
          </w:p>
        </w:tc>
        <w:tc>
          <w:tcPr>
            <w:tcW w:w="1134" w:type="dxa"/>
          </w:tcPr>
          <w:p w14:paraId="1414FB26" w14:textId="15FE295A"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4,400 </w:t>
            </w:r>
          </w:p>
        </w:tc>
      </w:tr>
      <w:tr w:rsidR="00E069FC" w:rsidRPr="00D75223" w14:paraId="22CA3E13" w14:textId="77777777" w:rsidTr="0010372D">
        <w:trPr>
          <w:trHeight w:val="255"/>
        </w:trPr>
        <w:tc>
          <w:tcPr>
            <w:tcW w:w="2835" w:type="dxa"/>
          </w:tcPr>
          <w:p w14:paraId="34A8C784" w14:textId="792B4B77" w:rsidR="00E069FC" w:rsidRPr="00D75223" w:rsidRDefault="00E069FC" w:rsidP="004A4D56">
            <w:pPr>
              <w:spacing w:before="100" w:beforeAutospacing="1" w:after="100" w:afterAutospacing="1" w:line="259" w:lineRule="auto"/>
              <w:rPr>
                <w:rFonts w:ascii="Arial" w:hAnsi="Arial" w:cs="Arial"/>
                <w:sz w:val="24"/>
                <w:szCs w:val="24"/>
              </w:rPr>
            </w:pPr>
            <w:r w:rsidRPr="00D75223">
              <w:rPr>
                <w:rFonts w:ascii="Arial" w:hAnsi="Arial" w:cs="Arial"/>
                <w:sz w:val="24"/>
                <w:szCs w:val="24"/>
              </w:rPr>
              <w:t>Budget Holder Reserves</w:t>
            </w:r>
          </w:p>
        </w:tc>
        <w:tc>
          <w:tcPr>
            <w:tcW w:w="1134" w:type="dxa"/>
          </w:tcPr>
          <w:p w14:paraId="49FAE4D9" w14:textId="5973F918"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600 </w:t>
            </w:r>
          </w:p>
        </w:tc>
        <w:tc>
          <w:tcPr>
            <w:tcW w:w="1134" w:type="dxa"/>
          </w:tcPr>
          <w:p w14:paraId="6A21F8FB" w14:textId="066EE225"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1,100 </w:t>
            </w:r>
          </w:p>
        </w:tc>
        <w:tc>
          <w:tcPr>
            <w:tcW w:w="1134" w:type="dxa"/>
          </w:tcPr>
          <w:p w14:paraId="203FAFE1" w14:textId="300788DC"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600 </w:t>
            </w:r>
          </w:p>
        </w:tc>
        <w:tc>
          <w:tcPr>
            <w:tcW w:w="1134" w:type="dxa"/>
          </w:tcPr>
          <w:p w14:paraId="392A4721" w14:textId="0494261C"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300 </w:t>
            </w:r>
          </w:p>
        </w:tc>
        <w:tc>
          <w:tcPr>
            <w:tcW w:w="1134" w:type="dxa"/>
          </w:tcPr>
          <w:p w14:paraId="25F77EDA" w14:textId="4755BA11"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   </w:t>
            </w:r>
          </w:p>
        </w:tc>
      </w:tr>
      <w:tr w:rsidR="00E069FC" w:rsidRPr="00D75223" w14:paraId="7DC0D185" w14:textId="77777777" w:rsidTr="0010372D">
        <w:trPr>
          <w:trHeight w:val="255"/>
        </w:trPr>
        <w:tc>
          <w:tcPr>
            <w:tcW w:w="2835" w:type="dxa"/>
          </w:tcPr>
          <w:p w14:paraId="43BC2051" w14:textId="004D9E67" w:rsidR="00E069FC" w:rsidRPr="00D75223" w:rsidRDefault="00E069FC" w:rsidP="004A4D56">
            <w:pPr>
              <w:spacing w:before="100" w:beforeAutospacing="1" w:after="100" w:afterAutospacing="1" w:line="259" w:lineRule="auto"/>
              <w:rPr>
                <w:rFonts w:ascii="Arial" w:hAnsi="Arial" w:cs="Arial"/>
                <w:sz w:val="24"/>
                <w:szCs w:val="24"/>
              </w:rPr>
            </w:pPr>
            <w:r w:rsidRPr="00D75223">
              <w:rPr>
                <w:rFonts w:ascii="Arial" w:hAnsi="Arial" w:cs="Arial"/>
                <w:sz w:val="24"/>
                <w:szCs w:val="24"/>
              </w:rPr>
              <w:t>Insurance</w:t>
            </w:r>
          </w:p>
        </w:tc>
        <w:tc>
          <w:tcPr>
            <w:tcW w:w="1134" w:type="dxa"/>
          </w:tcPr>
          <w:p w14:paraId="23308CDC" w14:textId="4D394E4E"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200 </w:t>
            </w:r>
          </w:p>
        </w:tc>
        <w:tc>
          <w:tcPr>
            <w:tcW w:w="1134" w:type="dxa"/>
          </w:tcPr>
          <w:p w14:paraId="309EA03B" w14:textId="384AA453"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400 </w:t>
            </w:r>
          </w:p>
        </w:tc>
        <w:tc>
          <w:tcPr>
            <w:tcW w:w="1134" w:type="dxa"/>
          </w:tcPr>
          <w:p w14:paraId="41E10FF7" w14:textId="5D0F94A5"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400 </w:t>
            </w:r>
          </w:p>
        </w:tc>
        <w:tc>
          <w:tcPr>
            <w:tcW w:w="1134" w:type="dxa"/>
          </w:tcPr>
          <w:p w14:paraId="189887B3" w14:textId="0964825B"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400 </w:t>
            </w:r>
          </w:p>
        </w:tc>
        <w:tc>
          <w:tcPr>
            <w:tcW w:w="1134" w:type="dxa"/>
          </w:tcPr>
          <w:p w14:paraId="2E9AA536" w14:textId="7154672B"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400 </w:t>
            </w:r>
          </w:p>
        </w:tc>
      </w:tr>
      <w:tr w:rsidR="00E069FC" w:rsidRPr="00D75223" w14:paraId="257A7678" w14:textId="77777777" w:rsidTr="0010372D">
        <w:trPr>
          <w:trHeight w:val="255"/>
        </w:trPr>
        <w:tc>
          <w:tcPr>
            <w:tcW w:w="2835" w:type="dxa"/>
          </w:tcPr>
          <w:p w14:paraId="6932D167" w14:textId="37ADB088" w:rsidR="00E069FC" w:rsidRPr="00D75223" w:rsidRDefault="00E069FC" w:rsidP="004A4D56">
            <w:pPr>
              <w:spacing w:before="100" w:beforeAutospacing="1" w:after="100" w:afterAutospacing="1" w:line="259" w:lineRule="auto"/>
              <w:rPr>
                <w:rFonts w:ascii="Arial" w:hAnsi="Arial" w:cs="Arial"/>
                <w:sz w:val="24"/>
                <w:szCs w:val="24"/>
              </w:rPr>
            </w:pPr>
            <w:r w:rsidRPr="00D75223">
              <w:rPr>
                <w:rFonts w:ascii="Arial" w:hAnsi="Arial" w:cs="Arial"/>
                <w:sz w:val="24"/>
                <w:szCs w:val="24"/>
              </w:rPr>
              <w:t>Kings Trust</w:t>
            </w:r>
          </w:p>
        </w:tc>
        <w:tc>
          <w:tcPr>
            <w:tcW w:w="1134" w:type="dxa"/>
          </w:tcPr>
          <w:p w14:paraId="5D984072" w14:textId="7594FBF4"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400 </w:t>
            </w:r>
          </w:p>
        </w:tc>
        <w:tc>
          <w:tcPr>
            <w:tcW w:w="1134" w:type="dxa"/>
          </w:tcPr>
          <w:p w14:paraId="3FE3DA48" w14:textId="68475C49"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300 </w:t>
            </w:r>
          </w:p>
        </w:tc>
        <w:tc>
          <w:tcPr>
            <w:tcW w:w="1134" w:type="dxa"/>
          </w:tcPr>
          <w:p w14:paraId="767ACDC9" w14:textId="30041E32"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300 </w:t>
            </w:r>
          </w:p>
        </w:tc>
        <w:tc>
          <w:tcPr>
            <w:tcW w:w="1134" w:type="dxa"/>
          </w:tcPr>
          <w:p w14:paraId="34ED4210" w14:textId="13D75593"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300 </w:t>
            </w:r>
          </w:p>
        </w:tc>
        <w:tc>
          <w:tcPr>
            <w:tcW w:w="1134" w:type="dxa"/>
          </w:tcPr>
          <w:p w14:paraId="0D0C21D4" w14:textId="1A5434B8"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300 </w:t>
            </w:r>
          </w:p>
        </w:tc>
      </w:tr>
      <w:tr w:rsidR="00E069FC" w:rsidRPr="00D75223" w14:paraId="04D8A871" w14:textId="77777777" w:rsidTr="0010372D">
        <w:trPr>
          <w:trHeight w:val="255"/>
        </w:trPr>
        <w:tc>
          <w:tcPr>
            <w:tcW w:w="2835" w:type="dxa"/>
          </w:tcPr>
          <w:p w14:paraId="661F92C3" w14:textId="3E88D766" w:rsidR="00E069FC" w:rsidRPr="00D75223" w:rsidRDefault="00E069FC" w:rsidP="004A4D56">
            <w:pPr>
              <w:spacing w:before="100" w:beforeAutospacing="1" w:after="100" w:afterAutospacing="1" w:line="259" w:lineRule="auto"/>
              <w:rPr>
                <w:rFonts w:ascii="Arial" w:hAnsi="Arial" w:cs="Arial"/>
                <w:sz w:val="24"/>
                <w:szCs w:val="24"/>
              </w:rPr>
            </w:pPr>
            <w:r w:rsidRPr="00D75223">
              <w:rPr>
                <w:rFonts w:ascii="Arial" w:hAnsi="Arial" w:cs="Arial"/>
                <w:sz w:val="24"/>
                <w:szCs w:val="24"/>
              </w:rPr>
              <w:t>Innovation Fund</w:t>
            </w:r>
          </w:p>
        </w:tc>
        <w:tc>
          <w:tcPr>
            <w:tcW w:w="1134" w:type="dxa"/>
          </w:tcPr>
          <w:p w14:paraId="644E3361" w14:textId="179386F6"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500 </w:t>
            </w:r>
          </w:p>
        </w:tc>
        <w:tc>
          <w:tcPr>
            <w:tcW w:w="1134" w:type="dxa"/>
          </w:tcPr>
          <w:p w14:paraId="2DB1A426" w14:textId="4005A27C"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700 </w:t>
            </w:r>
          </w:p>
        </w:tc>
        <w:tc>
          <w:tcPr>
            <w:tcW w:w="1134" w:type="dxa"/>
          </w:tcPr>
          <w:p w14:paraId="79A9C4D4" w14:textId="68FFD4A3"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300 </w:t>
            </w:r>
          </w:p>
        </w:tc>
        <w:tc>
          <w:tcPr>
            <w:tcW w:w="1134" w:type="dxa"/>
          </w:tcPr>
          <w:p w14:paraId="271609B3" w14:textId="006D7CC2"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200 </w:t>
            </w:r>
          </w:p>
        </w:tc>
        <w:tc>
          <w:tcPr>
            <w:tcW w:w="1134" w:type="dxa"/>
          </w:tcPr>
          <w:p w14:paraId="137EDC5D" w14:textId="58D9A970"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100 </w:t>
            </w:r>
          </w:p>
        </w:tc>
      </w:tr>
      <w:tr w:rsidR="00E069FC" w:rsidRPr="00D75223" w14:paraId="4BCF9A98" w14:textId="77777777" w:rsidTr="0010372D">
        <w:trPr>
          <w:trHeight w:val="255"/>
        </w:trPr>
        <w:tc>
          <w:tcPr>
            <w:tcW w:w="2835" w:type="dxa"/>
          </w:tcPr>
          <w:p w14:paraId="06C2A390" w14:textId="2ADD2C5B" w:rsidR="00E069FC" w:rsidRPr="00D75223" w:rsidRDefault="00E069FC" w:rsidP="004A4D56">
            <w:pPr>
              <w:spacing w:before="100" w:beforeAutospacing="1" w:after="100" w:afterAutospacing="1" w:line="259" w:lineRule="auto"/>
              <w:rPr>
                <w:rFonts w:ascii="Arial" w:hAnsi="Arial" w:cs="Arial"/>
                <w:b/>
                <w:bCs/>
                <w:sz w:val="24"/>
                <w:szCs w:val="24"/>
              </w:rPr>
            </w:pPr>
            <w:r w:rsidRPr="00D75223">
              <w:rPr>
                <w:rFonts w:ascii="Arial" w:hAnsi="Arial" w:cs="Arial"/>
                <w:b/>
                <w:bCs/>
                <w:sz w:val="24"/>
                <w:szCs w:val="24"/>
              </w:rPr>
              <w:t>Total</w:t>
            </w:r>
          </w:p>
        </w:tc>
        <w:tc>
          <w:tcPr>
            <w:tcW w:w="1134" w:type="dxa"/>
          </w:tcPr>
          <w:p w14:paraId="74097ABD" w14:textId="6688BA96" w:rsidR="00E069FC" w:rsidRPr="00D75223" w:rsidRDefault="17245AD0"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 xml:space="preserve"> 30,200 </w:t>
            </w:r>
          </w:p>
        </w:tc>
        <w:tc>
          <w:tcPr>
            <w:tcW w:w="1134" w:type="dxa"/>
          </w:tcPr>
          <w:p w14:paraId="58AC296A" w14:textId="6F830BFF" w:rsidR="00E069FC" w:rsidRPr="00D75223" w:rsidRDefault="17245AD0"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 xml:space="preserve"> 29,200 </w:t>
            </w:r>
          </w:p>
        </w:tc>
        <w:tc>
          <w:tcPr>
            <w:tcW w:w="1134" w:type="dxa"/>
          </w:tcPr>
          <w:p w14:paraId="6AEFACFB" w14:textId="146D3D4B" w:rsidR="00E069FC" w:rsidRPr="00D75223" w:rsidRDefault="17245AD0"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 xml:space="preserve"> 18,200 </w:t>
            </w:r>
          </w:p>
        </w:tc>
        <w:tc>
          <w:tcPr>
            <w:tcW w:w="1134" w:type="dxa"/>
          </w:tcPr>
          <w:p w14:paraId="2AB6A40A" w14:textId="33A77B9D" w:rsidR="00E069FC" w:rsidRPr="00D75223" w:rsidRDefault="17245AD0"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 xml:space="preserve"> 10,700 </w:t>
            </w:r>
          </w:p>
        </w:tc>
        <w:tc>
          <w:tcPr>
            <w:tcW w:w="1134" w:type="dxa"/>
          </w:tcPr>
          <w:p w14:paraId="3BBFE561" w14:textId="53C09AE7" w:rsidR="00E069FC" w:rsidRPr="00D75223" w:rsidRDefault="17245AD0"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 xml:space="preserve"> 9,700 </w:t>
            </w:r>
          </w:p>
        </w:tc>
      </w:tr>
    </w:tbl>
    <w:p w14:paraId="53FAAFC0" w14:textId="4AE1102F" w:rsidR="00CC105B" w:rsidRPr="00D75223" w:rsidRDefault="00845604" w:rsidP="00725AA3">
      <w:pPr>
        <w:pStyle w:val="Heading1"/>
      </w:pPr>
      <w:bookmarkStart w:id="4" w:name="_Toc196988010"/>
      <w:r w:rsidRPr="00845604">
        <w:t>E</w:t>
      </w:r>
      <w:r w:rsidR="00CC105B" w:rsidRPr="00D75223">
        <w:t xml:space="preserve">fficiency </w:t>
      </w:r>
      <w:r w:rsidR="005E4CAA">
        <w:t>tables</w:t>
      </w:r>
      <w:bookmarkEnd w:id="4"/>
    </w:p>
    <w:tbl>
      <w:tblPr>
        <w:tblW w:w="9523" w:type="dxa"/>
        <w:tblCellMar>
          <w:top w:w="15" w:type="dxa"/>
          <w:bottom w:w="15" w:type="dxa"/>
        </w:tblCellMar>
        <w:tblLook w:val="04A0" w:firstRow="1" w:lastRow="0" w:firstColumn="1" w:lastColumn="0" w:noHBand="0" w:noVBand="1"/>
      </w:tblPr>
      <w:tblGrid>
        <w:gridCol w:w="3061"/>
        <w:gridCol w:w="2154"/>
        <w:gridCol w:w="2154"/>
        <w:gridCol w:w="2154"/>
      </w:tblGrid>
      <w:tr w:rsidR="009416A2" w:rsidRPr="00D75223" w14:paraId="6FC194BE" w14:textId="77777777" w:rsidTr="7421863C">
        <w:trPr>
          <w:trHeight w:val="465"/>
        </w:trPr>
        <w:tc>
          <w:tcPr>
            <w:tcW w:w="3061" w:type="dxa"/>
            <w:tcBorders>
              <w:top w:val="single" w:sz="4" w:space="0" w:color="auto"/>
              <w:left w:val="single" w:sz="4" w:space="0" w:color="auto"/>
              <w:bottom w:val="single" w:sz="4" w:space="0" w:color="auto"/>
              <w:right w:val="single" w:sz="4" w:space="0" w:color="auto"/>
            </w:tcBorders>
            <w:shd w:val="clear" w:color="auto" w:fill="F1E8F8"/>
            <w:noWrap/>
            <w:vAlign w:val="center"/>
            <w:hideMark/>
          </w:tcPr>
          <w:p w14:paraId="169D3C0A" w14:textId="3C1E3FEB" w:rsidR="009416A2" w:rsidRPr="00D75223" w:rsidRDefault="009E4F91" w:rsidP="00845604">
            <w:pPr>
              <w:pStyle w:val="Heading2"/>
              <w:rPr>
                <w:lang w:eastAsia="en-GB"/>
              </w:rPr>
            </w:pPr>
            <w:bookmarkStart w:id="5" w:name="_Toc196988011"/>
            <w:bookmarkStart w:id="6" w:name="_Hlk196986011"/>
            <w:r>
              <w:rPr>
                <w:lang w:eastAsia="en-GB"/>
              </w:rPr>
              <w:t>Efficiency</w:t>
            </w:r>
            <w:r w:rsidR="005E4CAA">
              <w:rPr>
                <w:lang w:eastAsia="en-GB"/>
              </w:rPr>
              <w:t xml:space="preserve"> </w:t>
            </w:r>
            <w:r w:rsidR="005E4CAA" w:rsidRPr="005E4CAA">
              <w:rPr>
                <w:lang w:eastAsia="en-GB"/>
              </w:rPr>
              <w:t>(£’000)</w:t>
            </w:r>
            <w:bookmarkEnd w:id="5"/>
          </w:p>
        </w:tc>
        <w:tc>
          <w:tcPr>
            <w:tcW w:w="2154" w:type="dxa"/>
            <w:tcBorders>
              <w:top w:val="single" w:sz="4" w:space="0" w:color="auto"/>
              <w:left w:val="single" w:sz="4" w:space="0" w:color="auto"/>
              <w:bottom w:val="single" w:sz="4" w:space="0" w:color="auto"/>
              <w:right w:val="single" w:sz="4" w:space="0" w:color="auto"/>
            </w:tcBorders>
            <w:shd w:val="clear" w:color="auto" w:fill="F1E8F8"/>
            <w:noWrap/>
            <w:vAlign w:val="center"/>
            <w:hideMark/>
          </w:tcPr>
          <w:p w14:paraId="291501A8" w14:textId="77CCF7FB" w:rsidR="009416A2" w:rsidRPr="00D75223" w:rsidRDefault="214D995B" w:rsidP="004A4D56">
            <w:pPr>
              <w:spacing w:after="0" w:line="240" w:lineRule="auto"/>
              <w:rPr>
                <w:rFonts w:ascii="Arial" w:eastAsiaTheme="minorEastAsia" w:hAnsi="Arial" w:cs="Arial"/>
                <w:b/>
                <w:bCs/>
                <w:sz w:val="20"/>
                <w:szCs w:val="20"/>
                <w:lang w:eastAsia="en-GB"/>
              </w:rPr>
            </w:pPr>
            <w:r w:rsidRPr="00D75223">
              <w:rPr>
                <w:rFonts w:ascii="Arial" w:eastAsiaTheme="minorEastAsia" w:hAnsi="Arial" w:cs="Arial"/>
                <w:b/>
                <w:bCs/>
                <w:sz w:val="20"/>
                <w:szCs w:val="20"/>
                <w:lang w:eastAsia="en-GB"/>
              </w:rPr>
              <w:t>Actual 2023-24</w:t>
            </w:r>
          </w:p>
        </w:tc>
        <w:tc>
          <w:tcPr>
            <w:tcW w:w="2154" w:type="dxa"/>
            <w:tcBorders>
              <w:top w:val="single" w:sz="4" w:space="0" w:color="auto"/>
              <w:left w:val="single" w:sz="4" w:space="0" w:color="auto"/>
              <w:bottom w:val="single" w:sz="4" w:space="0" w:color="auto"/>
              <w:right w:val="single" w:sz="4" w:space="0" w:color="auto"/>
            </w:tcBorders>
            <w:shd w:val="clear" w:color="auto" w:fill="F1E8F8"/>
            <w:vAlign w:val="center"/>
          </w:tcPr>
          <w:p w14:paraId="06951F61" w14:textId="043F2B10" w:rsidR="009416A2" w:rsidRPr="00D75223" w:rsidRDefault="214D995B" w:rsidP="004A4D56">
            <w:pPr>
              <w:spacing w:after="0" w:line="240" w:lineRule="auto"/>
              <w:rPr>
                <w:rFonts w:ascii="Arial" w:eastAsiaTheme="minorEastAsia" w:hAnsi="Arial" w:cs="Arial"/>
                <w:b/>
                <w:bCs/>
                <w:sz w:val="20"/>
                <w:szCs w:val="20"/>
                <w:lang w:eastAsia="en-GB"/>
              </w:rPr>
            </w:pPr>
            <w:r w:rsidRPr="00D75223">
              <w:rPr>
                <w:rFonts w:ascii="Arial" w:eastAsiaTheme="minorEastAsia" w:hAnsi="Arial" w:cs="Arial"/>
                <w:b/>
                <w:bCs/>
                <w:sz w:val="20"/>
                <w:szCs w:val="20"/>
                <w:lang w:eastAsia="en-GB"/>
              </w:rPr>
              <w:t>Actual 2024-25</w:t>
            </w:r>
          </w:p>
        </w:tc>
        <w:tc>
          <w:tcPr>
            <w:tcW w:w="2154" w:type="dxa"/>
            <w:tcBorders>
              <w:top w:val="single" w:sz="4" w:space="0" w:color="auto"/>
              <w:left w:val="single" w:sz="4" w:space="0" w:color="auto"/>
              <w:bottom w:val="single" w:sz="4" w:space="0" w:color="auto"/>
              <w:right w:val="single" w:sz="4" w:space="0" w:color="auto"/>
            </w:tcBorders>
            <w:shd w:val="clear" w:color="auto" w:fill="F1E8F8"/>
            <w:vAlign w:val="center"/>
          </w:tcPr>
          <w:p w14:paraId="6DC5F5F0" w14:textId="3F8D2899" w:rsidR="009416A2" w:rsidRPr="00D75223" w:rsidRDefault="214D995B" w:rsidP="004A4D56">
            <w:pPr>
              <w:spacing w:after="0" w:line="240" w:lineRule="auto"/>
              <w:rPr>
                <w:rFonts w:ascii="Arial" w:eastAsiaTheme="minorEastAsia" w:hAnsi="Arial" w:cs="Arial"/>
                <w:b/>
                <w:bCs/>
                <w:sz w:val="20"/>
                <w:szCs w:val="20"/>
                <w:lang w:eastAsia="en-GB"/>
              </w:rPr>
            </w:pPr>
            <w:r w:rsidRPr="00D75223">
              <w:rPr>
                <w:rFonts w:ascii="Arial" w:eastAsiaTheme="minorEastAsia" w:hAnsi="Arial" w:cs="Arial"/>
                <w:b/>
                <w:bCs/>
                <w:sz w:val="20"/>
                <w:szCs w:val="20"/>
                <w:lang w:eastAsia="en-GB"/>
              </w:rPr>
              <w:t>Forecast 2025-26</w:t>
            </w:r>
          </w:p>
        </w:tc>
      </w:tr>
      <w:bookmarkEnd w:id="6"/>
      <w:tr w:rsidR="009416A2" w:rsidRPr="00D75223" w14:paraId="789C10B2" w14:textId="77777777" w:rsidTr="7421863C">
        <w:trPr>
          <w:trHeight w:val="315"/>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7074373B" w14:textId="569604DA" w:rsidR="009416A2" w:rsidRPr="005E4CAA" w:rsidRDefault="214D995B" w:rsidP="004A4D56">
            <w:pPr>
              <w:spacing w:after="0" w:line="240" w:lineRule="auto"/>
              <w:rPr>
                <w:rFonts w:ascii="Arial" w:eastAsiaTheme="minorEastAsia" w:hAnsi="Arial" w:cs="Arial"/>
                <w:sz w:val="24"/>
                <w:szCs w:val="24"/>
                <w:lang w:eastAsia="en-GB"/>
              </w:rPr>
            </w:pPr>
            <w:r w:rsidRPr="005E4CAA">
              <w:rPr>
                <w:rFonts w:ascii="Arial" w:eastAsiaTheme="minorEastAsia" w:hAnsi="Arial" w:cs="Arial"/>
                <w:sz w:val="24"/>
                <w:szCs w:val="24"/>
                <w:lang w:eastAsia="en-GB"/>
              </w:rPr>
              <w:t>Opening Revenue Expenditure Budget (Net)</w:t>
            </w:r>
          </w:p>
        </w:tc>
        <w:tc>
          <w:tcPr>
            <w:tcW w:w="2154" w:type="dxa"/>
            <w:tcBorders>
              <w:top w:val="single" w:sz="4" w:space="0" w:color="auto"/>
              <w:left w:val="single" w:sz="4" w:space="0" w:color="auto"/>
              <w:bottom w:val="single" w:sz="4" w:space="0" w:color="auto"/>
              <w:right w:val="single" w:sz="4" w:space="0" w:color="auto"/>
            </w:tcBorders>
            <w:noWrap/>
            <w:vAlign w:val="center"/>
            <w:hideMark/>
          </w:tcPr>
          <w:p w14:paraId="3577B62A" w14:textId="1DE6F9EA" w:rsidR="009416A2" w:rsidRPr="005E4CAA" w:rsidRDefault="214D995B" w:rsidP="0010372D">
            <w:pPr>
              <w:spacing w:after="0" w:line="240" w:lineRule="auto"/>
              <w:jc w:val="center"/>
              <w:rPr>
                <w:rFonts w:ascii="Arial" w:eastAsiaTheme="minorEastAsia" w:hAnsi="Arial" w:cs="Arial"/>
                <w:color w:val="000000"/>
                <w:sz w:val="24"/>
                <w:szCs w:val="24"/>
                <w:lang w:eastAsia="en-GB"/>
              </w:rPr>
            </w:pPr>
            <w:r w:rsidRPr="005E4CAA">
              <w:rPr>
                <w:rFonts w:ascii="Arial" w:eastAsiaTheme="minorEastAsia" w:hAnsi="Arial" w:cs="Arial"/>
                <w:color w:val="000000" w:themeColor="text1"/>
                <w:sz w:val="24"/>
                <w:szCs w:val="24"/>
                <w:lang w:eastAsia="en-GB"/>
              </w:rPr>
              <w:t>68,200</w:t>
            </w:r>
          </w:p>
        </w:tc>
        <w:tc>
          <w:tcPr>
            <w:tcW w:w="2154" w:type="dxa"/>
            <w:tcBorders>
              <w:top w:val="single" w:sz="4" w:space="0" w:color="auto"/>
              <w:left w:val="single" w:sz="4" w:space="0" w:color="auto"/>
              <w:bottom w:val="single" w:sz="4" w:space="0" w:color="auto"/>
              <w:right w:val="single" w:sz="4" w:space="0" w:color="auto"/>
            </w:tcBorders>
            <w:vAlign w:val="center"/>
          </w:tcPr>
          <w:p w14:paraId="206A84C2" w14:textId="534A1F30" w:rsidR="009416A2" w:rsidRPr="005E4CAA" w:rsidRDefault="214D995B" w:rsidP="0010372D">
            <w:pPr>
              <w:spacing w:after="0" w:line="240" w:lineRule="auto"/>
              <w:jc w:val="center"/>
              <w:rPr>
                <w:rFonts w:ascii="Arial" w:eastAsiaTheme="minorEastAsia" w:hAnsi="Arial" w:cs="Arial"/>
                <w:color w:val="000000"/>
                <w:sz w:val="24"/>
                <w:szCs w:val="24"/>
                <w:lang w:eastAsia="en-GB"/>
              </w:rPr>
            </w:pPr>
            <w:r w:rsidRPr="005E4CAA">
              <w:rPr>
                <w:rFonts w:ascii="Arial" w:eastAsiaTheme="minorEastAsia" w:hAnsi="Arial" w:cs="Arial"/>
                <w:color w:val="000000" w:themeColor="text1"/>
                <w:sz w:val="24"/>
                <w:szCs w:val="24"/>
                <w:lang w:eastAsia="en-GB"/>
              </w:rPr>
              <w:t>75,200</w:t>
            </w:r>
          </w:p>
        </w:tc>
        <w:tc>
          <w:tcPr>
            <w:tcW w:w="2154" w:type="dxa"/>
            <w:tcBorders>
              <w:top w:val="single" w:sz="4" w:space="0" w:color="auto"/>
              <w:left w:val="single" w:sz="4" w:space="0" w:color="auto"/>
              <w:bottom w:val="single" w:sz="4" w:space="0" w:color="auto"/>
              <w:right w:val="single" w:sz="4" w:space="0" w:color="auto"/>
            </w:tcBorders>
            <w:vAlign w:val="center"/>
          </w:tcPr>
          <w:p w14:paraId="0D37278F" w14:textId="506F623D" w:rsidR="009416A2" w:rsidRPr="005E4CAA" w:rsidRDefault="214D995B" w:rsidP="0010372D">
            <w:pPr>
              <w:spacing w:after="0" w:line="240" w:lineRule="auto"/>
              <w:jc w:val="center"/>
              <w:rPr>
                <w:rFonts w:ascii="Arial" w:eastAsiaTheme="minorEastAsia" w:hAnsi="Arial" w:cs="Arial"/>
                <w:color w:val="000000"/>
                <w:sz w:val="24"/>
                <w:szCs w:val="24"/>
                <w:lang w:eastAsia="en-GB"/>
              </w:rPr>
            </w:pPr>
            <w:r w:rsidRPr="005E4CAA">
              <w:rPr>
                <w:rFonts w:ascii="Arial" w:eastAsiaTheme="minorEastAsia" w:hAnsi="Arial" w:cs="Arial"/>
                <w:color w:val="000000" w:themeColor="text1"/>
                <w:sz w:val="24"/>
                <w:szCs w:val="24"/>
                <w:lang w:eastAsia="en-GB"/>
              </w:rPr>
              <w:t>77,500</w:t>
            </w:r>
          </w:p>
        </w:tc>
      </w:tr>
      <w:tr w:rsidR="009416A2" w:rsidRPr="00D75223" w14:paraId="43FADB99" w14:textId="77777777" w:rsidTr="7421863C">
        <w:trPr>
          <w:trHeight w:val="315"/>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16397C45" w14:textId="02887604" w:rsidR="009416A2" w:rsidRPr="005E4CAA" w:rsidRDefault="214D995B" w:rsidP="004A4D56">
            <w:pPr>
              <w:spacing w:after="0" w:line="240" w:lineRule="auto"/>
              <w:rPr>
                <w:rFonts w:ascii="Arial" w:eastAsiaTheme="minorEastAsia" w:hAnsi="Arial" w:cs="Arial"/>
                <w:sz w:val="24"/>
                <w:szCs w:val="24"/>
                <w:lang w:eastAsia="en-GB"/>
              </w:rPr>
            </w:pPr>
            <w:r w:rsidRPr="005E4CAA">
              <w:rPr>
                <w:rFonts w:ascii="Arial" w:eastAsiaTheme="minorEastAsia" w:hAnsi="Arial" w:cs="Arial"/>
                <w:sz w:val="24"/>
                <w:szCs w:val="24"/>
                <w:lang w:eastAsia="en-GB"/>
              </w:rPr>
              <w:t>Less Total Direct Employee Costs</w:t>
            </w:r>
          </w:p>
        </w:tc>
        <w:tc>
          <w:tcPr>
            <w:tcW w:w="2154" w:type="dxa"/>
            <w:tcBorders>
              <w:top w:val="single" w:sz="4" w:space="0" w:color="auto"/>
              <w:left w:val="single" w:sz="4" w:space="0" w:color="auto"/>
              <w:bottom w:val="single" w:sz="4" w:space="0" w:color="auto"/>
              <w:right w:val="single" w:sz="4" w:space="0" w:color="auto"/>
            </w:tcBorders>
            <w:noWrap/>
            <w:vAlign w:val="center"/>
            <w:hideMark/>
          </w:tcPr>
          <w:p w14:paraId="3661236E" w14:textId="3F4449DB" w:rsidR="009416A2" w:rsidRPr="005E4CAA" w:rsidRDefault="214D995B" w:rsidP="0010372D">
            <w:pPr>
              <w:spacing w:after="0" w:line="240" w:lineRule="auto"/>
              <w:jc w:val="center"/>
              <w:rPr>
                <w:rFonts w:ascii="Arial" w:eastAsiaTheme="minorEastAsia" w:hAnsi="Arial" w:cs="Arial"/>
                <w:color w:val="000000"/>
                <w:sz w:val="24"/>
                <w:szCs w:val="24"/>
                <w:lang w:eastAsia="en-GB"/>
              </w:rPr>
            </w:pPr>
            <w:r w:rsidRPr="005E4CAA">
              <w:rPr>
                <w:rFonts w:ascii="Arial" w:eastAsiaTheme="minorEastAsia" w:hAnsi="Arial" w:cs="Arial"/>
                <w:color w:val="000000" w:themeColor="text1"/>
                <w:sz w:val="24"/>
                <w:szCs w:val="24"/>
                <w:lang w:eastAsia="en-GB"/>
              </w:rPr>
              <w:t>(54,000)</w:t>
            </w:r>
          </w:p>
        </w:tc>
        <w:tc>
          <w:tcPr>
            <w:tcW w:w="2154" w:type="dxa"/>
            <w:tcBorders>
              <w:top w:val="single" w:sz="4" w:space="0" w:color="auto"/>
              <w:left w:val="single" w:sz="4" w:space="0" w:color="auto"/>
              <w:bottom w:val="single" w:sz="4" w:space="0" w:color="auto"/>
              <w:right w:val="single" w:sz="4" w:space="0" w:color="auto"/>
            </w:tcBorders>
            <w:vAlign w:val="center"/>
          </w:tcPr>
          <w:p w14:paraId="34A1D1A5" w14:textId="0C6D1A64" w:rsidR="009416A2" w:rsidRPr="005E4CAA" w:rsidRDefault="214D995B" w:rsidP="0010372D">
            <w:pPr>
              <w:spacing w:after="0" w:line="240" w:lineRule="auto"/>
              <w:jc w:val="center"/>
              <w:rPr>
                <w:rFonts w:ascii="Arial" w:eastAsiaTheme="minorEastAsia" w:hAnsi="Arial" w:cs="Arial"/>
                <w:color w:val="000000"/>
                <w:sz w:val="24"/>
                <w:szCs w:val="24"/>
                <w:lang w:eastAsia="en-GB"/>
              </w:rPr>
            </w:pPr>
            <w:r w:rsidRPr="005E4CAA">
              <w:rPr>
                <w:rFonts w:ascii="Arial" w:eastAsiaTheme="minorEastAsia" w:hAnsi="Arial" w:cs="Arial"/>
                <w:color w:val="000000" w:themeColor="text1"/>
                <w:sz w:val="24"/>
                <w:szCs w:val="24"/>
                <w:lang w:eastAsia="en-GB"/>
              </w:rPr>
              <w:t>(59,500)</w:t>
            </w:r>
          </w:p>
        </w:tc>
        <w:tc>
          <w:tcPr>
            <w:tcW w:w="2154" w:type="dxa"/>
            <w:tcBorders>
              <w:top w:val="single" w:sz="4" w:space="0" w:color="auto"/>
              <w:left w:val="single" w:sz="4" w:space="0" w:color="auto"/>
              <w:bottom w:val="single" w:sz="4" w:space="0" w:color="auto"/>
              <w:right w:val="single" w:sz="4" w:space="0" w:color="auto"/>
            </w:tcBorders>
            <w:vAlign w:val="center"/>
          </w:tcPr>
          <w:p w14:paraId="5A0B2EB0" w14:textId="1785CD4A" w:rsidR="009416A2" w:rsidRPr="005E4CAA" w:rsidRDefault="214D995B" w:rsidP="0010372D">
            <w:pPr>
              <w:spacing w:after="0" w:line="240" w:lineRule="auto"/>
              <w:jc w:val="center"/>
              <w:rPr>
                <w:rFonts w:ascii="Arial" w:eastAsiaTheme="minorEastAsia" w:hAnsi="Arial" w:cs="Arial"/>
                <w:color w:val="000000"/>
                <w:sz w:val="24"/>
                <w:szCs w:val="24"/>
                <w:lang w:eastAsia="en-GB"/>
              </w:rPr>
            </w:pPr>
            <w:r w:rsidRPr="005E4CAA">
              <w:rPr>
                <w:rFonts w:ascii="Arial" w:eastAsiaTheme="minorEastAsia" w:hAnsi="Arial" w:cs="Arial"/>
                <w:color w:val="000000" w:themeColor="text1"/>
                <w:sz w:val="24"/>
                <w:szCs w:val="24"/>
                <w:lang w:eastAsia="en-GB"/>
              </w:rPr>
              <w:t>(61,500)</w:t>
            </w:r>
          </w:p>
        </w:tc>
      </w:tr>
      <w:tr w:rsidR="009416A2" w:rsidRPr="00D75223" w14:paraId="294597BE" w14:textId="77777777" w:rsidTr="7421863C">
        <w:trPr>
          <w:trHeight w:val="315"/>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09C74664" w14:textId="4A6449A3" w:rsidR="009416A2" w:rsidRPr="005E4CAA" w:rsidRDefault="214D995B" w:rsidP="004A4D56">
            <w:pPr>
              <w:spacing w:after="0" w:line="240" w:lineRule="auto"/>
              <w:rPr>
                <w:rFonts w:ascii="Arial" w:eastAsiaTheme="minorEastAsia" w:hAnsi="Arial" w:cs="Arial"/>
                <w:b/>
                <w:bCs/>
                <w:sz w:val="24"/>
                <w:szCs w:val="24"/>
                <w:lang w:eastAsia="en-GB"/>
              </w:rPr>
            </w:pPr>
            <w:r w:rsidRPr="005E4CAA">
              <w:rPr>
                <w:rFonts w:ascii="Arial" w:eastAsiaTheme="minorEastAsia" w:hAnsi="Arial" w:cs="Arial"/>
                <w:b/>
                <w:bCs/>
                <w:sz w:val="24"/>
                <w:szCs w:val="24"/>
                <w:lang w:eastAsia="en-GB"/>
              </w:rPr>
              <w:t>Non Pay Budget</w:t>
            </w:r>
          </w:p>
        </w:tc>
        <w:tc>
          <w:tcPr>
            <w:tcW w:w="2154" w:type="dxa"/>
            <w:tcBorders>
              <w:top w:val="single" w:sz="4" w:space="0" w:color="auto"/>
              <w:left w:val="single" w:sz="4" w:space="0" w:color="auto"/>
              <w:bottom w:val="single" w:sz="4" w:space="0" w:color="auto"/>
              <w:right w:val="single" w:sz="4" w:space="0" w:color="auto"/>
            </w:tcBorders>
            <w:noWrap/>
            <w:vAlign w:val="center"/>
            <w:hideMark/>
          </w:tcPr>
          <w:p w14:paraId="3CE41A95" w14:textId="4D673521" w:rsidR="009416A2" w:rsidRPr="005E4CAA" w:rsidRDefault="214D995B" w:rsidP="0010372D">
            <w:pPr>
              <w:spacing w:after="0" w:line="240" w:lineRule="auto"/>
              <w:jc w:val="center"/>
              <w:rPr>
                <w:rFonts w:ascii="Arial" w:eastAsiaTheme="minorEastAsia" w:hAnsi="Arial" w:cs="Arial"/>
                <w:b/>
                <w:bCs/>
                <w:color w:val="000000"/>
                <w:sz w:val="24"/>
                <w:szCs w:val="24"/>
                <w:lang w:eastAsia="en-GB"/>
              </w:rPr>
            </w:pPr>
            <w:r w:rsidRPr="005E4CAA">
              <w:rPr>
                <w:rFonts w:ascii="Arial" w:eastAsiaTheme="minorEastAsia" w:hAnsi="Arial" w:cs="Arial"/>
                <w:b/>
                <w:bCs/>
                <w:color w:val="000000" w:themeColor="text1"/>
                <w:sz w:val="24"/>
                <w:szCs w:val="24"/>
                <w:lang w:eastAsia="en-GB"/>
              </w:rPr>
              <w:t>14,200</w:t>
            </w:r>
          </w:p>
        </w:tc>
        <w:tc>
          <w:tcPr>
            <w:tcW w:w="2154" w:type="dxa"/>
            <w:tcBorders>
              <w:top w:val="single" w:sz="4" w:space="0" w:color="auto"/>
              <w:left w:val="single" w:sz="4" w:space="0" w:color="auto"/>
              <w:bottom w:val="single" w:sz="4" w:space="0" w:color="auto"/>
              <w:right w:val="single" w:sz="4" w:space="0" w:color="auto"/>
            </w:tcBorders>
            <w:vAlign w:val="center"/>
          </w:tcPr>
          <w:p w14:paraId="7EF046BA" w14:textId="6BE691D9" w:rsidR="009416A2" w:rsidRPr="005E4CAA" w:rsidRDefault="214D995B" w:rsidP="0010372D">
            <w:pPr>
              <w:spacing w:after="0" w:line="240" w:lineRule="auto"/>
              <w:jc w:val="center"/>
              <w:rPr>
                <w:rFonts w:ascii="Arial" w:eastAsiaTheme="minorEastAsia" w:hAnsi="Arial" w:cs="Arial"/>
                <w:b/>
                <w:bCs/>
                <w:color w:val="000000"/>
                <w:sz w:val="24"/>
                <w:szCs w:val="24"/>
                <w:lang w:eastAsia="en-GB"/>
              </w:rPr>
            </w:pPr>
            <w:r w:rsidRPr="005E4CAA">
              <w:rPr>
                <w:rFonts w:ascii="Arial" w:eastAsiaTheme="minorEastAsia" w:hAnsi="Arial" w:cs="Arial"/>
                <w:b/>
                <w:bCs/>
                <w:color w:val="000000" w:themeColor="text1"/>
                <w:sz w:val="24"/>
                <w:szCs w:val="24"/>
                <w:lang w:eastAsia="en-GB"/>
              </w:rPr>
              <w:t>15,700</w:t>
            </w:r>
          </w:p>
        </w:tc>
        <w:tc>
          <w:tcPr>
            <w:tcW w:w="2154" w:type="dxa"/>
            <w:tcBorders>
              <w:top w:val="single" w:sz="4" w:space="0" w:color="auto"/>
              <w:left w:val="single" w:sz="4" w:space="0" w:color="auto"/>
              <w:bottom w:val="single" w:sz="4" w:space="0" w:color="auto"/>
              <w:right w:val="single" w:sz="4" w:space="0" w:color="auto"/>
            </w:tcBorders>
            <w:vAlign w:val="center"/>
          </w:tcPr>
          <w:p w14:paraId="4C8643B4" w14:textId="46E1DCC1" w:rsidR="009416A2" w:rsidRPr="005E4CAA" w:rsidRDefault="214D995B" w:rsidP="0010372D">
            <w:pPr>
              <w:spacing w:after="0" w:line="240" w:lineRule="auto"/>
              <w:jc w:val="center"/>
              <w:rPr>
                <w:rFonts w:ascii="Arial" w:eastAsiaTheme="minorEastAsia" w:hAnsi="Arial" w:cs="Arial"/>
                <w:b/>
                <w:bCs/>
                <w:color w:val="000000"/>
                <w:sz w:val="24"/>
                <w:szCs w:val="24"/>
                <w:lang w:eastAsia="en-GB"/>
              </w:rPr>
            </w:pPr>
            <w:r w:rsidRPr="005E4CAA">
              <w:rPr>
                <w:rFonts w:ascii="Arial" w:eastAsiaTheme="minorEastAsia" w:hAnsi="Arial" w:cs="Arial"/>
                <w:b/>
                <w:bCs/>
                <w:color w:val="000000" w:themeColor="text1"/>
                <w:sz w:val="24"/>
                <w:szCs w:val="24"/>
                <w:lang w:eastAsia="en-GB"/>
              </w:rPr>
              <w:t>16,000</w:t>
            </w:r>
          </w:p>
        </w:tc>
      </w:tr>
      <w:tr w:rsidR="009416A2" w:rsidRPr="000E5D66" w14:paraId="76A17947" w14:textId="77777777" w:rsidTr="7421863C">
        <w:trPr>
          <w:trHeight w:val="315"/>
        </w:trPr>
        <w:tc>
          <w:tcPr>
            <w:tcW w:w="3061" w:type="dxa"/>
            <w:tcBorders>
              <w:top w:val="single" w:sz="4" w:space="0" w:color="auto"/>
              <w:left w:val="single" w:sz="4" w:space="0" w:color="auto"/>
              <w:bottom w:val="single" w:sz="8" w:space="0" w:color="000000" w:themeColor="text1"/>
              <w:right w:val="single" w:sz="4" w:space="0" w:color="auto"/>
            </w:tcBorders>
            <w:noWrap/>
            <w:vAlign w:val="center"/>
            <w:hideMark/>
          </w:tcPr>
          <w:p w14:paraId="6DDB0ACB" w14:textId="12DDC780" w:rsidR="009416A2" w:rsidRPr="005E4CAA" w:rsidRDefault="214D995B" w:rsidP="004A4D56">
            <w:pPr>
              <w:spacing w:after="0" w:line="240" w:lineRule="auto"/>
              <w:rPr>
                <w:rFonts w:ascii="Arial" w:eastAsiaTheme="minorEastAsia" w:hAnsi="Arial" w:cs="Arial"/>
                <w:b/>
                <w:bCs/>
                <w:sz w:val="24"/>
                <w:szCs w:val="24"/>
                <w:lang w:eastAsia="en-GB"/>
              </w:rPr>
            </w:pPr>
            <w:r w:rsidRPr="005E4CAA">
              <w:rPr>
                <w:rFonts w:ascii="Arial" w:eastAsiaTheme="minorEastAsia" w:hAnsi="Arial" w:cs="Arial"/>
                <w:b/>
                <w:bCs/>
                <w:sz w:val="24"/>
                <w:szCs w:val="24"/>
                <w:lang w:eastAsia="en-GB"/>
              </w:rPr>
              <w:t>Efficiency Target (2% of non-pay budget)</w:t>
            </w:r>
          </w:p>
        </w:tc>
        <w:tc>
          <w:tcPr>
            <w:tcW w:w="2154" w:type="dxa"/>
            <w:tcBorders>
              <w:top w:val="single" w:sz="4" w:space="0" w:color="auto"/>
              <w:left w:val="single" w:sz="4" w:space="0" w:color="auto"/>
              <w:bottom w:val="single" w:sz="8" w:space="0" w:color="000000" w:themeColor="text1"/>
              <w:right w:val="single" w:sz="4" w:space="0" w:color="auto"/>
            </w:tcBorders>
            <w:noWrap/>
            <w:vAlign w:val="center"/>
            <w:hideMark/>
          </w:tcPr>
          <w:p w14:paraId="073A057C" w14:textId="012437AB" w:rsidR="009416A2" w:rsidRPr="005E4CAA" w:rsidRDefault="214D995B" w:rsidP="0010372D">
            <w:pPr>
              <w:spacing w:after="0" w:line="240" w:lineRule="auto"/>
              <w:jc w:val="center"/>
              <w:rPr>
                <w:rFonts w:ascii="Arial" w:eastAsiaTheme="minorEastAsia" w:hAnsi="Arial" w:cs="Arial"/>
                <w:b/>
                <w:bCs/>
                <w:color w:val="000000"/>
                <w:sz w:val="24"/>
                <w:szCs w:val="24"/>
                <w:lang w:eastAsia="en-GB"/>
              </w:rPr>
            </w:pPr>
            <w:r w:rsidRPr="005E4CAA">
              <w:rPr>
                <w:rFonts w:ascii="Arial" w:eastAsiaTheme="minorEastAsia" w:hAnsi="Arial" w:cs="Arial"/>
                <w:b/>
                <w:bCs/>
                <w:color w:val="000000" w:themeColor="text1"/>
                <w:sz w:val="24"/>
                <w:szCs w:val="24"/>
                <w:lang w:eastAsia="en-GB"/>
              </w:rPr>
              <w:t>284</w:t>
            </w:r>
          </w:p>
        </w:tc>
        <w:tc>
          <w:tcPr>
            <w:tcW w:w="2154" w:type="dxa"/>
            <w:tcBorders>
              <w:top w:val="single" w:sz="4" w:space="0" w:color="auto"/>
              <w:left w:val="single" w:sz="4" w:space="0" w:color="auto"/>
              <w:bottom w:val="single" w:sz="8" w:space="0" w:color="000000" w:themeColor="text1"/>
              <w:right w:val="single" w:sz="4" w:space="0" w:color="auto"/>
            </w:tcBorders>
            <w:vAlign w:val="center"/>
          </w:tcPr>
          <w:p w14:paraId="38DDBD3C" w14:textId="2677CF6B" w:rsidR="009416A2" w:rsidRPr="005E4CAA" w:rsidRDefault="214D995B" w:rsidP="0010372D">
            <w:pPr>
              <w:spacing w:after="0" w:line="240" w:lineRule="auto"/>
              <w:jc w:val="center"/>
              <w:rPr>
                <w:rFonts w:ascii="Arial" w:eastAsiaTheme="minorEastAsia" w:hAnsi="Arial" w:cs="Arial"/>
                <w:b/>
                <w:bCs/>
                <w:color w:val="000000"/>
                <w:sz w:val="24"/>
                <w:szCs w:val="24"/>
                <w:lang w:eastAsia="en-GB"/>
              </w:rPr>
            </w:pPr>
            <w:r w:rsidRPr="005E4CAA">
              <w:rPr>
                <w:rFonts w:ascii="Arial" w:eastAsiaTheme="minorEastAsia" w:hAnsi="Arial" w:cs="Arial"/>
                <w:b/>
                <w:bCs/>
                <w:color w:val="000000" w:themeColor="text1"/>
                <w:sz w:val="24"/>
                <w:szCs w:val="24"/>
                <w:lang w:eastAsia="en-GB"/>
              </w:rPr>
              <w:t>314</w:t>
            </w:r>
          </w:p>
        </w:tc>
        <w:tc>
          <w:tcPr>
            <w:tcW w:w="2154" w:type="dxa"/>
            <w:tcBorders>
              <w:top w:val="single" w:sz="4" w:space="0" w:color="auto"/>
              <w:left w:val="single" w:sz="4" w:space="0" w:color="auto"/>
              <w:bottom w:val="single" w:sz="8" w:space="0" w:color="000000" w:themeColor="text1"/>
              <w:right w:val="single" w:sz="4" w:space="0" w:color="auto"/>
            </w:tcBorders>
            <w:vAlign w:val="center"/>
          </w:tcPr>
          <w:p w14:paraId="41B24F45" w14:textId="6F271A91" w:rsidR="009416A2" w:rsidRPr="005E4CAA" w:rsidRDefault="214D995B" w:rsidP="0010372D">
            <w:pPr>
              <w:spacing w:after="0" w:line="240" w:lineRule="auto"/>
              <w:jc w:val="center"/>
              <w:rPr>
                <w:rFonts w:ascii="Arial" w:eastAsiaTheme="minorEastAsia" w:hAnsi="Arial" w:cs="Arial"/>
                <w:b/>
                <w:bCs/>
                <w:color w:val="000000"/>
                <w:sz w:val="24"/>
                <w:szCs w:val="24"/>
                <w:lang w:eastAsia="en-GB"/>
              </w:rPr>
            </w:pPr>
            <w:r w:rsidRPr="005E4CAA">
              <w:rPr>
                <w:rFonts w:ascii="Arial" w:eastAsiaTheme="minorEastAsia" w:hAnsi="Arial" w:cs="Arial"/>
                <w:b/>
                <w:bCs/>
                <w:color w:val="000000" w:themeColor="text1"/>
                <w:sz w:val="24"/>
                <w:szCs w:val="24"/>
                <w:lang w:eastAsia="en-GB"/>
              </w:rPr>
              <w:t>320</w:t>
            </w:r>
          </w:p>
        </w:tc>
      </w:tr>
    </w:tbl>
    <w:p w14:paraId="79C76257" w14:textId="49CFBF57" w:rsidR="009E4F91" w:rsidRPr="009E4F91" w:rsidRDefault="009E4F91" w:rsidP="00845604">
      <w:pPr>
        <w:pStyle w:val="Heading2"/>
      </w:pPr>
      <w:bookmarkStart w:id="7" w:name="_Toc196988012"/>
      <w:r w:rsidRPr="009E4F91">
        <w:lastRenderedPageBreak/>
        <w:t>Efficiency savings</w:t>
      </w:r>
      <w:bookmarkEnd w:id="7"/>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D75223" w14:paraId="17EC75AD" w14:textId="77777777" w:rsidTr="009E4F91">
        <w:trPr>
          <w:trHeight w:val="315"/>
          <w:tblHeader/>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vAlign w:val="center"/>
            <w:hideMark/>
          </w:tcPr>
          <w:p w14:paraId="237FDBF6" w14:textId="21673951" w:rsidR="009E4F91" w:rsidRPr="00845604" w:rsidRDefault="009E4F91" w:rsidP="005E4CAA">
            <w:pPr>
              <w:pStyle w:val="Heading3"/>
              <w:rPr>
                <w:color w:val="1F3763" w:themeColor="accent1" w:themeShade="7F"/>
              </w:rPr>
            </w:pPr>
            <w:bookmarkStart w:id="8" w:name="_Toc196988013"/>
            <w:r w:rsidRPr="009E4F91">
              <w:t>Direct Employee</w:t>
            </w:r>
            <w:r w:rsidR="00845604">
              <w:t xml:space="preserve"> </w:t>
            </w:r>
            <w:r w:rsidR="00845604" w:rsidRPr="005E4CAA">
              <w:t>(£’000)</w:t>
            </w:r>
            <w:bookmarkEnd w:id="8"/>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7B264035" w14:textId="77777777" w:rsidR="009E4F91" w:rsidRPr="00D75223" w:rsidRDefault="009E4F91" w:rsidP="00DE6A7B">
            <w:pPr>
              <w:spacing w:after="0" w:line="240" w:lineRule="auto"/>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057A3B47" w14:textId="77777777" w:rsidR="009E4F91" w:rsidRPr="00D75223" w:rsidRDefault="009E4F91" w:rsidP="00DE6A7B">
            <w:pPr>
              <w:spacing w:after="0" w:line="240" w:lineRule="auto"/>
              <w:rPr>
                <w:rFonts w:ascii="Arial" w:eastAsia="Times New Roman" w:hAnsi="Arial" w:cs="Arial"/>
                <w:b/>
                <w:bCs/>
                <w:color w:val="000000"/>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3D40B662" w14:textId="77777777" w:rsidR="009E4F91" w:rsidRPr="00D75223" w:rsidRDefault="009E4F91" w:rsidP="00DE6A7B">
            <w:pPr>
              <w:spacing w:after="0" w:line="240" w:lineRule="auto"/>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76A1B227" w14:textId="77777777" w:rsidR="009E4F91" w:rsidRPr="00D75223" w:rsidRDefault="009E4F91" w:rsidP="00DE6A7B">
            <w:pPr>
              <w:spacing w:after="0" w:line="240" w:lineRule="auto"/>
              <w:rPr>
                <w:rFonts w:ascii="Arial" w:eastAsia="Times New Roman" w:hAnsi="Arial" w:cs="Arial"/>
                <w:b/>
                <w:bCs/>
                <w:color w:val="000000"/>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343C793B" w14:textId="77777777" w:rsidR="009E4F91" w:rsidRPr="00D75223" w:rsidRDefault="009E4F91" w:rsidP="00DE6A7B">
            <w:pPr>
              <w:spacing w:after="0" w:line="240" w:lineRule="auto"/>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0F03980A" w14:textId="77777777" w:rsidR="009E4F91" w:rsidRPr="00D75223" w:rsidRDefault="009E4F91" w:rsidP="00DE6A7B">
            <w:pPr>
              <w:spacing w:after="0" w:line="240" w:lineRule="auto"/>
              <w:rPr>
                <w:rFonts w:ascii="Arial" w:eastAsia="Times New Roman" w:hAnsi="Arial" w:cs="Arial"/>
                <w:b/>
                <w:bCs/>
                <w:color w:val="000000"/>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D75223" w14:paraId="56D99C0B" w14:textId="77777777" w:rsidTr="009E4F91">
        <w:trPr>
          <w:trHeight w:val="63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8FD9A7A" w14:textId="77777777" w:rsidR="009E4F91" w:rsidRPr="005E4CAA" w:rsidRDefault="009E4F91" w:rsidP="00DE6A7B">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Use of green book fire safety inspectors and business safety advisors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541BFAD5" w14:textId="7C246673"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5072A647" w14:textId="1B7B4B7B"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5961D705" w14:textId="77777777" w:rsidR="009E4F91" w:rsidRPr="005E4CAA" w:rsidRDefault="009E4F91" w:rsidP="00DE6A7B">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218</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1982C3DE" w14:textId="640B7158"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8A0E873" w14:textId="260817A2"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60026495" w14:textId="1F7F7373"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r w:rsidR="009E4F91" w:rsidRPr="00D75223" w14:paraId="306565F2" w14:textId="77777777" w:rsidTr="009E4F91">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5442BC2" w14:textId="77777777" w:rsidR="009E4F91" w:rsidRPr="005E4CAA" w:rsidRDefault="009E4F91" w:rsidP="00DE6A7B">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Review of incident intelligent officers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534FA28B" w14:textId="777CD532"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311B8C15" w14:textId="0B0BD7E1"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08D9D674" w14:textId="77777777" w:rsidR="009E4F91" w:rsidRPr="005E4CAA" w:rsidRDefault="009E4F91" w:rsidP="00DE6A7B">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58</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2804C4EF" w14:textId="606577D3"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5A03BF6B" w14:textId="2FB2D67C"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5CD3475B" w14:textId="7ADB1E0C"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r w:rsidR="009E4F91" w:rsidRPr="00D75223" w14:paraId="5B81D85F" w14:textId="77777777" w:rsidTr="009E4F91">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D04C05E" w14:textId="77777777" w:rsidR="009E4F91" w:rsidRPr="005E4CAA" w:rsidRDefault="009E4F91" w:rsidP="00DE6A7B">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Emergency cover review</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A54AC9D" w14:textId="431CABBE"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1D6EF467" w14:textId="3DF57BC1"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4A2E683" w14:textId="77777777" w:rsidR="009E4F91" w:rsidRPr="005E4CAA" w:rsidRDefault="009E4F91" w:rsidP="00DE6A7B">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400</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38721A4A" w14:textId="0D996BE4"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0C67558A" w14:textId="51CCB5F6"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73493BA3" w14:textId="356D77AF"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bl>
    <w:p w14:paraId="722C4AAA" w14:textId="77777777" w:rsidR="009E4F91" w:rsidRDefault="009E4F91" w:rsidP="004A4D56">
      <w:pPr>
        <w:rPr>
          <w:rFonts w:ascii="Arial" w:hAnsi="Arial" w:cs="Arial"/>
        </w:rPr>
      </w:pPr>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D75223" w14:paraId="69DBE414" w14:textId="77777777" w:rsidTr="00B408CA">
        <w:trPr>
          <w:trHeight w:val="28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144B9C8" w14:textId="7F6DFBBD" w:rsidR="009E4F91" w:rsidRPr="005E4CAA" w:rsidRDefault="009E4F91" w:rsidP="005E4CAA">
            <w:pPr>
              <w:pStyle w:val="Heading3"/>
              <w:rPr>
                <w:color w:val="1F3763" w:themeColor="accent1" w:themeShade="7F"/>
              </w:rPr>
            </w:pPr>
            <w:bookmarkStart w:id="9" w:name="_Toc196988014"/>
            <w:r w:rsidRPr="005E4CAA">
              <w:t>Indirect Employee (e.g. training, travel etc.)</w:t>
            </w:r>
            <w:r w:rsidR="00845604" w:rsidRPr="005E4CAA">
              <w:t xml:space="preserve"> </w:t>
            </w:r>
            <w:r w:rsidR="00845604" w:rsidRPr="005E4CAA">
              <w:rPr>
                <w:color w:val="1F3763" w:themeColor="accent1" w:themeShade="7F"/>
              </w:rPr>
              <w:t>(£’000)</w:t>
            </w:r>
            <w:bookmarkEnd w:id="9"/>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74982FE1" w14:textId="6D60179E" w:rsidR="009E4F91" w:rsidRPr="00D75223" w:rsidRDefault="009E4F91" w:rsidP="009E4F91">
            <w:pPr>
              <w:spacing w:after="0" w:line="240" w:lineRule="auto"/>
              <w:jc w:val="center"/>
              <w:rPr>
                <w:rFonts w:ascii="Arial" w:eastAsia="Times New Roman" w:hAnsi="Arial" w:cs="Arial"/>
                <w:color w:val="000000"/>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0D71BF41" w14:textId="1A76F74C"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5FC2E579" w14:textId="60F9CB7D"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52EA2A06" w14:textId="6A00730B"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7C5B0490" w14:textId="2E4A57C5"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4ACB0717" w14:textId="7515F42F"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D75223" w14:paraId="3BABB019" w14:textId="77777777" w:rsidTr="00DE6A7B">
        <w:trPr>
          <w:trHeight w:val="63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3C9D498" w14:textId="77777777" w:rsidR="009E4F91" w:rsidRPr="005E4CAA" w:rsidRDefault="009E4F91" w:rsidP="009E4F91">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Travel - Alternative training delivery models that reduce travel time and expenses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60ED9253" w14:textId="59BCDFD1"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15136275" w14:textId="3DE335BC"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23B4CFFD" w14:textId="77777777" w:rsidR="009E4F91" w:rsidRPr="005E4CAA" w:rsidRDefault="009E4F91" w:rsidP="009E4F91">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10</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6A9BDA33" w14:textId="50914650"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80EC6B1" w14:textId="70433CCF"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69E97147" w14:textId="5E80B18E"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r w:rsidR="009E4F91" w:rsidRPr="00D75223" w14:paraId="17A87739" w14:textId="77777777" w:rsidTr="00DE6A7B">
        <w:trPr>
          <w:trHeight w:val="126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48F79DC" w14:textId="77777777" w:rsidR="009E4F91" w:rsidRPr="005E4CAA" w:rsidRDefault="009E4F91" w:rsidP="009E4F91">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Overtime - Dedicated rota management team to improve and strengthen rota management practices and improved efficiency in the use of detached duties and overtime</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F42D166" w14:textId="0A288535"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51682626" w14:textId="4F8AF5F4"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238C4F75" w14:textId="210A7838"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58D0F233" w14:textId="29B2C95F"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62E87F4B" w14:textId="77777777" w:rsidR="009E4F91" w:rsidRPr="005E4CAA" w:rsidRDefault="009E4F91" w:rsidP="009E4F91">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500</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0C684840" w14:textId="4AE410DC"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r>
    </w:tbl>
    <w:p w14:paraId="37C73B8F" w14:textId="77777777" w:rsidR="009E4F91" w:rsidRDefault="009E4F91" w:rsidP="004A4D56">
      <w:pPr>
        <w:rPr>
          <w:rFonts w:ascii="Arial" w:hAnsi="Arial" w:cs="Arial"/>
        </w:rPr>
      </w:pPr>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D75223" w14:paraId="7E9D8712" w14:textId="77777777" w:rsidTr="00B22589">
        <w:trPr>
          <w:trHeight w:val="28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4E9DAED5" w14:textId="292230DD" w:rsidR="009E4F91" w:rsidRPr="00845604" w:rsidRDefault="009E4F91" w:rsidP="005E4CAA">
            <w:pPr>
              <w:pStyle w:val="Heading3"/>
              <w:rPr>
                <w:color w:val="1F3763" w:themeColor="accent1" w:themeShade="7F"/>
              </w:rPr>
            </w:pPr>
            <w:bookmarkStart w:id="10" w:name="_Toc196988015"/>
            <w:r w:rsidRPr="009E4F91">
              <w:t>Premises</w:t>
            </w:r>
            <w:r w:rsidR="00845604">
              <w:t xml:space="preserve"> </w:t>
            </w:r>
            <w:r w:rsidR="00845604" w:rsidRPr="005E4CAA">
              <w:t>(£’000)</w:t>
            </w:r>
            <w:bookmarkEnd w:id="10"/>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12490A6E" w14:textId="28B0F6A4" w:rsidR="009E4F91" w:rsidRPr="00D75223" w:rsidRDefault="009E4F91" w:rsidP="009E4F91">
            <w:pPr>
              <w:spacing w:after="0" w:line="240" w:lineRule="auto"/>
              <w:jc w:val="center"/>
              <w:rPr>
                <w:rFonts w:ascii="Arial" w:eastAsia="Times New Roman" w:hAnsi="Arial" w:cs="Arial"/>
                <w:color w:val="000000"/>
                <w:sz w:val="20"/>
                <w:szCs w:val="20"/>
                <w:u w:val="single"/>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1721EAC4" w14:textId="27F2AEDF"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0B381BA7" w14:textId="242B6AD1"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02897CDC" w14:textId="30ADAA8B"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6F87B752" w14:textId="11746F70"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4490B5DC" w14:textId="3AE3E677"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D75223" w14:paraId="4A285040" w14:textId="77777777" w:rsidTr="00DE6A7B">
        <w:trPr>
          <w:trHeight w:val="63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53A8AF" w14:textId="77777777" w:rsidR="009E4F91" w:rsidRPr="005E4CAA" w:rsidRDefault="009E4F91" w:rsidP="009E4F91">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Utilities - Various initiatives to reduce our gas and electric energy consumption</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307B3830" w14:textId="2A67AF79"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02275199" w14:textId="66C38FD8"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39720AFD" w14:textId="77777777" w:rsidR="009E4F91" w:rsidRPr="005E4CAA" w:rsidRDefault="009E4F91" w:rsidP="009E4F91">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133</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671C4C6C" w14:textId="57DA3460"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3ACCB23" w14:textId="691831F2"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56F9D9E0" w14:textId="60410068"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r w:rsidR="009E4F91" w:rsidRPr="00D75223" w14:paraId="71DEA6B0" w14:textId="77777777" w:rsidTr="00DE6A7B">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79B73FB" w14:textId="77777777" w:rsidR="009E4F91" w:rsidRPr="005E4CAA" w:rsidRDefault="009E4F91" w:rsidP="009E4F91">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Procurement savings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1BD17A8" w14:textId="38B97A69"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7E418010" w14:textId="3E99E5D0"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31DAE5B7" w14:textId="77777777" w:rsidR="009E4F91" w:rsidRPr="005E4CAA" w:rsidRDefault="009E4F91" w:rsidP="009E4F91">
            <w:pPr>
              <w:spacing w:after="0" w:line="240" w:lineRule="auto"/>
              <w:jc w:val="center"/>
              <w:rPr>
                <w:rFonts w:ascii="Arial" w:eastAsia="Times New Roman" w:hAnsi="Arial" w:cs="Arial"/>
                <w:color w:val="000000" w:themeColor="text1"/>
                <w:sz w:val="24"/>
                <w:szCs w:val="24"/>
                <w:lang w:eastAsia="en-GB"/>
              </w:rPr>
            </w:pPr>
            <w:r w:rsidRPr="005E4CAA">
              <w:rPr>
                <w:rFonts w:ascii="Arial" w:eastAsia="Times New Roman" w:hAnsi="Arial" w:cs="Arial"/>
                <w:color w:val="000000" w:themeColor="text1"/>
                <w:sz w:val="24"/>
                <w:szCs w:val="24"/>
                <w:lang w:eastAsia="en-GB"/>
              </w:rPr>
              <w:t>55</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35AB79B8" w14:textId="311223F8"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0E695253" w14:textId="77777777" w:rsidR="009E4F91" w:rsidRPr="005E4CAA" w:rsidRDefault="009E4F91" w:rsidP="009E4F91">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4</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798802C1" w14:textId="1FFABEE8"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r>
    </w:tbl>
    <w:p w14:paraId="6F308D90" w14:textId="77777777" w:rsidR="009E4F91" w:rsidRDefault="009E4F91" w:rsidP="004A4D56">
      <w:pPr>
        <w:rPr>
          <w:rFonts w:ascii="Arial" w:hAnsi="Arial" w:cs="Arial"/>
        </w:rPr>
      </w:pPr>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D75223" w14:paraId="29EB04D1" w14:textId="77777777" w:rsidTr="004F1B2C">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19B7F3E8" w14:textId="52AB61AE" w:rsidR="009E4F91" w:rsidRPr="00845604" w:rsidRDefault="009E4F91" w:rsidP="005E4CAA">
            <w:pPr>
              <w:pStyle w:val="Heading3"/>
            </w:pPr>
            <w:bookmarkStart w:id="11" w:name="_Toc196988016"/>
            <w:r w:rsidRPr="00845604">
              <w:t>Transport</w:t>
            </w:r>
            <w:r w:rsidR="00845604" w:rsidRPr="00845604">
              <w:t xml:space="preserve"> (£’000)</w:t>
            </w:r>
            <w:bookmarkEnd w:id="11"/>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4114DBAE" w14:textId="236BD363" w:rsidR="009E4F91" w:rsidRPr="00D75223" w:rsidRDefault="009E4F91" w:rsidP="009E4F91">
            <w:pPr>
              <w:spacing w:after="0" w:line="240" w:lineRule="auto"/>
              <w:jc w:val="center"/>
              <w:rPr>
                <w:rFonts w:ascii="Arial" w:eastAsia="Times New Roman" w:hAnsi="Arial" w:cs="Arial"/>
                <w:color w:val="000000"/>
                <w:sz w:val="20"/>
                <w:szCs w:val="20"/>
                <w:u w:val="single"/>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583C783A" w14:textId="7A9934EF"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22DD36FE" w14:textId="6290A8F6"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1B9373A9" w14:textId="62AED42F"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02C8D584" w14:textId="680F01B6"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6DB3E87D" w14:textId="22C19FE0"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D75223" w14:paraId="6AB515B0" w14:textId="77777777" w:rsidTr="00DE6A7B">
        <w:trPr>
          <w:trHeight w:val="63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82484A4" w14:textId="77777777" w:rsidR="009E4F91" w:rsidRPr="00845604" w:rsidRDefault="009E4F91" w:rsidP="009E4F91">
            <w:pPr>
              <w:spacing w:after="0" w:line="240" w:lineRule="auto"/>
              <w:rPr>
                <w:rFonts w:ascii="Arial" w:eastAsia="Times New Roman" w:hAnsi="Arial" w:cs="Arial"/>
                <w:color w:val="000000"/>
                <w:sz w:val="24"/>
                <w:szCs w:val="24"/>
                <w:lang w:eastAsia="en-GB"/>
              </w:rPr>
            </w:pPr>
            <w:r w:rsidRPr="00845604">
              <w:rPr>
                <w:rFonts w:ascii="Arial" w:eastAsia="Times New Roman" w:hAnsi="Arial" w:cs="Arial"/>
                <w:color w:val="000000" w:themeColor="text1"/>
                <w:sz w:val="24"/>
                <w:szCs w:val="24"/>
                <w:lang w:eastAsia="en-GB"/>
              </w:rPr>
              <w:t>Fleet - Various efficiency initiatives with the fleet and engineering department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6C0162B0" w14:textId="0FD1305E" w:rsidR="009E4F91" w:rsidRPr="00845604"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0C33F559" w14:textId="67394144"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058111A" w14:textId="77777777" w:rsidR="009E4F91" w:rsidRPr="00845604" w:rsidRDefault="009E4F91" w:rsidP="009E4F91">
            <w:pPr>
              <w:spacing w:after="0" w:line="240" w:lineRule="auto"/>
              <w:jc w:val="center"/>
              <w:rPr>
                <w:rFonts w:ascii="Arial" w:eastAsia="Times New Roman" w:hAnsi="Arial" w:cs="Arial"/>
                <w:color w:val="000000"/>
                <w:sz w:val="24"/>
                <w:szCs w:val="24"/>
                <w:lang w:eastAsia="en-GB"/>
              </w:rPr>
            </w:pPr>
            <w:r w:rsidRPr="00845604">
              <w:rPr>
                <w:rFonts w:ascii="Arial" w:eastAsia="Times New Roman" w:hAnsi="Arial" w:cs="Arial"/>
                <w:color w:val="000000" w:themeColor="text1"/>
                <w:sz w:val="24"/>
                <w:szCs w:val="24"/>
                <w:lang w:eastAsia="en-GB"/>
              </w:rPr>
              <w:t>36</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0D94EE03" w14:textId="1A89B39C" w:rsidR="009E4F91" w:rsidRPr="00845604"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257B9B38" w14:textId="2FBC1C59"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11FE7AAE" w14:textId="5E985068"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r w:rsidR="009E4F91" w:rsidRPr="00D75223" w14:paraId="5F029D4A" w14:textId="77777777" w:rsidTr="00DE6A7B">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400DEEC8" w14:textId="77777777" w:rsidR="009E4F91" w:rsidRPr="00845604" w:rsidRDefault="009E4F91" w:rsidP="009E4F91">
            <w:pPr>
              <w:spacing w:after="0" w:line="240" w:lineRule="auto"/>
              <w:rPr>
                <w:rFonts w:ascii="Arial" w:eastAsia="Times New Roman" w:hAnsi="Arial" w:cs="Arial"/>
                <w:color w:val="000000"/>
                <w:sz w:val="24"/>
                <w:szCs w:val="24"/>
                <w:lang w:eastAsia="en-GB"/>
              </w:rPr>
            </w:pPr>
            <w:r w:rsidRPr="00845604">
              <w:rPr>
                <w:rFonts w:ascii="Arial" w:eastAsia="Times New Roman" w:hAnsi="Arial" w:cs="Arial"/>
                <w:color w:val="000000" w:themeColor="text1"/>
                <w:sz w:val="24"/>
                <w:szCs w:val="24"/>
                <w:lang w:eastAsia="en-GB"/>
              </w:rPr>
              <w:t>Local procurement savings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18E536F" w14:textId="145189F7" w:rsidR="009E4F91" w:rsidRPr="00845604"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7C23AEEC" w14:textId="17267697"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FFA9F9F" w14:textId="77777777" w:rsidR="009E4F91" w:rsidRPr="00845604" w:rsidRDefault="009E4F91" w:rsidP="009E4F91">
            <w:pPr>
              <w:spacing w:after="0" w:line="240" w:lineRule="auto"/>
              <w:jc w:val="center"/>
              <w:rPr>
                <w:rFonts w:ascii="Arial" w:eastAsia="Times New Roman" w:hAnsi="Arial" w:cs="Arial"/>
                <w:color w:val="000000"/>
                <w:sz w:val="24"/>
                <w:szCs w:val="24"/>
                <w:lang w:eastAsia="en-GB"/>
              </w:rPr>
            </w:pPr>
            <w:r w:rsidRPr="00845604">
              <w:rPr>
                <w:rFonts w:ascii="Arial" w:eastAsia="Times New Roman" w:hAnsi="Arial" w:cs="Arial"/>
                <w:color w:val="000000" w:themeColor="text1"/>
                <w:sz w:val="24"/>
                <w:szCs w:val="24"/>
                <w:lang w:eastAsia="en-GB"/>
              </w:rPr>
              <w:t>5</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4CCA9BC2" w14:textId="39A038A0" w:rsidR="009E4F91" w:rsidRPr="00845604"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13C64B34" w14:textId="52A92DB0"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393FC8AE" w14:textId="3F4A916E"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bl>
    <w:p w14:paraId="750F7333" w14:textId="77777777" w:rsidR="009E4F91" w:rsidRDefault="009E4F91" w:rsidP="004A4D56">
      <w:pPr>
        <w:rPr>
          <w:rFonts w:ascii="Arial" w:hAnsi="Arial" w:cs="Arial"/>
        </w:rPr>
      </w:pPr>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9E4F91" w14:paraId="46F1EC3C" w14:textId="77777777" w:rsidTr="007B7E31">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0669CA1A" w14:textId="56152F14" w:rsidR="009E4F91" w:rsidRPr="009E4F91" w:rsidRDefault="009E4F91" w:rsidP="005E4CAA">
            <w:pPr>
              <w:pStyle w:val="Heading3"/>
            </w:pPr>
            <w:bookmarkStart w:id="12" w:name="_Toc196988017"/>
            <w:r w:rsidRPr="009E4F91">
              <w:lastRenderedPageBreak/>
              <w:t>Supplies and Services</w:t>
            </w:r>
            <w:r w:rsidR="00845604">
              <w:t xml:space="preserve"> </w:t>
            </w:r>
            <w:r w:rsidR="00845604" w:rsidRPr="00845604">
              <w:t>(£’000)</w:t>
            </w:r>
            <w:bookmarkEnd w:id="12"/>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237AF78D" w14:textId="7C9A646C" w:rsidR="009E4F91" w:rsidRPr="009E4F91" w:rsidRDefault="009E4F91" w:rsidP="009E4F91">
            <w:pPr>
              <w:rPr>
                <w:rFonts w:ascii="Arial" w:hAnsi="Arial" w:cs="Arial"/>
                <w:u w:val="single"/>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3F77A73A" w14:textId="4A0B85FC"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6C572F17" w14:textId="371FED0A" w:rsidR="009E4F91" w:rsidRPr="009E4F91" w:rsidRDefault="009E4F91" w:rsidP="009E4F91">
            <w:pPr>
              <w:rPr>
                <w:rFonts w:ascii="Arial" w:hAnsi="Arial" w:cs="Arial"/>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67B66915" w14:textId="5ED55FF7"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5BEA41D7" w14:textId="3ACF5D93" w:rsidR="009E4F91" w:rsidRPr="009E4F91" w:rsidRDefault="009E4F91" w:rsidP="009E4F91">
            <w:pPr>
              <w:rPr>
                <w:rFonts w:ascii="Arial" w:hAnsi="Arial" w:cs="Arial"/>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44ECAE92" w14:textId="404597E2"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9E4F91" w14:paraId="462A7276" w14:textId="77777777" w:rsidTr="00DE6A7B">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4A00816E" w14:textId="77777777" w:rsidR="009E4F91" w:rsidRPr="009E4F91" w:rsidRDefault="009E4F91" w:rsidP="009E4F91">
            <w:pPr>
              <w:rPr>
                <w:rFonts w:ascii="Arial" w:hAnsi="Arial" w:cs="Arial"/>
                <w:sz w:val="24"/>
                <w:szCs w:val="24"/>
              </w:rPr>
            </w:pPr>
            <w:r w:rsidRPr="009E4F91">
              <w:rPr>
                <w:rFonts w:ascii="Arial" w:hAnsi="Arial" w:cs="Arial"/>
                <w:sz w:val="24"/>
                <w:szCs w:val="24"/>
              </w:rPr>
              <w:t>Learning and development sessions delivered in collaboration with Blue Light Partners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tcPr>
          <w:p w14:paraId="10722551" w14:textId="1172B317"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tcPr>
          <w:p w14:paraId="060E4B6D" w14:textId="784D312D" w:rsidR="009E4F91" w:rsidRPr="009E4F91" w:rsidRDefault="005E4CAA" w:rsidP="009E4F91">
            <w:pPr>
              <w:rPr>
                <w:rFonts w:ascii="Arial" w:hAnsi="Arial" w:cs="Arial"/>
                <w:sz w:val="24"/>
                <w:szCs w:val="24"/>
              </w:rPr>
            </w:pPr>
            <w:r>
              <w:rPr>
                <w:rFonts w:ascii="Arial" w:hAnsi="Arial" w:cs="Arial"/>
                <w:sz w:val="24"/>
                <w:szCs w:val="24"/>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tcPr>
          <w:p w14:paraId="6D705482" w14:textId="77777777" w:rsidR="009E4F91" w:rsidRPr="009E4F91" w:rsidRDefault="009E4F91" w:rsidP="009E4F91">
            <w:pPr>
              <w:rPr>
                <w:rFonts w:ascii="Arial" w:hAnsi="Arial" w:cs="Arial"/>
                <w:sz w:val="24"/>
                <w:szCs w:val="24"/>
              </w:rPr>
            </w:pPr>
            <w:r w:rsidRPr="009E4F91">
              <w:rPr>
                <w:rFonts w:ascii="Arial" w:hAnsi="Arial" w:cs="Arial"/>
                <w:sz w:val="24"/>
                <w:szCs w:val="24"/>
              </w:rPr>
              <w:t>4</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tcPr>
          <w:p w14:paraId="0966FD1C" w14:textId="4464718D" w:rsidR="009E4F91" w:rsidRPr="009E4F91" w:rsidRDefault="005E4CAA" w:rsidP="009E4F91">
            <w:pPr>
              <w:rPr>
                <w:rFonts w:ascii="Arial" w:hAnsi="Arial" w:cs="Arial"/>
                <w:sz w:val="24"/>
                <w:szCs w:val="24"/>
              </w:rPr>
            </w:pPr>
            <w:r>
              <w:rPr>
                <w:rFonts w:ascii="Arial" w:hAnsi="Arial" w:cs="Arial"/>
                <w:sz w:val="24"/>
                <w:szCs w:val="24"/>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tcPr>
          <w:p w14:paraId="4F08D4A4" w14:textId="5C64FEC5"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tcPr>
          <w:p w14:paraId="20D27DA2" w14:textId="298EAF86" w:rsidR="009E4F91" w:rsidRPr="009E4F91" w:rsidRDefault="005E4CAA" w:rsidP="009E4F91">
            <w:pPr>
              <w:rPr>
                <w:rFonts w:ascii="Arial" w:hAnsi="Arial" w:cs="Arial"/>
                <w:sz w:val="24"/>
                <w:szCs w:val="24"/>
              </w:rPr>
            </w:pPr>
            <w:r>
              <w:rPr>
                <w:rFonts w:ascii="Arial" w:hAnsi="Arial" w:cs="Arial"/>
                <w:sz w:val="24"/>
                <w:szCs w:val="24"/>
              </w:rPr>
              <w:t>-</w:t>
            </w:r>
          </w:p>
        </w:tc>
      </w:tr>
      <w:tr w:rsidR="009E4F91" w:rsidRPr="009E4F91" w14:paraId="4D47FE19" w14:textId="77777777" w:rsidTr="00DE6A7B">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65760510" w14:textId="77777777" w:rsidR="009E4F91" w:rsidRPr="009E4F91" w:rsidRDefault="009E4F91" w:rsidP="009E4F91">
            <w:pPr>
              <w:rPr>
                <w:rFonts w:ascii="Arial" w:hAnsi="Arial" w:cs="Arial"/>
                <w:sz w:val="24"/>
                <w:szCs w:val="24"/>
              </w:rPr>
            </w:pPr>
            <w:r w:rsidRPr="009E4F91">
              <w:rPr>
                <w:rFonts w:ascii="Arial" w:hAnsi="Arial" w:cs="Arial"/>
                <w:sz w:val="24"/>
                <w:szCs w:val="24"/>
              </w:rPr>
              <w:t>National procurement savings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BAD1BBD" w14:textId="61F066FE"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3B0E1533" w14:textId="5EAC0AC5" w:rsidR="009E4F91" w:rsidRPr="009E4F91" w:rsidRDefault="005E4CAA" w:rsidP="009E4F91">
            <w:pPr>
              <w:rPr>
                <w:rFonts w:ascii="Arial" w:hAnsi="Arial" w:cs="Arial"/>
                <w:sz w:val="24"/>
                <w:szCs w:val="24"/>
              </w:rPr>
            </w:pPr>
            <w:r>
              <w:rPr>
                <w:rFonts w:ascii="Arial" w:hAnsi="Arial" w:cs="Arial"/>
                <w:sz w:val="24"/>
                <w:szCs w:val="24"/>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265022F7" w14:textId="09260202"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6B5A249C" w14:textId="77777777" w:rsidR="009E4F91" w:rsidRPr="009E4F91" w:rsidRDefault="009E4F91" w:rsidP="009E4F91">
            <w:pPr>
              <w:rPr>
                <w:rFonts w:ascii="Arial" w:hAnsi="Arial" w:cs="Arial"/>
                <w:sz w:val="24"/>
                <w:szCs w:val="24"/>
              </w:rPr>
            </w:pPr>
            <w:r w:rsidRPr="009E4F91">
              <w:rPr>
                <w:rFonts w:ascii="Arial" w:hAnsi="Arial" w:cs="Arial"/>
                <w:sz w:val="24"/>
                <w:szCs w:val="24"/>
              </w:rPr>
              <w:t>26</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C3B6E6D" w14:textId="1227C36C"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0F08523F" w14:textId="1A80BEA8" w:rsidR="009E4F91" w:rsidRPr="009E4F91" w:rsidRDefault="005E4CAA" w:rsidP="009E4F91">
            <w:pPr>
              <w:rPr>
                <w:rFonts w:ascii="Arial" w:hAnsi="Arial" w:cs="Arial"/>
                <w:sz w:val="24"/>
                <w:szCs w:val="24"/>
              </w:rPr>
            </w:pPr>
            <w:r>
              <w:rPr>
                <w:rFonts w:ascii="Arial" w:hAnsi="Arial" w:cs="Arial"/>
                <w:sz w:val="24"/>
                <w:szCs w:val="24"/>
              </w:rPr>
              <w:t>-</w:t>
            </w:r>
          </w:p>
        </w:tc>
      </w:tr>
      <w:tr w:rsidR="009E4F91" w:rsidRPr="009E4F91" w14:paraId="56EFA675" w14:textId="77777777" w:rsidTr="00DE6A7B">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5DEBDC4C" w14:textId="77777777" w:rsidR="009E4F91" w:rsidRPr="009E4F91" w:rsidRDefault="009E4F91" w:rsidP="009E4F91">
            <w:pPr>
              <w:rPr>
                <w:rFonts w:ascii="Arial" w:hAnsi="Arial" w:cs="Arial"/>
                <w:sz w:val="24"/>
                <w:szCs w:val="24"/>
              </w:rPr>
            </w:pPr>
            <w:r w:rsidRPr="009E4F91">
              <w:rPr>
                <w:rFonts w:ascii="Arial" w:hAnsi="Arial" w:cs="Arial"/>
                <w:sz w:val="24"/>
                <w:szCs w:val="24"/>
              </w:rPr>
              <w:t>Local procurement savings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3C6F39EF" w14:textId="581F0441"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120E5600" w14:textId="38F3078F" w:rsidR="009E4F91" w:rsidRPr="009E4F91" w:rsidRDefault="005E4CAA" w:rsidP="009E4F91">
            <w:pPr>
              <w:rPr>
                <w:rFonts w:ascii="Arial" w:hAnsi="Arial" w:cs="Arial"/>
                <w:sz w:val="24"/>
                <w:szCs w:val="24"/>
              </w:rPr>
            </w:pPr>
            <w:r>
              <w:rPr>
                <w:rFonts w:ascii="Arial" w:hAnsi="Arial" w:cs="Arial"/>
                <w:sz w:val="24"/>
                <w:szCs w:val="24"/>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B05FF1D" w14:textId="5E75B989"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4018CF75" w14:textId="77777777" w:rsidR="009E4F91" w:rsidRPr="009E4F91" w:rsidRDefault="009E4F91" w:rsidP="009E4F91">
            <w:pPr>
              <w:rPr>
                <w:rFonts w:ascii="Arial" w:hAnsi="Arial" w:cs="Arial"/>
                <w:sz w:val="24"/>
                <w:szCs w:val="24"/>
              </w:rPr>
            </w:pPr>
            <w:r w:rsidRPr="009E4F91">
              <w:rPr>
                <w:rFonts w:ascii="Arial" w:hAnsi="Arial" w:cs="Arial"/>
                <w:sz w:val="24"/>
                <w:szCs w:val="24"/>
              </w:rPr>
              <w:t>26</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12DB7FC4" w14:textId="655BACA3"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09C147E4" w14:textId="77777777" w:rsidR="009E4F91" w:rsidRPr="009E4F91" w:rsidRDefault="009E4F91" w:rsidP="009E4F91">
            <w:pPr>
              <w:rPr>
                <w:rFonts w:ascii="Arial" w:hAnsi="Arial" w:cs="Arial"/>
                <w:sz w:val="24"/>
                <w:szCs w:val="24"/>
              </w:rPr>
            </w:pPr>
            <w:r w:rsidRPr="009E4F91">
              <w:rPr>
                <w:rFonts w:ascii="Arial" w:hAnsi="Arial" w:cs="Arial"/>
                <w:sz w:val="24"/>
                <w:szCs w:val="24"/>
              </w:rPr>
              <w:t>26</w:t>
            </w:r>
          </w:p>
        </w:tc>
      </w:tr>
    </w:tbl>
    <w:p w14:paraId="6A901FCC" w14:textId="77777777" w:rsidR="009E4F91" w:rsidRDefault="009E4F91" w:rsidP="004A4D56">
      <w:pPr>
        <w:rPr>
          <w:rFonts w:ascii="Arial" w:hAnsi="Arial" w:cs="Arial"/>
        </w:rPr>
      </w:pPr>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9E4F91" w14:paraId="7E62E1F5" w14:textId="77777777" w:rsidTr="00843128">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5500959C" w14:textId="1C692AD7" w:rsidR="009E4F91" w:rsidRPr="009E4F91" w:rsidRDefault="009E4F91" w:rsidP="005E4CAA">
            <w:pPr>
              <w:pStyle w:val="Heading3"/>
            </w:pPr>
            <w:bookmarkStart w:id="13" w:name="_Toc196988018"/>
            <w:r w:rsidRPr="009E4F91">
              <w:t>Capital Financing</w:t>
            </w:r>
            <w:r w:rsidR="00845604">
              <w:t xml:space="preserve"> </w:t>
            </w:r>
            <w:r w:rsidR="00845604" w:rsidRPr="00845604">
              <w:t>(£’000)</w:t>
            </w:r>
            <w:bookmarkEnd w:id="13"/>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1278779D" w14:textId="0A938C81" w:rsidR="009E4F91" w:rsidRPr="009E4F91" w:rsidRDefault="009E4F91" w:rsidP="009E4F91">
            <w:pPr>
              <w:rPr>
                <w:rFonts w:ascii="Arial" w:hAnsi="Arial" w:cs="Arial"/>
                <w:u w:val="single"/>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329171C4" w14:textId="5981D846"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10C63ABB" w14:textId="6552E419" w:rsidR="009E4F91" w:rsidRPr="009E4F91" w:rsidRDefault="009E4F91" w:rsidP="009E4F91">
            <w:pPr>
              <w:rPr>
                <w:rFonts w:ascii="Arial" w:hAnsi="Arial" w:cs="Arial"/>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1FC7D933" w14:textId="380577C9"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50E43505" w14:textId="44D138A7" w:rsidR="009E4F91" w:rsidRPr="009E4F91" w:rsidRDefault="009E4F91" w:rsidP="009E4F91">
            <w:pPr>
              <w:rPr>
                <w:rFonts w:ascii="Arial" w:hAnsi="Arial" w:cs="Arial"/>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5DD2E332" w14:textId="29774852"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9E4F91" w14:paraId="7EA865BD" w14:textId="77777777" w:rsidTr="00DE6A7B">
        <w:trPr>
          <w:trHeight w:val="63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2836A51" w14:textId="77777777" w:rsidR="009E4F91" w:rsidRPr="009E4F91" w:rsidRDefault="009E4F91" w:rsidP="009E4F91">
            <w:pPr>
              <w:rPr>
                <w:rFonts w:ascii="Arial" w:hAnsi="Arial" w:cs="Arial"/>
                <w:sz w:val="24"/>
                <w:szCs w:val="24"/>
              </w:rPr>
            </w:pPr>
            <w:r w:rsidRPr="009E4F91">
              <w:rPr>
                <w:rFonts w:ascii="Arial" w:hAnsi="Arial" w:cs="Arial"/>
                <w:sz w:val="24"/>
                <w:szCs w:val="24"/>
              </w:rPr>
              <w:t>Revenue expenditure charged to capital - procurement savings</w:t>
            </w:r>
          </w:p>
        </w:tc>
        <w:tc>
          <w:tcPr>
            <w:tcW w:w="1161" w:type="dxa"/>
            <w:tcBorders>
              <w:top w:val="single" w:sz="8" w:space="0" w:color="000000" w:themeColor="text1" w:themeShade="00"/>
              <w:left w:val="single" w:sz="8" w:space="0" w:color="000000" w:themeColor="text1"/>
              <w:bottom w:val="single" w:sz="8" w:space="0" w:color="000000" w:themeColor="text1"/>
              <w:right w:val="single" w:sz="8" w:space="0" w:color="000000" w:themeColor="text1" w:themeShade="00"/>
            </w:tcBorders>
            <w:noWrap/>
            <w:vAlign w:val="center"/>
            <w:hideMark/>
          </w:tcPr>
          <w:p w14:paraId="76927812" w14:textId="08FACA53"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right w:val="nil"/>
            </w:tcBorders>
            <w:noWrap/>
            <w:vAlign w:val="center"/>
            <w:hideMark/>
          </w:tcPr>
          <w:p w14:paraId="6C1531CA" w14:textId="77777777" w:rsidR="009E4F91" w:rsidRPr="009E4F91" w:rsidRDefault="009E4F91" w:rsidP="009E4F91">
            <w:pPr>
              <w:rPr>
                <w:rFonts w:ascii="Arial" w:hAnsi="Arial" w:cs="Arial"/>
                <w:sz w:val="24"/>
                <w:szCs w:val="24"/>
              </w:rPr>
            </w:pPr>
            <w:r w:rsidRPr="009E4F91">
              <w:rPr>
                <w:rFonts w:ascii="Arial" w:hAnsi="Arial" w:cs="Arial"/>
                <w:sz w:val="24"/>
                <w:szCs w:val="24"/>
              </w:rPr>
              <w:t>1,500*</w:t>
            </w:r>
          </w:p>
        </w:tc>
        <w:tc>
          <w:tcPr>
            <w:tcW w:w="1161" w:type="dxa"/>
            <w:tcBorders>
              <w:top w:val="single" w:sz="8" w:space="0" w:color="000000" w:themeColor="text1" w:themeShade="00"/>
              <w:left w:val="single" w:sz="8" w:space="0" w:color="000000" w:themeColor="text1"/>
              <w:bottom w:val="single" w:sz="8" w:space="0" w:color="000000" w:themeColor="text1"/>
              <w:right w:val="single" w:sz="8" w:space="0" w:color="000000" w:themeColor="text1" w:themeShade="00"/>
            </w:tcBorders>
            <w:noWrap/>
            <w:vAlign w:val="center"/>
            <w:hideMark/>
          </w:tcPr>
          <w:p w14:paraId="0423F7EA" w14:textId="18309537"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right w:val="nil"/>
            </w:tcBorders>
            <w:noWrap/>
            <w:vAlign w:val="center"/>
            <w:hideMark/>
          </w:tcPr>
          <w:p w14:paraId="72EA8447" w14:textId="77777777" w:rsidR="009E4F91" w:rsidRPr="009E4F91" w:rsidRDefault="009E4F91" w:rsidP="009E4F91">
            <w:pPr>
              <w:rPr>
                <w:rFonts w:ascii="Arial" w:hAnsi="Arial" w:cs="Arial"/>
                <w:sz w:val="24"/>
                <w:szCs w:val="24"/>
              </w:rPr>
            </w:pPr>
            <w:r w:rsidRPr="009E4F91">
              <w:rPr>
                <w:rFonts w:ascii="Arial" w:hAnsi="Arial" w:cs="Arial"/>
                <w:sz w:val="24"/>
                <w:szCs w:val="24"/>
              </w:rPr>
              <w:t>220</w:t>
            </w:r>
          </w:p>
        </w:tc>
        <w:tc>
          <w:tcPr>
            <w:tcW w:w="1161" w:type="dxa"/>
            <w:tcBorders>
              <w:top w:val="single" w:sz="8" w:space="0" w:color="000000" w:themeColor="text1" w:themeShade="00"/>
              <w:left w:val="single" w:sz="8" w:space="0" w:color="000000" w:themeColor="text1"/>
              <w:bottom w:val="single" w:sz="8" w:space="0" w:color="000000" w:themeColor="text1"/>
              <w:right w:val="single" w:sz="8" w:space="0" w:color="000000" w:themeColor="text1" w:themeShade="00"/>
            </w:tcBorders>
            <w:noWrap/>
            <w:vAlign w:val="center"/>
            <w:hideMark/>
          </w:tcPr>
          <w:p w14:paraId="29E18172" w14:textId="1AD92843"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right w:val="single" w:sz="8" w:space="0" w:color="000000" w:themeColor="text1"/>
            </w:tcBorders>
            <w:noWrap/>
            <w:vAlign w:val="center"/>
            <w:hideMark/>
          </w:tcPr>
          <w:p w14:paraId="4B2FAA63" w14:textId="77777777" w:rsidR="009E4F91" w:rsidRPr="009E4F91" w:rsidRDefault="009E4F91" w:rsidP="009E4F91">
            <w:pPr>
              <w:rPr>
                <w:rFonts w:ascii="Arial" w:hAnsi="Arial" w:cs="Arial"/>
                <w:sz w:val="24"/>
                <w:szCs w:val="24"/>
              </w:rPr>
            </w:pPr>
            <w:r w:rsidRPr="009E4F91">
              <w:rPr>
                <w:rFonts w:ascii="Arial" w:hAnsi="Arial" w:cs="Arial"/>
                <w:sz w:val="24"/>
                <w:szCs w:val="24"/>
              </w:rPr>
              <w:t>42</w:t>
            </w:r>
          </w:p>
        </w:tc>
      </w:tr>
    </w:tbl>
    <w:p w14:paraId="23723F87" w14:textId="4AD5EDDC" w:rsidR="009E4F91" w:rsidRPr="005E4CAA" w:rsidRDefault="005E4CAA" w:rsidP="004A4D56">
      <w:pPr>
        <w:rPr>
          <w:rFonts w:ascii="Arial" w:hAnsi="Arial" w:cs="Arial"/>
          <w:b/>
          <w:bCs/>
        </w:rPr>
      </w:pPr>
      <w:r w:rsidRPr="005E4CAA">
        <w:rPr>
          <w:rFonts w:ascii="Arial" w:hAnsi="Arial" w:cs="Arial"/>
          <w:i/>
          <w:iCs/>
        </w:rPr>
        <w:t>* reported in 2024/24</w:t>
      </w:r>
    </w:p>
    <w:tbl>
      <w:tblPr>
        <w:tblW w:w="9523" w:type="dxa"/>
        <w:tblCellMar>
          <w:top w:w="15" w:type="dxa"/>
          <w:bottom w:w="15" w:type="dxa"/>
        </w:tblCellMar>
        <w:tblLook w:val="04A0" w:firstRow="1" w:lastRow="0" w:firstColumn="1" w:lastColumn="0" w:noHBand="0" w:noVBand="1"/>
      </w:tblPr>
      <w:tblGrid>
        <w:gridCol w:w="3061"/>
        <w:gridCol w:w="2154"/>
        <w:gridCol w:w="2154"/>
        <w:gridCol w:w="2154"/>
      </w:tblGrid>
      <w:tr w:rsidR="009E4F91" w:rsidRPr="00D75223" w14:paraId="6DA6C92C" w14:textId="77777777" w:rsidTr="009E4F91">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vAlign w:val="center"/>
            <w:hideMark/>
          </w:tcPr>
          <w:p w14:paraId="012D8A39" w14:textId="0F8A16E1" w:rsidR="009E4F91" w:rsidRPr="009E4F91" w:rsidRDefault="009E4F91" w:rsidP="005E4CAA">
            <w:pPr>
              <w:pStyle w:val="Heading3"/>
            </w:pPr>
            <w:bookmarkStart w:id="14" w:name="_Toc196988019"/>
            <w:r w:rsidRPr="009E4F91">
              <w:t>Efficiency</w:t>
            </w:r>
            <w:r>
              <w:t xml:space="preserve"> savings</w:t>
            </w:r>
            <w:r w:rsidR="00845604">
              <w:t xml:space="preserve"> </w:t>
            </w:r>
            <w:r w:rsidR="00845604" w:rsidRPr="00845604">
              <w:t>(£’000)</w:t>
            </w:r>
            <w:bookmarkEnd w:id="14"/>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1E8F8"/>
            <w:noWrap/>
            <w:hideMark/>
          </w:tcPr>
          <w:p w14:paraId="4B1C4BA7" w14:textId="77777777" w:rsidR="009E4F91" w:rsidRPr="009E4F91" w:rsidRDefault="009E4F91" w:rsidP="009E4F91">
            <w:pPr>
              <w:rPr>
                <w:rFonts w:ascii="Arial" w:hAnsi="Arial" w:cs="Arial"/>
                <w:b/>
                <w:bCs/>
              </w:rPr>
            </w:pPr>
            <w:r w:rsidRPr="009E4F91">
              <w:rPr>
                <w:rFonts w:ascii="Arial" w:hAnsi="Arial" w:cs="Arial"/>
                <w:b/>
                <w:bCs/>
              </w:rPr>
              <w:t>Actual 2023-24</w:t>
            </w:r>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1E8F8"/>
          </w:tcPr>
          <w:p w14:paraId="178F202F" w14:textId="77777777" w:rsidR="009E4F91" w:rsidRPr="009E4F91" w:rsidRDefault="009E4F91" w:rsidP="009E4F91">
            <w:pPr>
              <w:rPr>
                <w:rFonts w:ascii="Arial" w:hAnsi="Arial" w:cs="Arial"/>
                <w:b/>
                <w:bCs/>
              </w:rPr>
            </w:pPr>
            <w:r w:rsidRPr="009E4F91">
              <w:rPr>
                <w:rFonts w:ascii="Arial" w:hAnsi="Arial" w:cs="Arial"/>
                <w:b/>
                <w:bCs/>
              </w:rPr>
              <w:t>Actual 2024-25</w:t>
            </w:r>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1E8F8"/>
            <w:vAlign w:val="center"/>
          </w:tcPr>
          <w:p w14:paraId="68D27A32" w14:textId="77777777" w:rsidR="009E4F91" w:rsidRPr="009E4F91" w:rsidRDefault="009E4F91" w:rsidP="009E4F91">
            <w:pPr>
              <w:rPr>
                <w:rFonts w:ascii="Arial" w:hAnsi="Arial" w:cs="Arial"/>
                <w:b/>
                <w:bCs/>
              </w:rPr>
            </w:pPr>
            <w:r w:rsidRPr="009E4F91">
              <w:rPr>
                <w:rFonts w:ascii="Arial" w:hAnsi="Arial" w:cs="Arial"/>
                <w:b/>
                <w:bCs/>
              </w:rPr>
              <w:t>Forecast 2025-26</w:t>
            </w:r>
          </w:p>
        </w:tc>
      </w:tr>
      <w:tr w:rsidR="009E4F91" w:rsidRPr="009E4F91" w14:paraId="426B2AA2" w14:textId="77777777" w:rsidTr="00DE6A7B">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423D222F" w14:textId="77777777" w:rsidR="009E4F91" w:rsidRPr="009E4F91" w:rsidRDefault="009E4F91" w:rsidP="009E4F91">
            <w:pPr>
              <w:rPr>
                <w:rFonts w:ascii="Arial" w:hAnsi="Arial" w:cs="Arial"/>
                <w:sz w:val="24"/>
                <w:szCs w:val="24"/>
              </w:rPr>
            </w:pPr>
            <w:r w:rsidRPr="009E4F91">
              <w:rPr>
                <w:rFonts w:ascii="Arial" w:hAnsi="Arial" w:cs="Arial"/>
                <w:sz w:val="24"/>
                <w:szCs w:val="24"/>
              </w:rPr>
              <w:t>Total Efficiency Savings</w:t>
            </w:r>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noWrap/>
            <w:hideMark/>
          </w:tcPr>
          <w:p w14:paraId="3E554090" w14:textId="77777777" w:rsidR="009E4F91" w:rsidRPr="009E4F91" w:rsidRDefault="009E4F91" w:rsidP="009E4F91">
            <w:pPr>
              <w:rPr>
                <w:rFonts w:ascii="Arial" w:hAnsi="Arial" w:cs="Arial"/>
                <w:sz w:val="24"/>
                <w:szCs w:val="24"/>
              </w:rPr>
            </w:pPr>
            <w:r w:rsidRPr="009E4F91">
              <w:rPr>
                <w:rFonts w:ascii="Arial" w:hAnsi="Arial" w:cs="Arial"/>
                <w:sz w:val="24"/>
                <w:szCs w:val="24"/>
              </w:rPr>
              <w:t>1,500</w:t>
            </w:r>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tcPr>
          <w:p w14:paraId="679AA5D5" w14:textId="77777777" w:rsidR="009E4F91" w:rsidRPr="009E4F91" w:rsidRDefault="009E4F91" w:rsidP="009E4F91">
            <w:pPr>
              <w:rPr>
                <w:rFonts w:ascii="Arial" w:hAnsi="Arial" w:cs="Arial"/>
                <w:sz w:val="24"/>
                <w:szCs w:val="24"/>
              </w:rPr>
            </w:pPr>
            <w:r w:rsidRPr="009E4F91">
              <w:rPr>
                <w:rFonts w:ascii="Arial" w:hAnsi="Arial" w:cs="Arial"/>
                <w:sz w:val="24"/>
                <w:szCs w:val="24"/>
              </w:rPr>
              <w:t>1,196</w:t>
            </w:r>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32D8CE32" w14:textId="77777777" w:rsidR="009E4F91" w:rsidRPr="009E4F91" w:rsidRDefault="009E4F91" w:rsidP="009E4F91">
            <w:pPr>
              <w:rPr>
                <w:rFonts w:ascii="Arial" w:hAnsi="Arial" w:cs="Arial"/>
                <w:sz w:val="24"/>
                <w:szCs w:val="24"/>
              </w:rPr>
            </w:pPr>
            <w:r w:rsidRPr="009E4F91">
              <w:rPr>
                <w:rFonts w:ascii="Arial" w:hAnsi="Arial" w:cs="Arial"/>
                <w:sz w:val="24"/>
                <w:szCs w:val="24"/>
              </w:rPr>
              <w:t>572</w:t>
            </w:r>
          </w:p>
        </w:tc>
      </w:tr>
      <w:tr w:rsidR="009E4F91" w:rsidRPr="009E4F91" w14:paraId="5C128524" w14:textId="77777777" w:rsidTr="00DE6A7B">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244F53DB" w14:textId="77777777" w:rsidR="009E4F91" w:rsidRPr="009E4F91" w:rsidRDefault="009E4F91" w:rsidP="009E4F91">
            <w:pPr>
              <w:rPr>
                <w:rFonts w:ascii="Arial" w:hAnsi="Arial" w:cs="Arial"/>
                <w:sz w:val="24"/>
                <w:szCs w:val="24"/>
              </w:rPr>
            </w:pPr>
            <w:r w:rsidRPr="009E4F91">
              <w:rPr>
                <w:rFonts w:ascii="Arial" w:hAnsi="Arial" w:cs="Arial"/>
                <w:sz w:val="24"/>
                <w:szCs w:val="24"/>
              </w:rPr>
              <w:t>Efficiency savings as a percentage of non-payroll budgets</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1250CB95" w14:textId="77777777" w:rsidR="009E4F91" w:rsidRPr="009E4F91" w:rsidRDefault="009E4F91" w:rsidP="009E4F91">
            <w:pPr>
              <w:rPr>
                <w:rFonts w:ascii="Arial" w:hAnsi="Arial" w:cs="Arial"/>
                <w:sz w:val="24"/>
                <w:szCs w:val="24"/>
              </w:rPr>
            </w:pPr>
            <w:r w:rsidRPr="009E4F91">
              <w:rPr>
                <w:rFonts w:ascii="Arial" w:hAnsi="Arial" w:cs="Arial"/>
                <w:sz w:val="24"/>
                <w:szCs w:val="24"/>
              </w:rPr>
              <w:t>10.56%</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9ED07F" w14:textId="77777777" w:rsidR="009E4F91" w:rsidRPr="009E4F91" w:rsidRDefault="009E4F91" w:rsidP="009E4F91">
            <w:pPr>
              <w:rPr>
                <w:rFonts w:ascii="Arial" w:hAnsi="Arial" w:cs="Arial"/>
                <w:sz w:val="24"/>
                <w:szCs w:val="24"/>
              </w:rPr>
            </w:pPr>
            <w:r w:rsidRPr="009E4F91">
              <w:rPr>
                <w:rFonts w:ascii="Arial" w:hAnsi="Arial" w:cs="Arial"/>
                <w:sz w:val="24"/>
                <w:szCs w:val="24"/>
              </w:rPr>
              <w:t>7.62%</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B168E9" w14:textId="77777777" w:rsidR="009E4F91" w:rsidRPr="009E4F91" w:rsidRDefault="009E4F91" w:rsidP="009E4F91">
            <w:pPr>
              <w:rPr>
                <w:rFonts w:ascii="Arial" w:hAnsi="Arial" w:cs="Arial"/>
                <w:sz w:val="24"/>
                <w:szCs w:val="24"/>
              </w:rPr>
            </w:pPr>
            <w:r w:rsidRPr="009E4F91">
              <w:rPr>
                <w:rFonts w:ascii="Arial" w:hAnsi="Arial" w:cs="Arial"/>
                <w:sz w:val="24"/>
                <w:szCs w:val="24"/>
              </w:rPr>
              <w:t>3.58%</w:t>
            </w:r>
          </w:p>
        </w:tc>
      </w:tr>
      <w:tr w:rsidR="009E4F91" w:rsidRPr="009E4F91" w14:paraId="7AD5770B" w14:textId="77777777" w:rsidTr="00DE6A7B">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4D8A8F64" w14:textId="77777777" w:rsidR="009E4F91" w:rsidRPr="009E4F91" w:rsidRDefault="009E4F91" w:rsidP="009E4F91">
            <w:pPr>
              <w:rPr>
                <w:rFonts w:ascii="Arial" w:hAnsi="Arial" w:cs="Arial"/>
                <w:sz w:val="24"/>
                <w:szCs w:val="24"/>
              </w:rPr>
            </w:pPr>
            <w:r w:rsidRPr="009E4F91">
              <w:rPr>
                <w:rFonts w:ascii="Arial" w:hAnsi="Arial" w:cs="Arial"/>
                <w:sz w:val="24"/>
                <w:szCs w:val="24"/>
              </w:rPr>
              <w:t>Efficiency savings target</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7ABDCF2" w14:textId="77777777" w:rsidR="009E4F91" w:rsidRPr="009E4F91" w:rsidRDefault="009E4F91" w:rsidP="009E4F91">
            <w:pPr>
              <w:rPr>
                <w:rFonts w:ascii="Arial" w:hAnsi="Arial" w:cs="Arial"/>
                <w:sz w:val="24"/>
                <w:szCs w:val="24"/>
              </w:rPr>
            </w:pPr>
            <w:r w:rsidRPr="009E4F91">
              <w:rPr>
                <w:rFonts w:ascii="Arial" w:hAnsi="Arial" w:cs="Arial"/>
                <w:sz w:val="24"/>
                <w:szCs w:val="24"/>
              </w:rPr>
              <w:t>2.00%</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482626" w14:textId="77777777" w:rsidR="009E4F91" w:rsidRPr="009E4F91" w:rsidRDefault="009E4F91" w:rsidP="009E4F91">
            <w:pPr>
              <w:rPr>
                <w:rFonts w:ascii="Arial" w:hAnsi="Arial" w:cs="Arial"/>
                <w:sz w:val="24"/>
                <w:szCs w:val="24"/>
              </w:rPr>
            </w:pPr>
            <w:r w:rsidRPr="009E4F91">
              <w:rPr>
                <w:rFonts w:ascii="Arial" w:hAnsi="Arial" w:cs="Arial"/>
                <w:sz w:val="24"/>
                <w:szCs w:val="24"/>
              </w:rPr>
              <w:t>2.00%</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EC71C6" w14:textId="77777777" w:rsidR="009E4F91" w:rsidRPr="009E4F91" w:rsidRDefault="009E4F91" w:rsidP="009E4F91">
            <w:pPr>
              <w:rPr>
                <w:rFonts w:ascii="Arial" w:hAnsi="Arial" w:cs="Arial"/>
                <w:sz w:val="24"/>
                <w:szCs w:val="24"/>
              </w:rPr>
            </w:pPr>
            <w:r w:rsidRPr="009E4F91">
              <w:rPr>
                <w:rFonts w:ascii="Arial" w:hAnsi="Arial" w:cs="Arial"/>
                <w:sz w:val="24"/>
                <w:szCs w:val="24"/>
              </w:rPr>
              <w:t>2.00%</w:t>
            </w:r>
          </w:p>
        </w:tc>
      </w:tr>
      <w:tr w:rsidR="009E4F91" w:rsidRPr="009E4F91" w14:paraId="0FFC8DBF" w14:textId="77777777" w:rsidTr="00DE6A7B">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6A44D116" w14:textId="77777777" w:rsidR="009E4F91" w:rsidRPr="009E4F91" w:rsidRDefault="009E4F91" w:rsidP="009E4F91">
            <w:pPr>
              <w:rPr>
                <w:rFonts w:ascii="Arial" w:hAnsi="Arial" w:cs="Arial"/>
                <w:sz w:val="24"/>
                <w:szCs w:val="24"/>
              </w:rPr>
            </w:pPr>
            <w:r w:rsidRPr="009E4F91">
              <w:rPr>
                <w:rFonts w:ascii="Arial" w:hAnsi="Arial" w:cs="Arial"/>
                <w:sz w:val="24"/>
                <w:szCs w:val="24"/>
              </w:rPr>
              <w:t>Over/(Under)</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6D162F00" w14:textId="77777777" w:rsidR="009E4F91" w:rsidRPr="009E4F91" w:rsidRDefault="009E4F91" w:rsidP="009E4F91">
            <w:pPr>
              <w:rPr>
                <w:rFonts w:ascii="Arial" w:hAnsi="Arial" w:cs="Arial"/>
                <w:sz w:val="24"/>
                <w:szCs w:val="24"/>
              </w:rPr>
            </w:pPr>
            <w:r w:rsidRPr="009E4F91">
              <w:rPr>
                <w:rFonts w:ascii="Arial" w:hAnsi="Arial" w:cs="Arial"/>
                <w:sz w:val="24"/>
                <w:szCs w:val="24"/>
              </w:rPr>
              <w:t>8.56%</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6166E" w14:textId="77777777" w:rsidR="009E4F91" w:rsidRPr="009E4F91" w:rsidRDefault="009E4F91" w:rsidP="009E4F91">
            <w:pPr>
              <w:rPr>
                <w:rFonts w:ascii="Arial" w:hAnsi="Arial" w:cs="Arial"/>
                <w:sz w:val="24"/>
                <w:szCs w:val="24"/>
              </w:rPr>
            </w:pPr>
            <w:r w:rsidRPr="009E4F91">
              <w:rPr>
                <w:rFonts w:ascii="Arial" w:hAnsi="Arial" w:cs="Arial"/>
                <w:sz w:val="24"/>
                <w:szCs w:val="24"/>
              </w:rPr>
              <w:t>5.64%</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71E26" w14:textId="77777777" w:rsidR="009E4F91" w:rsidRPr="009E4F91" w:rsidRDefault="009E4F91" w:rsidP="009E4F91">
            <w:pPr>
              <w:rPr>
                <w:rFonts w:ascii="Arial" w:hAnsi="Arial" w:cs="Arial"/>
                <w:sz w:val="24"/>
                <w:szCs w:val="24"/>
              </w:rPr>
            </w:pPr>
            <w:r w:rsidRPr="009E4F91">
              <w:rPr>
                <w:rFonts w:ascii="Arial" w:hAnsi="Arial" w:cs="Arial"/>
                <w:sz w:val="24"/>
                <w:szCs w:val="24"/>
              </w:rPr>
              <w:t>1.58%</w:t>
            </w:r>
          </w:p>
        </w:tc>
      </w:tr>
    </w:tbl>
    <w:p w14:paraId="19083E14" w14:textId="77777777" w:rsidR="009E4F91" w:rsidRPr="009E4F91" w:rsidRDefault="009E4F91" w:rsidP="004A4D56">
      <w:pPr>
        <w:rPr>
          <w:rFonts w:ascii="Arial" w:hAnsi="Arial" w:cs="Arial"/>
        </w:rPr>
      </w:pPr>
    </w:p>
    <w:p w14:paraId="2BFABB42" w14:textId="2F4602BB" w:rsidR="005044C0" w:rsidRPr="005E4CAA" w:rsidRDefault="005044C0" w:rsidP="005E4CAA">
      <w:pPr>
        <w:pStyle w:val="Heading1"/>
        <w:rPr>
          <w:rStyle w:val="normaltextrun"/>
        </w:rPr>
      </w:pPr>
      <w:bookmarkStart w:id="15" w:name="_Toc196988020"/>
      <w:r w:rsidRPr="005E4CAA">
        <w:rPr>
          <w:rStyle w:val="normaltextrun"/>
        </w:rPr>
        <w:t>Income</w:t>
      </w:r>
      <w:r w:rsidR="005E4CAA">
        <w:rPr>
          <w:rStyle w:val="normaltextrun"/>
        </w:rPr>
        <w:t xml:space="preserve"> table</w:t>
      </w:r>
      <w:bookmarkEnd w:id="15"/>
    </w:p>
    <w:tbl>
      <w:tblPr>
        <w:tblStyle w:val="TableGrid"/>
        <w:tblW w:w="9523" w:type="dxa"/>
        <w:tblLayout w:type="fixed"/>
        <w:tblLook w:val="04A0" w:firstRow="1" w:lastRow="0" w:firstColumn="1" w:lastColumn="0" w:noHBand="0" w:noVBand="1"/>
      </w:tblPr>
      <w:tblGrid>
        <w:gridCol w:w="2263"/>
        <w:gridCol w:w="1276"/>
        <w:gridCol w:w="1134"/>
        <w:gridCol w:w="1276"/>
        <w:gridCol w:w="1134"/>
        <w:gridCol w:w="1276"/>
        <w:gridCol w:w="1164"/>
      </w:tblGrid>
      <w:tr w:rsidR="00C579CE" w:rsidRPr="00D75223" w14:paraId="252441A3" w14:textId="77777777" w:rsidTr="00725AA3">
        <w:trPr>
          <w:trHeight w:val="315"/>
        </w:trPr>
        <w:tc>
          <w:tcPr>
            <w:tcW w:w="2263" w:type="dxa"/>
            <w:noWrap/>
          </w:tcPr>
          <w:p w14:paraId="34A5951B" w14:textId="4B88420B" w:rsidR="00C579CE" w:rsidRPr="00D75223" w:rsidRDefault="00845604" w:rsidP="005E4CAA">
            <w:pPr>
              <w:pStyle w:val="Heading2"/>
              <w:rPr>
                <w:lang w:eastAsia="en-GB"/>
              </w:rPr>
            </w:pPr>
            <w:bookmarkStart w:id="16" w:name="_Toc196988021"/>
            <w:r>
              <w:rPr>
                <w:lang w:eastAsia="en-GB"/>
              </w:rPr>
              <w:t>Income</w:t>
            </w:r>
            <w:bookmarkEnd w:id="16"/>
          </w:p>
        </w:tc>
        <w:tc>
          <w:tcPr>
            <w:tcW w:w="2410" w:type="dxa"/>
            <w:gridSpan w:val="2"/>
            <w:noWrap/>
          </w:tcPr>
          <w:p w14:paraId="315B4AB6" w14:textId="10DF5A9C" w:rsidR="00C579CE" w:rsidRPr="005E4CAA" w:rsidRDefault="00C579CE" w:rsidP="004A4D56">
            <w:pPr>
              <w:rPr>
                <w:rFonts w:ascii="Arial" w:eastAsia="Times New Roman" w:hAnsi="Arial" w:cs="Arial"/>
                <w:b/>
                <w:bCs/>
                <w:color w:val="000000"/>
                <w:sz w:val="24"/>
                <w:szCs w:val="24"/>
                <w:lang w:eastAsia="en-GB"/>
              </w:rPr>
            </w:pPr>
            <w:r w:rsidRPr="005E4CAA">
              <w:rPr>
                <w:rFonts w:ascii="Arial" w:eastAsia="Times New Roman" w:hAnsi="Arial" w:cs="Arial"/>
                <w:b/>
                <w:bCs/>
                <w:color w:val="000000"/>
                <w:sz w:val="24"/>
                <w:szCs w:val="24"/>
                <w:lang w:eastAsia="en-GB"/>
              </w:rPr>
              <w:t>Actual 2023/24</w:t>
            </w:r>
          </w:p>
        </w:tc>
        <w:tc>
          <w:tcPr>
            <w:tcW w:w="2410" w:type="dxa"/>
            <w:gridSpan w:val="2"/>
            <w:noWrap/>
          </w:tcPr>
          <w:p w14:paraId="49210C03" w14:textId="41F12A3F" w:rsidR="00C579CE" w:rsidRPr="005E4CAA" w:rsidRDefault="00C579CE" w:rsidP="004A4D56">
            <w:pPr>
              <w:rPr>
                <w:rFonts w:ascii="Arial" w:eastAsia="Times New Roman" w:hAnsi="Arial" w:cs="Arial"/>
                <w:b/>
                <w:bCs/>
                <w:color w:val="000000"/>
                <w:sz w:val="24"/>
                <w:szCs w:val="24"/>
                <w:lang w:eastAsia="en-GB"/>
              </w:rPr>
            </w:pPr>
            <w:r w:rsidRPr="005E4CAA">
              <w:rPr>
                <w:rFonts w:ascii="Arial" w:eastAsia="Times New Roman" w:hAnsi="Arial" w:cs="Arial"/>
                <w:b/>
                <w:bCs/>
                <w:color w:val="000000"/>
                <w:sz w:val="24"/>
                <w:szCs w:val="24"/>
                <w:lang w:eastAsia="en-GB"/>
              </w:rPr>
              <w:t>Actual 2024/25</w:t>
            </w:r>
          </w:p>
        </w:tc>
        <w:tc>
          <w:tcPr>
            <w:tcW w:w="2440" w:type="dxa"/>
            <w:gridSpan w:val="2"/>
            <w:noWrap/>
          </w:tcPr>
          <w:p w14:paraId="2E8E5373" w14:textId="15418F68" w:rsidR="00C579CE" w:rsidRPr="005E4CAA" w:rsidRDefault="00C579CE" w:rsidP="004A4D56">
            <w:pPr>
              <w:rPr>
                <w:rFonts w:ascii="Arial" w:eastAsia="Times New Roman" w:hAnsi="Arial" w:cs="Arial"/>
                <w:b/>
                <w:bCs/>
                <w:color w:val="000000"/>
                <w:sz w:val="24"/>
                <w:szCs w:val="24"/>
                <w:lang w:eastAsia="en-GB"/>
              </w:rPr>
            </w:pPr>
            <w:r w:rsidRPr="005E4CAA">
              <w:rPr>
                <w:rFonts w:ascii="Arial" w:eastAsia="Times New Roman" w:hAnsi="Arial" w:cs="Arial"/>
                <w:b/>
                <w:bCs/>
                <w:color w:val="000000"/>
                <w:sz w:val="24"/>
                <w:szCs w:val="24"/>
                <w:lang w:eastAsia="en-GB"/>
              </w:rPr>
              <w:t>Forecast 2025/26</w:t>
            </w:r>
          </w:p>
        </w:tc>
      </w:tr>
      <w:tr w:rsidR="00F62BD3" w:rsidRPr="00D75223" w14:paraId="0BFDB77A" w14:textId="77777777" w:rsidTr="00725AA3">
        <w:trPr>
          <w:trHeight w:val="315"/>
        </w:trPr>
        <w:tc>
          <w:tcPr>
            <w:tcW w:w="2263" w:type="dxa"/>
            <w:noWrap/>
            <w:hideMark/>
          </w:tcPr>
          <w:p w14:paraId="481034F3" w14:textId="77777777" w:rsidR="00F62BD3" w:rsidRPr="005E4CAA" w:rsidRDefault="00F62BD3" w:rsidP="005E4CAA">
            <w:pPr>
              <w:rPr>
                <w:rFonts w:ascii="Arial" w:hAnsi="Arial" w:cs="Arial"/>
                <w:sz w:val="24"/>
                <w:szCs w:val="24"/>
              </w:rPr>
            </w:pPr>
            <w:r w:rsidRPr="005E4CAA">
              <w:rPr>
                <w:rFonts w:ascii="Arial" w:hAnsi="Arial" w:cs="Arial"/>
                <w:sz w:val="24"/>
                <w:szCs w:val="24"/>
              </w:rPr>
              <w:t>Efficiency Savings</w:t>
            </w:r>
          </w:p>
        </w:tc>
        <w:tc>
          <w:tcPr>
            <w:tcW w:w="1276" w:type="dxa"/>
            <w:noWrap/>
            <w:hideMark/>
          </w:tcPr>
          <w:p w14:paraId="30CC39BA" w14:textId="77777777" w:rsidR="00F62BD3" w:rsidRPr="00D75223" w:rsidRDefault="00F62BD3" w:rsidP="004A4D56">
            <w:pPr>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134" w:type="dxa"/>
            <w:noWrap/>
            <w:hideMark/>
          </w:tcPr>
          <w:p w14:paraId="25CF5A2E" w14:textId="77777777" w:rsidR="00F62BD3" w:rsidRPr="00D75223" w:rsidRDefault="00F62BD3" w:rsidP="004A4D56">
            <w:pPr>
              <w:rPr>
                <w:rFonts w:ascii="Arial" w:eastAsia="Times New Roman" w:hAnsi="Arial" w:cs="Arial"/>
                <w:b/>
                <w:bCs/>
                <w:color w:val="000000"/>
                <w:sz w:val="20"/>
                <w:szCs w:val="20"/>
                <w:lang w:eastAsia="en-GB"/>
              </w:rPr>
            </w:pPr>
            <w:r w:rsidRPr="00D75223">
              <w:rPr>
                <w:rFonts w:ascii="Arial" w:eastAsia="Times New Roman" w:hAnsi="Arial" w:cs="Arial"/>
                <w:b/>
                <w:bCs/>
                <w:color w:val="000000"/>
                <w:sz w:val="20"/>
                <w:szCs w:val="20"/>
                <w:lang w:eastAsia="en-GB"/>
              </w:rPr>
              <w:t>Non- recurrent</w:t>
            </w:r>
          </w:p>
        </w:tc>
        <w:tc>
          <w:tcPr>
            <w:tcW w:w="1276" w:type="dxa"/>
            <w:noWrap/>
            <w:hideMark/>
          </w:tcPr>
          <w:p w14:paraId="1EC366BD" w14:textId="77777777" w:rsidR="00F62BD3" w:rsidRPr="00D75223" w:rsidRDefault="00F62BD3" w:rsidP="004A4D56">
            <w:pPr>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134" w:type="dxa"/>
            <w:noWrap/>
            <w:hideMark/>
          </w:tcPr>
          <w:p w14:paraId="494913D6" w14:textId="77777777" w:rsidR="00F62BD3" w:rsidRPr="00D75223" w:rsidRDefault="00F62BD3" w:rsidP="004A4D56">
            <w:pPr>
              <w:rPr>
                <w:rFonts w:ascii="Arial" w:eastAsia="Times New Roman" w:hAnsi="Arial" w:cs="Arial"/>
                <w:b/>
                <w:bCs/>
                <w:color w:val="000000"/>
                <w:sz w:val="20"/>
                <w:szCs w:val="20"/>
                <w:lang w:eastAsia="en-GB"/>
              </w:rPr>
            </w:pPr>
            <w:r w:rsidRPr="00D75223">
              <w:rPr>
                <w:rFonts w:ascii="Arial" w:eastAsia="Times New Roman" w:hAnsi="Arial" w:cs="Arial"/>
                <w:b/>
                <w:bCs/>
                <w:color w:val="000000"/>
                <w:sz w:val="20"/>
                <w:szCs w:val="20"/>
                <w:lang w:eastAsia="en-GB"/>
              </w:rPr>
              <w:t>Non- recurrent</w:t>
            </w:r>
          </w:p>
        </w:tc>
        <w:tc>
          <w:tcPr>
            <w:tcW w:w="1276" w:type="dxa"/>
            <w:noWrap/>
            <w:hideMark/>
          </w:tcPr>
          <w:p w14:paraId="138AD4E8" w14:textId="77777777" w:rsidR="00F62BD3" w:rsidRPr="00D75223" w:rsidRDefault="00F62BD3" w:rsidP="004A4D56">
            <w:pPr>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164" w:type="dxa"/>
            <w:noWrap/>
            <w:hideMark/>
          </w:tcPr>
          <w:p w14:paraId="50168BCA" w14:textId="77777777" w:rsidR="00F62BD3" w:rsidRPr="00D75223" w:rsidRDefault="00F62BD3" w:rsidP="004A4D56">
            <w:pPr>
              <w:rPr>
                <w:rFonts w:ascii="Arial" w:eastAsia="Times New Roman" w:hAnsi="Arial" w:cs="Arial"/>
                <w:b/>
                <w:bCs/>
                <w:color w:val="000000"/>
                <w:sz w:val="20"/>
                <w:szCs w:val="20"/>
                <w:lang w:eastAsia="en-GB"/>
              </w:rPr>
            </w:pPr>
            <w:r w:rsidRPr="00D75223">
              <w:rPr>
                <w:rFonts w:ascii="Arial" w:eastAsia="Times New Roman" w:hAnsi="Arial" w:cs="Arial"/>
                <w:b/>
                <w:bCs/>
                <w:color w:val="000000"/>
                <w:sz w:val="20"/>
                <w:szCs w:val="20"/>
                <w:lang w:eastAsia="en-GB"/>
              </w:rPr>
              <w:t>Non- recurrent</w:t>
            </w:r>
          </w:p>
        </w:tc>
      </w:tr>
      <w:tr w:rsidR="00F62BD3" w:rsidRPr="00D75223" w14:paraId="7AD9EB1F" w14:textId="77777777" w:rsidTr="00725AA3">
        <w:trPr>
          <w:trHeight w:val="630"/>
        </w:trPr>
        <w:tc>
          <w:tcPr>
            <w:tcW w:w="2263" w:type="dxa"/>
            <w:hideMark/>
          </w:tcPr>
          <w:p w14:paraId="7B719AB8" w14:textId="0941077F" w:rsidR="00F62BD3" w:rsidRPr="00845604" w:rsidRDefault="00C579CE" w:rsidP="004A4D56">
            <w:pPr>
              <w:rPr>
                <w:rFonts w:ascii="Arial" w:eastAsia="Times New Roman" w:hAnsi="Arial" w:cs="Arial"/>
                <w:color w:val="000000"/>
                <w:sz w:val="24"/>
                <w:szCs w:val="24"/>
                <w:lang w:eastAsia="en-GB"/>
              </w:rPr>
            </w:pPr>
            <w:r w:rsidRPr="00845604">
              <w:rPr>
                <w:rFonts w:ascii="Arial" w:eastAsia="Calibri" w:hAnsi="Arial" w:cs="Arial"/>
                <w:sz w:val="24"/>
                <w:szCs w:val="24"/>
              </w:rPr>
              <w:t xml:space="preserve">Additional income generated from interest on investments following change in </w:t>
            </w:r>
            <w:r w:rsidR="001F523E" w:rsidRPr="00845604">
              <w:rPr>
                <w:rFonts w:ascii="Arial" w:eastAsia="Calibri" w:hAnsi="Arial" w:cs="Arial"/>
                <w:sz w:val="24"/>
                <w:szCs w:val="24"/>
              </w:rPr>
              <w:t>approach</w:t>
            </w:r>
            <w:r w:rsidRPr="00845604">
              <w:rPr>
                <w:rFonts w:ascii="Arial" w:eastAsia="Calibri" w:hAnsi="Arial" w:cs="Arial"/>
                <w:sz w:val="24"/>
                <w:szCs w:val="24"/>
              </w:rPr>
              <w:t xml:space="preserve"> to </w:t>
            </w:r>
            <w:r w:rsidR="00D75223" w:rsidRPr="00845604">
              <w:rPr>
                <w:rFonts w:ascii="Arial" w:eastAsia="Calibri" w:hAnsi="Arial" w:cs="Arial"/>
                <w:sz w:val="24"/>
                <w:szCs w:val="24"/>
              </w:rPr>
              <w:lastRenderedPageBreak/>
              <w:t>t</w:t>
            </w:r>
            <w:r w:rsidRPr="00845604">
              <w:rPr>
                <w:rFonts w:ascii="Arial" w:eastAsia="Calibri" w:hAnsi="Arial" w:cs="Arial"/>
                <w:sz w:val="24"/>
                <w:szCs w:val="24"/>
              </w:rPr>
              <w:t xml:space="preserve">reasury </w:t>
            </w:r>
            <w:r w:rsidR="00D75223" w:rsidRPr="00845604">
              <w:rPr>
                <w:rFonts w:ascii="Arial" w:eastAsia="Calibri" w:hAnsi="Arial" w:cs="Arial"/>
                <w:sz w:val="24"/>
                <w:szCs w:val="24"/>
              </w:rPr>
              <w:t>m</w:t>
            </w:r>
            <w:r w:rsidRPr="00845604">
              <w:rPr>
                <w:rFonts w:ascii="Arial" w:eastAsia="Calibri" w:hAnsi="Arial" w:cs="Arial"/>
                <w:sz w:val="24"/>
                <w:szCs w:val="24"/>
              </w:rPr>
              <w:t>anagement</w:t>
            </w:r>
          </w:p>
        </w:tc>
        <w:tc>
          <w:tcPr>
            <w:tcW w:w="1276" w:type="dxa"/>
            <w:noWrap/>
            <w:hideMark/>
          </w:tcPr>
          <w:p w14:paraId="5049765C" w14:textId="17EA5E8B" w:rsidR="00F62BD3" w:rsidRPr="00D75223" w:rsidRDefault="005E4CAA" w:rsidP="003E598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w:t>
            </w:r>
          </w:p>
        </w:tc>
        <w:tc>
          <w:tcPr>
            <w:tcW w:w="1134" w:type="dxa"/>
            <w:noWrap/>
            <w:hideMark/>
          </w:tcPr>
          <w:p w14:paraId="2D4E8875" w14:textId="1539C9EC" w:rsidR="00F62BD3" w:rsidRPr="00845604" w:rsidRDefault="005E4CAA" w:rsidP="003E598A">
            <w:pPr>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276" w:type="dxa"/>
            <w:noWrap/>
          </w:tcPr>
          <w:p w14:paraId="38D5AC99" w14:textId="65042AE3" w:rsidR="00F62BD3" w:rsidRPr="00845604" w:rsidRDefault="005E4CAA" w:rsidP="003E598A">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34" w:type="dxa"/>
            <w:noWrap/>
            <w:vAlign w:val="center"/>
          </w:tcPr>
          <w:p w14:paraId="784B36FB" w14:textId="6A56368D" w:rsidR="00F62BD3" w:rsidRPr="00845604" w:rsidRDefault="001F523E" w:rsidP="003E598A">
            <w:pPr>
              <w:jc w:val="center"/>
              <w:rPr>
                <w:rFonts w:ascii="Arial" w:eastAsia="Times New Roman" w:hAnsi="Arial" w:cs="Arial"/>
                <w:color w:val="000000"/>
                <w:sz w:val="24"/>
                <w:szCs w:val="24"/>
                <w:lang w:eastAsia="en-GB"/>
              </w:rPr>
            </w:pPr>
            <w:r w:rsidRPr="00845604">
              <w:rPr>
                <w:rFonts w:ascii="Arial" w:eastAsia="Times New Roman" w:hAnsi="Arial" w:cs="Arial"/>
                <w:color w:val="000000"/>
                <w:sz w:val="24"/>
                <w:szCs w:val="24"/>
                <w:lang w:eastAsia="en-GB"/>
              </w:rPr>
              <w:t>108</w:t>
            </w:r>
          </w:p>
        </w:tc>
        <w:tc>
          <w:tcPr>
            <w:tcW w:w="1276" w:type="dxa"/>
            <w:noWrap/>
            <w:hideMark/>
          </w:tcPr>
          <w:p w14:paraId="78892D5F" w14:textId="6BEE4398" w:rsidR="00F62BD3" w:rsidRPr="00845604" w:rsidRDefault="005E4CAA" w:rsidP="003E598A">
            <w:pPr>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4" w:type="dxa"/>
            <w:noWrap/>
            <w:hideMark/>
          </w:tcPr>
          <w:p w14:paraId="419E8ED2" w14:textId="2EA40519" w:rsidR="00F62BD3" w:rsidRPr="00845604" w:rsidRDefault="005E4CAA" w:rsidP="003E598A">
            <w:pPr>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bl>
    <w:p w14:paraId="796BD67C" w14:textId="7942312C" w:rsidR="005044C0" w:rsidRPr="00D75223" w:rsidRDefault="005044C0" w:rsidP="004A4D56">
      <w:pPr>
        <w:rPr>
          <w:rFonts w:ascii="Arial" w:hAnsi="Arial" w:cs="Arial"/>
          <w:sz w:val="24"/>
          <w:szCs w:val="24"/>
        </w:rPr>
      </w:pPr>
    </w:p>
    <w:p w14:paraId="23E60DB9" w14:textId="652C2270" w:rsidR="00CC105B" w:rsidRPr="00725AA3" w:rsidRDefault="00997325" w:rsidP="00725AA3">
      <w:pPr>
        <w:pStyle w:val="Heading1"/>
        <w:rPr>
          <w:rStyle w:val="normaltextrun"/>
        </w:rPr>
      </w:pPr>
      <w:bookmarkStart w:id="17" w:name="_Toc196988022"/>
      <w:r w:rsidRPr="00725AA3">
        <w:rPr>
          <w:rStyle w:val="normaltextrun"/>
        </w:rPr>
        <w:t xml:space="preserve">Efficiency </w:t>
      </w:r>
      <w:r w:rsidR="008D3B07" w:rsidRPr="00725AA3">
        <w:rPr>
          <w:rStyle w:val="normaltextrun"/>
        </w:rPr>
        <w:t>n</w:t>
      </w:r>
      <w:r w:rsidRPr="00725AA3">
        <w:rPr>
          <w:rStyle w:val="normaltextrun"/>
        </w:rPr>
        <w:t>arrative</w:t>
      </w:r>
      <w:bookmarkEnd w:id="17"/>
    </w:p>
    <w:p w14:paraId="7A235F2A" w14:textId="1AC38F24" w:rsidR="00224E95" w:rsidRPr="00D75223" w:rsidRDefault="00941062" w:rsidP="004A4D56">
      <w:pPr>
        <w:pStyle w:val="ListParagraph"/>
        <w:numPr>
          <w:ilvl w:val="0"/>
          <w:numId w:val="5"/>
        </w:numPr>
        <w:rPr>
          <w:rFonts w:ascii="Arial" w:hAnsi="Arial" w:cs="Arial"/>
          <w:sz w:val="24"/>
          <w:szCs w:val="24"/>
        </w:rPr>
      </w:pPr>
      <w:r w:rsidRPr="00D75223">
        <w:rPr>
          <w:rFonts w:ascii="Arial" w:hAnsi="Arial" w:cs="Arial"/>
          <w:sz w:val="24"/>
          <w:szCs w:val="24"/>
        </w:rPr>
        <w:t>Procurement savings are incorporated in the efficiency table above, but they are not elaborated upon in the narrative section below.</w:t>
      </w:r>
      <w:r w:rsidR="00224E95" w:rsidRPr="00D75223">
        <w:rPr>
          <w:rFonts w:ascii="Arial" w:hAnsi="Arial" w:cs="Arial"/>
          <w:sz w:val="24"/>
          <w:szCs w:val="24"/>
        </w:rPr>
        <w:t xml:space="preserve"> </w:t>
      </w:r>
    </w:p>
    <w:p w14:paraId="37674A96" w14:textId="000BE1D8" w:rsidR="00997325" w:rsidRPr="00D75223" w:rsidRDefault="00997325" w:rsidP="00845604">
      <w:pPr>
        <w:pStyle w:val="Heading2"/>
      </w:pPr>
      <w:bookmarkStart w:id="18" w:name="_Toc196988023"/>
      <w:r w:rsidRPr="00D75223">
        <w:t xml:space="preserve">Direct </w:t>
      </w:r>
      <w:r w:rsidR="008D3B07">
        <w:t>e</w:t>
      </w:r>
      <w:r w:rsidRPr="00D75223">
        <w:t>mployee</w:t>
      </w:r>
      <w:bookmarkEnd w:id="18"/>
    </w:p>
    <w:p w14:paraId="2BA0FDE2" w14:textId="3CD6EEFB" w:rsidR="00997325" w:rsidRPr="00D75223" w:rsidRDefault="00CC6788" w:rsidP="004A4D56">
      <w:pPr>
        <w:pStyle w:val="ListParagraph"/>
        <w:numPr>
          <w:ilvl w:val="0"/>
          <w:numId w:val="5"/>
        </w:numPr>
        <w:rPr>
          <w:rFonts w:ascii="Arial" w:hAnsi="Arial" w:cs="Arial"/>
          <w:sz w:val="24"/>
          <w:szCs w:val="24"/>
        </w:rPr>
      </w:pPr>
      <w:r w:rsidRPr="00D75223">
        <w:rPr>
          <w:rFonts w:ascii="Arial" w:hAnsi="Arial" w:cs="Arial"/>
          <w:sz w:val="24"/>
          <w:szCs w:val="24"/>
        </w:rPr>
        <w:t>I</w:t>
      </w:r>
      <w:r w:rsidR="00233BC8" w:rsidRPr="00D75223">
        <w:rPr>
          <w:rFonts w:ascii="Arial" w:hAnsi="Arial" w:cs="Arial"/>
          <w:sz w:val="24"/>
          <w:szCs w:val="24"/>
        </w:rPr>
        <w:t xml:space="preserve">n </w:t>
      </w:r>
      <w:r w:rsidR="00565554" w:rsidRPr="00D75223">
        <w:rPr>
          <w:rFonts w:ascii="Arial" w:hAnsi="Arial" w:cs="Arial"/>
          <w:sz w:val="24"/>
          <w:szCs w:val="24"/>
        </w:rPr>
        <w:t>2024/25</w:t>
      </w:r>
      <w:r w:rsidR="00233BC8" w:rsidRPr="00D75223">
        <w:rPr>
          <w:rFonts w:ascii="Arial" w:hAnsi="Arial" w:cs="Arial"/>
          <w:sz w:val="24"/>
          <w:szCs w:val="24"/>
        </w:rPr>
        <w:t xml:space="preserve"> there have been a</w:t>
      </w:r>
      <w:r w:rsidR="00230896" w:rsidRPr="00D75223">
        <w:rPr>
          <w:rFonts w:ascii="Arial" w:hAnsi="Arial" w:cs="Arial"/>
          <w:sz w:val="24"/>
          <w:szCs w:val="24"/>
        </w:rPr>
        <w:t>djustment</w:t>
      </w:r>
      <w:r w:rsidR="00233BC8" w:rsidRPr="00D75223">
        <w:rPr>
          <w:rFonts w:ascii="Arial" w:hAnsi="Arial" w:cs="Arial"/>
          <w:sz w:val="24"/>
          <w:szCs w:val="24"/>
        </w:rPr>
        <w:t>s</w:t>
      </w:r>
      <w:r w:rsidR="00230896" w:rsidRPr="00D75223">
        <w:rPr>
          <w:rFonts w:ascii="Arial" w:hAnsi="Arial" w:cs="Arial"/>
          <w:sz w:val="24"/>
          <w:szCs w:val="24"/>
        </w:rPr>
        <w:t xml:space="preserve"> to staffing models</w:t>
      </w:r>
      <w:r w:rsidR="4818BC2F" w:rsidRPr="00D75223">
        <w:rPr>
          <w:rFonts w:ascii="Arial" w:hAnsi="Arial" w:cs="Arial"/>
          <w:sz w:val="24"/>
          <w:szCs w:val="24"/>
        </w:rPr>
        <w:t xml:space="preserve"> </w:t>
      </w:r>
      <w:r w:rsidR="00BB547D" w:rsidRPr="00D75223">
        <w:rPr>
          <w:rFonts w:ascii="Arial" w:hAnsi="Arial" w:cs="Arial"/>
          <w:sz w:val="24"/>
          <w:szCs w:val="24"/>
        </w:rPr>
        <w:t xml:space="preserve">with </w:t>
      </w:r>
      <w:r w:rsidR="00584951" w:rsidRPr="00D75223">
        <w:rPr>
          <w:rFonts w:ascii="Arial" w:hAnsi="Arial" w:cs="Arial"/>
          <w:sz w:val="24"/>
          <w:szCs w:val="24"/>
        </w:rPr>
        <w:t xml:space="preserve">savings in </w:t>
      </w:r>
      <w:r w:rsidR="00A14FF8" w:rsidRPr="00D75223">
        <w:rPr>
          <w:rFonts w:ascii="Arial" w:hAnsi="Arial" w:cs="Arial"/>
          <w:sz w:val="24"/>
          <w:szCs w:val="24"/>
        </w:rPr>
        <w:t xml:space="preserve">employee costs </w:t>
      </w:r>
      <w:r w:rsidR="4818BC2F" w:rsidRPr="00D75223">
        <w:rPr>
          <w:rFonts w:ascii="Arial" w:hAnsi="Arial" w:cs="Arial"/>
          <w:sz w:val="24"/>
          <w:szCs w:val="24"/>
        </w:rPr>
        <w:t>(</w:t>
      </w:r>
      <w:r w:rsidR="0052314F" w:rsidRPr="00D75223">
        <w:rPr>
          <w:rFonts w:ascii="Arial" w:hAnsi="Arial" w:cs="Arial"/>
          <w:sz w:val="24"/>
          <w:szCs w:val="24"/>
        </w:rPr>
        <w:t>r</w:t>
      </w:r>
      <w:r w:rsidR="008825C5" w:rsidRPr="00D75223">
        <w:rPr>
          <w:rFonts w:ascii="Arial" w:hAnsi="Arial" w:cs="Arial"/>
          <w:sz w:val="24"/>
          <w:szCs w:val="24"/>
        </w:rPr>
        <w:t xml:space="preserve">ecurrent </w:t>
      </w:r>
      <w:r w:rsidR="00FD763D" w:rsidRPr="00D75223">
        <w:rPr>
          <w:rFonts w:ascii="Arial" w:hAnsi="Arial" w:cs="Arial"/>
          <w:sz w:val="24"/>
          <w:szCs w:val="24"/>
        </w:rPr>
        <w:t>c</w:t>
      </w:r>
      <w:r w:rsidR="4818BC2F" w:rsidRPr="00D75223">
        <w:rPr>
          <w:rFonts w:ascii="Arial" w:hAnsi="Arial" w:cs="Arial"/>
          <w:sz w:val="24"/>
          <w:szCs w:val="24"/>
        </w:rPr>
        <w:t>ashable efficiency)</w:t>
      </w:r>
      <w:r w:rsidR="00826FC5" w:rsidRPr="00D75223">
        <w:rPr>
          <w:rFonts w:ascii="Arial" w:hAnsi="Arial" w:cs="Arial"/>
          <w:sz w:val="24"/>
          <w:szCs w:val="24"/>
        </w:rPr>
        <w:t>.</w:t>
      </w:r>
    </w:p>
    <w:p w14:paraId="73D2184D" w14:textId="7A65E416" w:rsidR="004D33BD" w:rsidRPr="00D75223" w:rsidRDefault="004D33BD" w:rsidP="004A4D56">
      <w:pPr>
        <w:pStyle w:val="ListParagraph"/>
        <w:numPr>
          <w:ilvl w:val="1"/>
          <w:numId w:val="5"/>
        </w:numPr>
        <w:rPr>
          <w:rFonts w:ascii="Arial" w:hAnsi="Arial" w:cs="Arial"/>
          <w:sz w:val="24"/>
          <w:szCs w:val="24"/>
        </w:rPr>
      </w:pPr>
      <w:r w:rsidRPr="00D75223">
        <w:rPr>
          <w:rFonts w:ascii="Arial" w:hAnsi="Arial" w:cs="Arial"/>
          <w:sz w:val="24"/>
          <w:szCs w:val="24"/>
        </w:rPr>
        <w:t xml:space="preserve">Green book </w:t>
      </w:r>
      <w:r w:rsidR="15862592" w:rsidRPr="00D75223">
        <w:rPr>
          <w:rFonts w:ascii="Arial" w:hAnsi="Arial" w:cs="Arial"/>
          <w:sz w:val="24"/>
          <w:szCs w:val="24"/>
        </w:rPr>
        <w:t xml:space="preserve">instead of operational </w:t>
      </w:r>
      <w:r w:rsidR="00D75223">
        <w:rPr>
          <w:rFonts w:ascii="Arial" w:hAnsi="Arial" w:cs="Arial"/>
          <w:sz w:val="24"/>
          <w:szCs w:val="24"/>
        </w:rPr>
        <w:t>g</w:t>
      </w:r>
      <w:r w:rsidR="15862592" w:rsidRPr="00D75223">
        <w:rPr>
          <w:rFonts w:ascii="Arial" w:hAnsi="Arial" w:cs="Arial"/>
          <w:sz w:val="24"/>
          <w:szCs w:val="24"/>
        </w:rPr>
        <w:t xml:space="preserve">rey </w:t>
      </w:r>
      <w:r w:rsidR="00D75223">
        <w:rPr>
          <w:rFonts w:ascii="Arial" w:hAnsi="Arial" w:cs="Arial"/>
          <w:sz w:val="24"/>
          <w:szCs w:val="24"/>
        </w:rPr>
        <w:t>b</w:t>
      </w:r>
      <w:r w:rsidR="15862592" w:rsidRPr="00D75223">
        <w:rPr>
          <w:rFonts w:ascii="Arial" w:hAnsi="Arial" w:cs="Arial"/>
          <w:sz w:val="24"/>
          <w:szCs w:val="24"/>
        </w:rPr>
        <w:t xml:space="preserve">ook </w:t>
      </w:r>
      <w:r w:rsidR="00D75223">
        <w:rPr>
          <w:rFonts w:ascii="Arial" w:hAnsi="Arial" w:cs="Arial"/>
          <w:sz w:val="24"/>
          <w:szCs w:val="24"/>
        </w:rPr>
        <w:t>f</w:t>
      </w:r>
      <w:r w:rsidRPr="00D75223">
        <w:rPr>
          <w:rFonts w:ascii="Arial" w:hAnsi="Arial" w:cs="Arial"/>
          <w:sz w:val="24"/>
          <w:szCs w:val="24"/>
        </w:rPr>
        <w:t xml:space="preserve">ire </w:t>
      </w:r>
      <w:r w:rsidR="00D75223">
        <w:rPr>
          <w:rFonts w:ascii="Arial" w:hAnsi="Arial" w:cs="Arial"/>
          <w:sz w:val="24"/>
          <w:szCs w:val="24"/>
        </w:rPr>
        <w:t>s</w:t>
      </w:r>
      <w:r w:rsidRPr="00D75223">
        <w:rPr>
          <w:rFonts w:ascii="Arial" w:hAnsi="Arial" w:cs="Arial"/>
          <w:sz w:val="24"/>
          <w:szCs w:val="24"/>
        </w:rPr>
        <w:t xml:space="preserve">afety </w:t>
      </w:r>
      <w:r w:rsidR="00D75223">
        <w:rPr>
          <w:rFonts w:ascii="Arial" w:hAnsi="Arial" w:cs="Arial"/>
          <w:sz w:val="24"/>
          <w:szCs w:val="24"/>
        </w:rPr>
        <w:t>i</w:t>
      </w:r>
      <w:r w:rsidRPr="00D75223">
        <w:rPr>
          <w:rFonts w:ascii="Arial" w:hAnsi="Arial" w:cs="Arial"/>
          <w:sz w:val="24"/>
          <w:szCs w:val="24"/>
        </w:rPr>
        <w:t xml:space="preserve">nspectors and </w:t>
      </w:r>
      <w:r w:rsidR="00D75223">
        <w:rPr>
          <w:rFonts w:ascii="Arial" w:hAnsi="Arial" w:cs="Arial"/>
          <w:sz w:val="24"/>
          <w:szCs w:val="24"/>
        </w:rPr>
        <w:t>b</w:t>
      </w:r>
      <w:r w:rsidRPr="00D75223">
        <w:rPr>
          <w:rFonts w:ascii="Arial" w:hAnsi="Arial" w:cs="Arial"/>
          <w:sz w:val="24"/>
          <w:szCs w:val="24"/>
        </w:rPr>
        <w:t xml:space="preserve">usiness </w:t>
      </w:r>
      <w:r w:rsidR="00D75223">
        <w:rPr>
          <w:rFonts w:ascii="Arial" w:hAnsi="Arial" w:cs="Arial"/>
          <w:sz w:val="24"/>
          <w:szCs w:val="24"/>
        </w:rPr>
        <w:t>s</w:t>
      </w:r>
      <w:r w:rsidRPr="00D75223">
        <w:rPr>
          <w:rFonts w:ascii="Arial" w:hAnsi="Arial" w:cs="Arial"/>
          <w:sz w:val="24"/>
          <w:szCs w:val="24"/>
        </w:rPr>
        <w:t xml:space="preserve">afety </w:t>
      </w:r>
      <w:r w:rsidR="00D75223">
        <w:rPr>
          <w:rFonts w:ascii="Arial" w:hAnsi="Arial" w:cs="Arial"/>
          <w:sz w:val="24"/>
          <w:szCs w:val="24"/>
        </w:rPr>
        <w:t>a</w:t>
      </w:r>
      <w:r w:rsidRPr="00D75223">
        <w:rPr>
          <w:rFonts w:ascii="Arial" w:hAnsi="Arial" w:cs="Arial"/>
          <w:sz w:val="24"/>
          <w:szCs w:val="24"/>
        </w:rPr>
        <w:t xml:space="preserve">dvisors </w:t>
      </w:r>
      <w:r w:rsidR="00780045" w:rsidRPr="00D75223">
        <w:rPr>
          <w:rFonts w:ascii="Arial" w:hAnsi="Arial" w:cs="Arial"/>
          <w:sz w:val="24"/>
          <w:szCs w:val="24"/>
        </w:rPr>
        <w:t>pr</w:t>
      </w:r>
      <w:r w:rsidRPr="00D75223">
        <w:rPr>
          <w:rFonts w:ascii="Arial" w:hAnsi="Arial" w:cs="Arial"/>
          <w:sz w:val="24"/>
          <w:szCs w:val="24"/>
        </w:rPr>
        <w:t>ovide more flexible and agile workforce</w:t>
      </w:r>
      <w:r w:rsidR="00244ABA" w:rsidRPr="00D75223">
        <w:rPr>
          <w:rFonts w:ascii="Arial" w:hAnsi="Arial" w:cs="Arial"/>
          <w:sz w:val="24"/>
          <w:szCs w:val="24"/>
        </w:rPr>
        <w:t>:</w:t>
      </w:r>
      <w:r w:rsidR="0004124D" w:rsidRPr="00D75223">
        <w:rPr>
          <w:rFonts w:ascii="Arial" w:hAnsi="Arial" w:cs="Arial"/>
          <w:sz w:val="24"/>
          <w:szCs w:val="24"/>
        </w:rPr>
        <w:t xml:space="preserve"> £218</w:t>
      </w:r>
      <w:r w:rsidR="00D700F1" w:rsidRPr="00D75223">
        <w:rPr>
          <w:rFonts w:ascii="Arial" w:hAnsi="Arial" w:cs="Arial"/>
          <w:sz w:val="24"/>
          <w:szCs w:val="24"/>
        </w:rPr>
        <w:t>,000</w:t>
      </w:r>
      <w:r w:rsidRPr="00D75223">
        <w:rPr>
          <w:rFonts w:ascii="Arial" w:hAnsi="Arial" w:cs="Arial"/>
          <w:sz w:val="24"/>
          <w:szCs w:val="24"/>
        </w:rPr>
        <w:t>.</w:t>
      </w:r>
    </w:p>
    <w:p w14:paraId="0395FC45" w14:textId="411E2B81" w:rsidR="008E10BE" w:rsidRPr="00D75223" w:rsidRDefault="763FFE4F" w:rsidP="004A4D56">
      <w:pPr>
        <w:pStyle w:val="ListParagraph"/>
        <w:numPr>
          <w:ilvl w:val="1"/>
          <w:numId w:val="5"/>
        </w:numPr>
        <w:rPr>
          <w:rFonts w:ascii="Arial" w:hAnsi="Arial" w:cs="Arial"/>
          <w:sz w:val="24"/>
          <w:szCs w:val="24"/>
        </w:rPr>
      </w:pPr>
      <w:r w:rsidRPr="00D75223">
        <w:rPr>
          <w:rFonts w:ascii="Arial" w:hAnsi="Arial" w:cs="Arial"/>
          <w:sz w:val="24"/>
          <w:szCs w:val="24"/>
        </w:rPr>
        <w:t>Re</w:t>
      </w:r>
      <w:r w:rsidR="67222B56" w:rsidRPr="00D75223">
        <w:rPr>
          <w:rFonts w:ascii="Arial" w:hAnsi="Arial" w:cs="Arial"/>
          <w:sz w:val="24"/>
          <w:szCs w:val="24"/>
        </w:rPr>
        <w:t>duction</w:t>
      </w:r>
      <w:r w:rsidRPr="00D75223">
        <w:rPr>
          <w:rFonts w:ascii="Arial" w:hAnsi="Arial" w:cs="Arial"/>
          <w:sz w:val="24"/>
          <w:szCs w:val="24"/>
        </w:rPr>
        <w:t xml:space="preserve"> of </w:t>
      </w:r>
      <w:r w:rsidR="00D75223">
        <w:rPr>
          <w:rFonts w:ascii="Arial" w:hAnsi="Arial" w:cs="Arial"/>
          <w:sz w:val="24"/>
          <w:szCs w:val="24"/>
        </w:rPr>
        <w:t>i</w:t>
      </w:r>
      <w:r w:rsidR="71465664" w:rsidRPr="00D75223">
        <w:rPr>
          <w:rFonts w:ascii="Arial" w:hAnsi="Arial" w:cs="Arial"/>
          <w:sz w:val="24"/>
          <w:szCs w:val="24"/>
        </w:rPr>
        <w:t xml:space="preserve">ncident </w:t>
      </w:r>
      <w:r w:rsidR="00D75223">
        <w:rPr>
          <w:rFonts w:ascii="Arial" w:hAnsi="Arial" w:cs="Arial"/>
          <w:sz w:val="24"/>
          <w:szCs w:val="24"/>
        </w:rPr>
        <w:t>i</w:t>
      </w:r>
      <w:r w:rsidR="71465664" w:rsidRPr="00D75223">
        <w:rPr>
          <w:rFonts w:ascii="Arial" w:hAnsi="Arial" w:cs="Arial"/>
          <w:sz w:val="24"/>
          <w:szCs w:val="24"/>
        </w:rPr>
        <w:t xml:space="preserve">ntelligent </w:t>
      </w:r>
      <w:r w:rsidR="00D75223">
        <w:rPr>
          <w:rFonts w:ascii="Arial" w:hAnsi="Arial" w:cs="Arial"/>
          <w:sz w:val="24"/>
          <w:szCs w:val="24"/>
        </w:rPr>
        <w:t>o</w:t>
      </w:r>
      <w:r w:rsidR="71465664" w:rsidRPr="00D75223">
        <w:rPr>
          <w:rFonts w:ascii="Arial" w:hAnsi="Arial" w:cs="Arial"/>
          <w:sz w:val="24"/>
          <w:szCs w:val="24"/>
        </w:rPr>
        <w:t>fficers</w:t>
      </w:r>
      <w:r w:rsidR="699979A2" w:rsidRPr="00D75223">
        <w:rPr>
          <w:rFonts w:ascii="Arial" w:hAnsi="Arial" w:cs="Arial"/>
          <w:sz w:val="24"/>
          <w:szCs w:val="24"/>
        </w:rPr>
        <w:t>:</w:t>
      </w:r>
      <w:r w:rsidRPr="00D75223">
        <w:rPr>
          <w:rFonts w:ascii="Arial" w:hAnsi="Arial" w:cs="Arial"/>
          <w:sz w:val="24"/>
          <w:szCs w:val="24"/>
        </w:rPr>
        <w:t xml:space="preserve"> £58</w:t>
      </w:r>
      <w:r w:rsidR="65CACD3B" w:rsidRPr="00D75223">
        <w:rPr>
          <w:rFonts w:ascii="Arial" w:hAnsi="Arial" w:cs="Arial"/>
          <w:sz w:val="24"/>
          <w:szCs w:val="24"/>
        </w:rPr>
        <w:t>,000</w:t>
      </w:r>
      <w:r w:rsidR="1714EE93" w:rsidRPr="00D75223">
        <w:rPr>
          <w:rFonts w:ascii="Arial" w:hAnsi="Arial" w:cs="Arial"/>
          <w:sz w:val="24"/>
          <w:szCs w:val="24"/>
        </w:rPr>
        <w:t>.</w:t>
      </w:r>
    </w:p>
    <w:p w14:paraId="103A3047" w14:textId="1028D452" w:rsidR="64C82916" w:rsidRPr="00D75223" w:rsidRDefault="00FD763D"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The </w:t>
      </w:r>
      <w:r w:rsidR="00D75223">
        <w:rPr>
          <w:rFonts w:ascii="Arial" w:hAnsi="Arial" w:cs="Arial"/>
          <w:sz w:val="24"/>
          <w:szCs w:val="24"/>
        </w:rPr>
        <w:t>e</w:t>
      </w:r>
      <w:r w:rsidR="7F3CA408" w:rsidRPr="00D75223">
        <w:rPr>
          <w:rFonts w:ascii="Arial" w:hAnsi="Arial" w:cs="Arial"/>
          <w:sz w:val="24"/>
          <w:szCs w:val="24"/>
        </w:rPr>
        <w:t>mergency</w:t>
      </w:r>
      <w:r w:rsidR="332A1BDE" w:rsidRPr="00D75223">
        <w:rPr>
          <w:rFonts w:ascii="Arial" w:hAnsi="Arial" w:cs="Arial"/>
          <w:sz w:val="24"/>
          <w:szCs w:val="24"/>
        </w:rPr>
        <w:t xml:space="preserve"> </w:t>
      </w:r>
      <w:r w:rsidR="00D75223">
        <w:rPr>
          <w:rFonts w:ascii="Arial" w:hAnsi="Arial" w:cs="Arial"/>
          <w:sz w:val="24"/>
          <w:szCs w:val="24"/>
        </w:rPr>
        <w:t>c</w:t>
      </w:r>
      <w:r w:rsidR="332A1BDE" w:rsidRPr="00D75223">
        <w:rPr>
          <w:rFonts w:ascii="Arial" w:hAnsi="Arial" w:cs="Arial"/>
          <w:sz w:val="24"/>
          <w:szCs w:val="24"/>
        </w:rPr>
        <w:t xml:space="preserve">over </w:t>
      </w:r>
      <w:r w:rsidR="00D75223">
        <w:rPr>
          <w:rFonts w:ascii="Arial" w:hAnsi="Arial" w:cs="Arial"/>
          <w:sz w:val="24"/>
          <w:szCs w:val="24"/>
        </w:rPr>
        <w:t>r</w:t>
      </w:r>
      <w:r w:rsidR="332A1BDE" w:rsidRPr="00D75223">
        <w:rPr>
          <w:rFonts w:ascii="Arial" w:hAnsi="Arial" w:cs="Arial"/>
          <w:sz w:val="24"/>
          <w:szCs w:val="24"/>
        </w:rPr>
        <w:t>eview implementation during 2023/24 with full</w:t>
      </w:r>
      <w:r w:rsidR="5B7A4B51" w:rsidRPr="00D75223">
        <w:rPr>
          <w:rFonts w:ascii="Arial" w:hAnsi="Arial" w:cs="Arial"/>
          <w:sz w:val="24"/>
          <w:szCs w:val="24"/>
        </w:rPr>
        <w:t xml:space="preserve"> year effect in </w:t>
      </w:r>
      <w:r w:rsidR="332A1BDE" w:rsidRPr="00D75223">
        <w:rPr>
          <w:rFonts w:ascii="Arial" w:hAnsi="Arial" w:cs="Arial"/>
          <w:sz w:val="24"/>
          <w:szCs w:val="24"/>
        </w:rPr>
        <w:t>2024/25</w:t>
      </w:r>
      <w:r w:rsidR="22A8D0F4" w:rsidRPr="00D75223">
        <w:rPr>
          <w:rFonts w:ascii="Arial" w:hAnsi="Arial" w:cs="Arial"/>
          <w:sz w:val="24"/>
          <w:szCs w:val="24"/>
        </w:rPr>
        <w:t xml:space="preserve"> (</w:t>
      </w:r>
      <w:r w:rsidR="00244ABA" w:rsidRPr="00D75223">
        <w:rPr>
          <w:rFonts w:ascii="Arial" w:hAnsi="Arial" w:cs="Arial"/>
          <w:sz w:val="24"/>
          <w:szCs w:val="24"/>
        </w:rPr>
        <w:t>r</w:t>
      </w:r>
      <w:r w:rsidR="005777EA" w:rsidRPr="00D75223">
        <w:rPr>
          <w:rFonts w:ascii="Arial" w:hAnsi="Arial" w:cs="Arial"/>
          <w:sz w:val="24"/>
          <w:szCs w:val="24"/>
        </w:rPr>
        <w:t xml:space="preserve">ecurrent </w:t>
      </w:r>
      <w:r w:rsidRPr="00D75223">
        <w:rPr>
          <w:rFonts w:ascii="Arial" w:hAnsi="Arial" w:cs="Arial"/>
          <w:sz w:val="24"/>
          <w:szCs w:val="24"/>
        </w:rPr>
        <w:t>c</w:t>
      </w:r>
      <w:r w:rsidR="22A8D0F4" w:rsidRPr="00D75223">
        <w:rPr>
          <w:rFonts w:ascii="Arial" w:hAnsi="Arial" w:cs="Arial"/>
          <w:sz w:val="24"/>
          <w:szCs w:val="24"/>
        </w:rPr>
        <w:t>ashable efficiency)</w:t>
      </w:r>
      <w:r w:rsidR="00A11B15" w:rsidRPr="00D75223">
        <w:rPr>
          <w:rFonts w:ascii="Arial" w:hAnsi="Arial" w:cs="Arial"/>
          <w:sz w:val="24"/>
          <w:szCs w:val="24"/>
        </w:rPr>
        <w:t>.</w:t>
      </w:r>
      <w:r w:rsidR="00D75223">
        <w:rPr>
          <w:rFonts w:ascii="Arial" w:hAnsi="Arial" w:cs="Arial"/>
          <w:sz w:val="24"/>
          <w:szCs w:val="24"/>
        </w:rPr>
        <w:t xml:space="preserve"> D</w:t>
      </w:r>
      <w:r w:rsidR="0FDADC38" w:rsidRPr="00D75223">
        <w:rPr>
          <w:rFonts w:ascii="Arial" w:hAnsi="Arial" w:cs="Arial"/>
          <w:sz w:val="24"/>
          <w:szCs w:val="24"/>
        </w:rPr>
        <w:t xml:space="preserve">uty systems </w:t>
      </w:r>
      <w:r w:rsidR="00D75223">
        <w:rPr>
          <w:rFonts w:ascii="Arial" w:hAnsi="Arial" w:cs="Arial"/>
          <w:sz w:val="24"/>
          <w:szCs w:val="24"/>
        </w:rPr>
        <w:t xml:space="preserve">changed </w:t>
      </w:r>
      <w:r w:rsidR="0FDADC38" w:rsidRPr="00D75223">
        <w:rPr>
          <w:rFonts w:ascii="Arial" w:hAnsi="Arial" w:cs="Arial"/>
          <w:sz w:val="24"/>
          <w:szCs w:val="24"/>
        </w:rPr>
        <w:t>at some stations whilst maintaining</w:t>
      </w:r>
      <w:r w:rsidR="64C82916" w:rsidRPr="00D75223">
        <w:rPr>
          <w:rFonts w:ascii="Arial" w:hAnsi="Arial" w:cs="Arial"/>
          <w:sz w:val="24"/>
          <w:szCs w:val="24"/>
        </w:rPr>
        <w:t xml:space="preserve"> all 39 fire stations and 58 appliances, and increased firefighter establishment by 8 providing more flexible crewing </w:t>
      </w:r>
      <w:r w:rsidR="00244ABA" w:rsidRPr="00D75223">
        <w:rPr>
          <w:rFonts w:ascii="Arial" w:hAnsi="Arial" w:cs="Arial"/>
          <w:sz w:val="24"/>
          <w:szCs w:val="24"/>
        </w:rPr>
        <w:t>arrangements:</w:t>
      </w:r>
      <w:r w:rsidR="64C82916" w:rsidRPr="00D75223">
        <w:rPr>
          <w:rFonts w:ascii="Arial" w:hAnsi="Arial" w:cs="Arial"/>
          <w:sz w:val="24"/>
          <w:szCs w:val="24"/>
        </w:rPr>
        <w:t xml:space="preserve"> £</w:t>
      </w:r>
      <w:r w:rsidR="00826FC5" w:rsidRPr="00D75223">
        <w:rPr>
          <w:rFonts w:ascii="Arial" w:hAnsi="Arial" w:cs="Arial"/>
          <w:sz w:val="24"/>
          <w:szCs w:val="24"/>
        </w:rPr>
        <w:t>400,000</w:t>
      </w:r>
      <w:r w:rsidR="45EEA603" w:rsidRPr="00D75223">
        <w:rPr>
          <w:rFonts w:ascii="Arial" w:hAnsi="Arial" w:cs="Arial"/>
          <w:sz w:val="24"/>
          <w:szCs w:val="24"/>
        </w:rPr>
        <w:t>.</w:t>
      </w:r>
    </w:p>
    <w:p w14:paraId="45F6B817" w14:textId="13D775A6" w:rsidR="00997325" w:rsidRPr="00D75223" w:rsidRDefault="00997325" w:rsidP="00845604">
      <w:pPr>
        <w:pStyle w:val="Heading2"/>
      </w:pPr>
      <w:bookmarkStart w:id="19" w:name="_Toc196988024"/>
      <w:r w:rsidRPr="00D75223">
        <w:t xml:space="preserve">Indirect </w:t>
      </w:r>
      <w:r w:rsidR="008D3B07">
        <w:t>e</w:t>
      </w:r>
      <w:r w:rsidRPr="00D75223">
        <w:t>mployee</w:t>
      </w:r>
      <w:bookmarkEnd w:id="19"/>
    </w:p>
    <w:p w14:paraId="157F2442" w14:textId="0E2C5904" w:rsidR="70E27A17" w:rsidRPr="00D75223" w:rsidRDefault="00826FC5" w:rsidP="004A4D56">
      <w:pPr>
        <w:pStyle w:val="ListParagraph"/>
        <w:numPr>
          <w:ilvl w:val="0"/>
          <w:numId w:val="1"/>
        </w:numPr>
        <w:rPr>
          <w:rFonts w:ascii="Arial" w:hAnsi="Arial" w:cs="Arial"/>
          <w:sz w:val="24"/>
          <w:szCs w:val="24"/>
        </w:rPr>
      </w:pPr>
      <w:r w:rsidRPr="00D75223">
        <w:rPr>
          <w:rFonts w:ascii="Arial" w:hAnsi="Arial" w:cs="Arial"/>
          <w:sz w:val="24"/>
          <w:szCs w:val="24"/>
        </w:rPr>
        <w:t>In 2024/25 a</w:t>
      </w:r>
      <w:r w:rsidR="70E27A17" w:rsidRPr="00D75223">
        <w:rPr>
          <w:rFonts w:ascii="Arial" w:hAnsi="Arial" w:cs="Arial"/>
          <w:sz w:val="24"/>
          <w:szCs w:val="24"/>
        </w:rPr>
        <w:t>lternative</w:t>
      </w:r>
      <w:r w:rsidR="3C12A6C7" w:rsidRPr="00D75223">
        <w:rPr>
          <w:rFonts w:ascii="Arial" w:hAnsi="Arial" w:cs="Arial"/>
          <w:sz w:val="24"/>
          <w:szCs w:val="24"/>
        </w:rPr>
        <w:t xml:space="preserve"> training delivery models reduce</w:t>
      </w:r>
      <w:r w:rsidR="00D75223">
        <w:rPr>
          <w:rFonts w:ascii="Arial" w:hAnsi="Arial" w:cs="Arial"/>
          <w:sz w:val="24"/>
          <w:szCs w:val="24"/>
        </w:rPr>
        <w:t>d</w:t>
      </w:r>
      <w:r w:rsidR="3C12A6C7" w:rsidRPr="00D75223">
        <w:rPr>
          <w:rFonts w:ascii="Arial" w:hAnsi="Arial" w:cs="Arial"/>
          <w:sz w:val="24"/>
          <w:szCs w:val="24"/>
        </w:rPr>
        <w:t xml:space="preserve"> travel time and expenses (</w:t>
      </w:r>
      <w:r w:rsidR="00244ABA" w:rsidRPr="00D75223">
        <w:rPr>
          <w:rFonts w:ascii="Arial" w:hAnsi="Arial" w:cs="Arial"/>
          <w:sz w:val="24"/>
          <w:szCs w:val="24"/>
        </w:rPr>
        <w:t xml:space="preserve">recurrent </w:t>
      </w:r>
      <w:r w:rsidR="3C12A6C7" w:rsidRPr="00D75223">
        <w:rPr>
          <w:rFonts w:ascii="Arial" w:hAnsi="Arial" w:cs="Arial"/>
          <w:sz w:val="24"/>
          <w:szCs w:val="24"/>
        </w:rPr>
        <w:t xml:space="preserve">cashable </w:t>
      </w:r>
      <w:r w:rsidR="026DC6A1" w:rsidRPr="00D75223">
        <w:rPr>
          <w:rFonts w:ascii="Arial" w:hAnsi="Arial" w:cs="Arial"/>
          <w:sz w:val="24"/>
          <w:szCs w:val="24"/>
        </w:rPr>
        <w:t>efficiency</w:t>
      </w:r>
      <w:r w:rsidR="3C12A6C7" w:rsidRPr="00D75223">
        <w:rPr>
          <w:rFonts w:ascii="Arial" w:hAnsi="Arial" w:cs="Arial"/>
          <w:sz w:val="24"/>
          <w:szCs w:val="24"/>
        </w:rPr>
        <w:t xml:space="preserve"> saving</w:t>
      </w:r>
      <w:r w:rsidR="5CB20DB1" w:rsidRPr="00D75223">
        <w:rPr>
          <w:rFonts w:ascii="Arial" w:hAnsi="Arial" w:cs="Arial"/>
          <w:sz w:val="24"/>
          <w:szCs w:val="24"/>
        </w:rPr>
        <w:t>)</w:t>
      </w:r>
      <w:r w:rsidR="00244ABA" w:rsidRPr="00D75223">
        <w:rPr>
          <w:rFonts w:ascii="Arial" w:hAnsi="Arial" w:cs="Arial"/>
          <w:sz w:val="24"/>
          <w:szCs w:val="24"/>
        </w:rPr>
        <w:t>:</w:t>
      </w:r>
      <w:r w:rsidR="1DDFFEC9" w:rsidRPr="00D75223">
        <w:rPr>
          <w:rFonts w:ascii="Arial" w:hAnsi="Arial" w:cs="Arial"/>
          <w:sz w:val="24"/>
          <w:szCs w:val="24"/>
        </w:rPr>
        <w:t xml:space="preserve"> £</w:t>
      </w:r>
      <w:r w:rsidRPr="00D75223">
        <w:rPr>
          <w:rFonts w:ascii="Arial" w:hAnsi="Arial" w:cs="Arial"/>
          <w:sz w:val="24"/>
          <w:szCs w:val="24"/>
        </w:rPr>
        <w:t>10,000.</w:t>
      </w:r>
    </w:p>
    <w:p w14:paraId="69C70DFC" w14:textId="2C4A2ADA" w:rsidR="6AA6603F" w:rsidRPr="00D75223" w:rsidRDefault="40781079" w:rsidP="004A4D56">
      <w:pPr>
        <w:pStyle w:val="ListParagraph"/>
        <w:numPr>
          <w:ilvl w:val="1"/>
          <w:numId w:val="1"/>
        </w:numPr>
        <w:rPr>
          <w:rFonts w:ascii="Arial" w:eastAsia="Aptos Narrow" w:hAnsi="Arial" w:cs="Arial"/>
          <w:color w:val="000000" w:themeColor="text1"/>
          <w:sz w:val="24"/>
          <w:szCs w:val="24"/>
        </w:rPr>
      </w:pPr>
      <w:r w:rsidRPr="00D75223">
        <w:rPr>
          <w:rFonts w:ascii="Arial" w:eastAsia="Aptos Narrow" w:hAnsi="Arial" w:cs="Arial"/>
          <w:color w:val="000000" w:themeColor="text1"/>
          <w:sz w:val="24"/>
          <w:szCs w:val="24"/>
        </w:rPr>
        <w:t xml:space="preserve">Incident command workshops have been delivered locally to on-call crews instead of at </w:t>
      </w:r>
      <w:r w:rsidR="4F75463C" w:rsidRPr="00D75223">
        <w:rPr>
          <w:rFonts w:ascii="Arial" w:eastAsia="Aptos Narrow" w:hAnsi="Arial" w:cs="Arial"/>
          <w:color w:val="000000" w:themeColor="text1"/>
          <w:sz w:val="24"/>
          <w:szCs w:val="24"/>
        </w:rPr>
        <w:t>our Leadership and Development</w:t>
      </w:r>
      <w:r w:rsidRPr="00D75223">
        <w:rPr>
          <w:rFonts w:ascii="Arial" w:eastAsia="Aptos Narrow" w:hAnsi="Arial" w:cs="Arial"/>
          <w:color w:val="000000" w:themeColor="text1"/>
          <w:sz w:val="24"/>
          <w:szCs w:val="24"/>
        </w:rPr>
        <w:t xml:space="preserve"> </w:t>
      </w:r>
      <w:r w:rsidR="00D75223">
        <w:rPr>
          <w:rFonts w:ascii="Arial" w:eastAsia="Aptos Narrow" w:hAnsi="Arial" w:cs="Arial"/>
          <w:color w:val="000000" w:themeColor="text1"/>
          <w:sz w:val="24"/>
          <w:szCs w:val="24"/>
        </w:rPr>
        <w:t>C</w:t>
      </w:r>
      <w:r w:rsidRPr="00D75223">
        <w:rPr>
          <w:rFonts w:ascii="Arial" w:eastAsia="Aptos Narrow" w:hAnsi="Arial" w:cs="Arial"/>
          <w:color w:val="000000" w:themeColor="text1"/>
          <w:sz w:val="24"/>
          <w:szCs w:val="24"/>
        </w:rPr>
        <w:t>entre in Chorley, reducing the time and travel involved for individuals.</w:t>
      </w:r>
    </w:p>
    <w:p w14:paraId="0C07E795" w14:textId="3992A5D4" w:rsidR="6AA6603F" w:rsidRPr="00D75223" w:rsidRDefault="29357E4F" w:rsidP="004A4D56">
      <w:pPr>
        <w:pStyle w:val="ListParagraph"/>
        <w:numPr>
          <w:ilvl w:val="1"/>
          <w:numId w:val="1"/>
        </w:numPr>
        <w:rPr>
          <w:rFonts w:ascii="Arial" w:hAnsi="Arial" w:cs="Arial"/>
          <w:sz w:val="24"/>
          <w:szCs w:val="24"/>
        </w:rPr>
      </w:pPr>
      <w:r w:rsidRPr="00D75223">
        <w:rPr>
          <w:rFonts w:ascii="Arial" w:hAnsi="Arial" w:cs="Arial"/>
          <w:sz w:val="24"/>
          <w:szCs w:val="24"/>
        </w:rPr>
        <w:t xml:space="preserve">Use of technology has been successfully embedded enabling us to deliver pan-Service interactive training using virtual classrooms. </w:t>
      </w:r>
    </w:p>
    <w:p w14:paraId="449D970D" w14:textId="43B98A37" w:rsidR="00681906" w:rsidRPr="00D75223" w:rsidRDefault="73FB7C2F" w:rsidP="004A4D56">
      <w:pPr>
        <w:pStyle w:val="ListParagraph"/>
        <w:numPr>
          <w:ilvl w:val="0"/>
          <w:numId w:val="1"/>
        </w:numPr>
        <w:rPr>
          <w:rFonts w:ascii="Arial" w:eastAsia="Aptos Narrow" w:hAnsi="Arial" w:cs="Arial"/>
          <w:color w:val="000000" w:themeColor="text1"/>
          <w:sz w:val="24"/>
          <w:szCs w:val="24"/>
        </w:rPr>
      </w:pPr>
      <w:r w:rsidRPr="00D75223">
        <w:rPr>
          <w:rFonts w:ascii="Arial" w:eastAsia="Aptos Narrow" w:hAnsi="Arial" w:cs="Arial"/>
          <w:color w:val="000000" w:themeColor="text1"/>
          <w:sz w:val="24"/>
          <w:szCs w:val="24"/>
        </w:rPr>
        <w:t>Other c</w:t>
      </w:r>
      <w:r w:rsidR="009F630C" w:rsidRPr="00D75223">
        <w:rPr>
          <w:rFonts w:ascii="Arial" w:eastAsia="Aptos Narrow" w:hAnsi="Arial" w:cs="Arial"/>
          <w:color w:val="000000" w:themeColor="text1"/>
          <w:sz w:val="24"/>
          <w:szCs w:val="24"/>
        </w:rPr>
        <w:t xml:space="preserve">hanges in working practices </w:t>
      </w:r>
      <w:r w:rsidR="00B51D7A" w:rsidRPr="00D75223">
        <w:rPr>
          <w:rFonts w:ascii="Arial" w:eastAsia="Aptos Narrow" w:hAnsi="Arial" w:cs="Arial"/>
          <w:color w:val="000000" w:themeColor="text1"/>
          <w:sz w:val="24"/>
          <w:szCs w:val="24"/>
        </w:rPr>
        <w:t xml:space="preserve">that </w:t>
      </w:r>
      <w:r w:rsidR="6EA068F4" w:rsidRPr="00D75223">
        <w:rPr>
          <w:rFonts w:ascii="Arial" w:eastAsia="Aptos Narrow" w:hAnsi="Arial" w:cs="Arial"/>
          <w:color w:val="000000" w:themeColor="text1"/>
          <w:sz w:val="24"/>
          <w:szCs w:val="24"/>
        </w:rPr>
        <w:t xml:space="preserve">are not quantifiable but </w:t>
      </w:r>
      <w:r w:rsidR="00B51D7A" w:rsidRPr="00D75223">
        <w:rPr>
          <w:rFonts w:ascii="Arial" w:eastAsia="Aptos Narrow" w:hAnsi="Arial" w:cs="Arial"/>
          <w:color w:val="000000" w:themeColor="text1"/>
          <w:sz w:val="24"/>
          <w:szCs w:val="24"/>
        </w:rPr>
        <w:t>reduce the need for overtime</w:t>
      </w:r>
      <w:r w:rsidR="00244ABA" w:rsidRPr="00D75223">
        <w:rPr>
          <w:rFonts w:ascii="Arial" w:eastAsia="Aptos Narrow" w:hAnsi="Arial" w:cs="Arial"/>
          <w:color w:val="000000" w:themeColor="text1"/>
          <w:sz w:val="24"/>
          <w:szCs w:val="24"/>
        </w:rPr>
        <w:t xml:space="preserve"> </w:t>
      </w:r>
      <w:r w:rsidR="00A11B15" w:rsidRPr="00D75223">
        <w:rPr>
          <w:rFonts w:ascii="Arial" w:eastAsia="Aptos Narrow" w:hAnsi="Arial" w:cs="Arial"/>
          <w:color w:val="000000" w:themeColor="text1"/>
          <w:sz w:val="24"/>
          <w:szCs w:val="24"/>
        </w:rPr>
        <w:t>include (</w:t>
      </w:r>
      <w:r w:rsidR="00244ABA" w:rsidRPr="00D75223">
        <w:rPr>
          <w:rFonts w:ascii="Arial" w:hAnsi="Arial" w:cs="Arial"/>
          <w:sz w:val="24"/>
          <w:szCs w:val="24"/>
        </w:rPr>
        <w:t xml:space="preserve">recurrent </w:t>
      </w:r>
      <w:r w:rsidR="00244ABA" w:rsidRPr="00D75223">
        <w:rPr>
          <w:rFonts w:ascii="Arial" w:eastAsia="Aptos Narrow" w:hAnsi="Arial" w:cs="Arial"/>
          <w:color w:val="000000" w:themeColor="text1"/>
          <w:sz w:val="24"/>
          <w:szCs w:val="24"/>
        </w:rPr>
        <w:t>cashable efficiency saving)</w:t>
      </w:r>
      <w:r w:rsidR="00A11B15" w:rsidRPr="00D75223">
        <w:rPr>
          <w:rFonts w:ascii="Arial" w:eastAsia="Aptos Narrow" w:hAnsi="Arial" w:cs="Arial"/>
          <w:color w:val="000000" w:themeColor="text1"/>
          <w:sz w:val="24"/>
          <w:szCs w:val="24"/>
        </w:rPr>
        <w:t>:</w:t>
      </w:r>
    </w:p>
    <w:p w14:paraId="343745D8" w14:textId="4DD9D828" w:rsidR="6AA6603F" w:rsidRPr="00D75223" w:rsidRDefault="006E36C1" w:rsidP="004A4D56">
      <w:pPr>
        <w:pStyle w:val="ListParagraph"/>
        <w:numPr>
          <w:ilvl w:val="1"/>
          <w:numId w:val="1"/>
        </w:numPr>
        <w:rPr>
          <w:rFonts w:ascii="Arial" w:eastAsia="Aptos Narrow" w:hAnsi="Arial" w:cs="Arial"/>
          <w:color w:val="000000" w:themeColor="text1"/>
          <w:sz w:val="24"/>
          <w:szCs w:val="24"/>
        </w:rPr>
      </w:pPr>
      <w:r w:rsidRPr="00D75223">
        <w:rPr>
          <w:rFonts w:ascii="Arial" w:eastAsia="Aptos Narrow" w:hAnsi="Arial" w:cs="Arial"/>
          <w:color w:val="000000" w:themeColor="text1"/>
          <w:sz w:val="24"/>
          <w:szCs w:val="24"/>
        </w:rPr>
        <w:t xml:space="preserve">Flexible </w:t>
      </w:r>
      <w:r w:rsidR="00D75223">
        <w:rPr>
          <w:rFonts w:ascii="Arial" w:eastAsia="Aptos Narrow" w:hAnsi="Arial" w:cs="Arial"/>
          <w:color w:val="000000" w:themeColor="text1"/>
          <w:sz w:val="24"/>
          <w:szCs w:val="24"/>
        </w:rPr>
        <w:t>a</w:t>
      </w:r>
      <w:r w:rsidRPr="00D75223">
        <w:rPr>
          <w:rFonts w:ascii="Arial" w:eastAsia="Aptos Narrow" w:hAnsi="Arial" w:cs="Arial"/>
          <w:color w:val="000000" w:themeColor="text1"/>
          <w:sz w:val="24"/>
          <w:szCs w:val="24"/>
        </w:rPr>
        <w:t xml:space="preserve">nnual </w:t>
      </w:r>
      <w:r w:rsidR="00D75223">
        <w:rPr>
          <w:rFonts w:ascii="Arial" w:eastAsia="Aptos Narrow" w:hAnsi="Arial" w:cs="Arial"/>
          <w:color w:val="000000" w:themeColor="text1"/>
          <w:sz w:val="24"/>
          <w:szCs w:val="24"/>
        </w:rPr>
        <w:t>l</w:t>
      </w:r>
      <w:r w:rsidRPr="00D75223">
        <w:rPr>
          <w:rFonts w:ascii="Arial" w:eastAsia="Aptos Narrow" w:hAnsi="Arial" w:cs="Arial"/>
          <w:color w:val="000000" w:themeColor="text1"/>
          <w:sz w:val="24"/>
          <w:szCs w:val="24"/>
        </w:rPr>
        <w:t xml:space="preserve">eave pilot for some </w:t>
      </w:r>
      <w:r w:rsidR="007E4543" w:rsidRPr="00D75223">
        <w:rPr>
          <w:rFonts w:ascii="Arial" w:eastAsia="Aptos Narrow" w:hAnsi="Arial" w:cs="Arial"/>
          <w:color w:val="000000" w:themeColor="text1"/>
          <w:sz w:val="24"/>
          <w:szCs w:val="24"/>
        </w:rPr>
        <w:t>wholetime</w:t>
      </w:r>
      <w:r w:rsidRPr="00D75223">
        <w:rPr>
          <w:rFonts w:ascii="Arial" w:eastAsia="Aptos Narrow" w:hAnsi="Arial" w:cs="Arial"/>
          <w:color w:val="000000" w:themeColor="text1"/>
          <w:sz w:val="24"/>
          <w:szCs w:val="24"/>
        </w:rPr>
        <w:t xml:space="preserve"> stations</w:t>
      </w:r>
      <w:r w:rsidR="00A11B15" w:rsidRPr="00D75223">
        <w:rPr>
          <w:rFonts w:ascii="Arial" w:eastAsia="Aptos Narrow" w:hAnsi="Arial" w:cs="Arial"/>
          <w:color w:val="000000" w:themeColor="text1"/>
          <w:sz w:val="24"/>
          <w:szCs w:val="24"/>
        </w:rPr>
        <w:t>.</w:t>
      </w:r>
    </w:p>
    <w:p w14:paraId="37C02072" w14:textId="31B7D47D" w:rsidR="006E36C1" w:rsidRPr="00D75223" w:rsidRDefault="006E36C1" w:rsidP="004A4D56">
      <w:pPr>
        <w:pStyle w:val="ListParagraph"/>
        <w:numPr>
          <w:ilvl w:val="1"/>
          <w:numId w:val="1"/>
        </w:numPr>
        <w:rPr>
          <w:rFonts w:ascii="Arial" w:eastAsia="Aptos Narrow" w:hAnsi="Arial" w:cs="Arial"/>
          <w:color w:val="000000" w:themeColor="text1"/>
          <w:sz w:val="24"/>
          <w:szCs w:val="24"/>
        </w:rPr>
      </w:pPr>
      <w:r w:rsidRPr="00D75223">
        <w:rPr>
          <w:rFonts w:ascii="Arial" w:eastAsia="Aptos Narrow" w:hAnsi="Arial" w:cs="Arial"/>
          <w:color w:val="000000" w:themeColor="text1"/>
          <w:sz w:val="24"/>
          <w:szCs w:val="24"/>
        </w:rPr>
        <w:t>Introduction of case conference meeting</w:t>
      </w:r>
      <w:r w:rsidR="00877845" w:rsidRPr="00D75223">
        <w:rPr>
          <w:rFonts w:ascii="Arial" w:eastAsia="Aptos Narrow" w:hAnsi="Arial" w:cs="Arial"/>
          <w:color w:val="000000" w:themeColor="text1"/>
          <w:sz w:val="24"/>
          <w:szCs w:val="24"/>
        </w:rPr>
        <w:t>s</w:t>
      </w:r>
      <w:r w:rsidRPr="00D75223">
        <w:rPr>
          <w:rFonts w:ascii="Arial" w:eastAsia="Aptos Narrow" w:hAnsi="Arial" w:cs="Arial"/>
          <w:color w:val="000000" w:themeColor="text1"/>
          <w:sz w:val="24"/>
          <w:szCs w:val="24"/>
        </w:rPr>
        <w:t xml:space="preserve"> in respect of absence management leading to improved attendance</w:t>
      </w:r>
      <w:r w:rsidR="00A11B15" w:rsidRPr="00D75223">
        <w:rPr>
          <w:rFonts w:ascii="Arial" w:eastAsia="Aptos Narrow" w:hAnsi="Arial" w:cs="Arial"/>
          <w:color w:val="000000" w:themeColor="text1"/>
          <w:sz w:val="24"/>
          <w:szCs w:val="24"/>
        </w:rPr>
        <w:t>.</w:t>
      </w:r>
    </w:p>
    <w:p w14:paraId="308D59AF" w14:textId="47C57DD3" w:rsidR="00997325" w:rsidRPr="00D75223" w:rsidRDefault="00997325" w:rsidP="00845604">
      <w:pPr>
        <w:pStyle w:val="Heading2"/>
      </w:pPr>
      <w:bookmarkStart w:id="20" w:name="_Toc196988025"/>
      <w:r w:rsidRPr="00D75223">
        <w:t>Premises</w:t>
      </w:r>
      <w:bookmarkEnd w:id="20"/>
    </w:p>
    <w:p w14:paraId="4D670D24" w14:textId="547FFBBE" w:rsidR="003234F8" w:rsidRPr="00D75223" w:rsidRDefault="00116279" w:rsidP="004A4D56">
      <w:pPr>
        <w:pStyle w:val="ListParagraph"/>
        <w:numPr>
          <w:ilvl w:val="0"/>
          <w:numId w:val="5"/>
        </w:numPr>
        <w:rPr>
          <w:rFonts w:ascii="Arial" w:hAnsi="Arial" w:cs="Arial"/>
          <w:sz w:val="24"/>
          <w:szCs w:val="24"/>
        </w:rPr>
      </w:pPr>
      <w:r w:rsidRPr="00D75223">
        <w:rPr>
          <w:rFonts w:ascii="Arial" w:hAnsi="Arial" w:cs="Arial"/>
          <w:sz w:val="24"/>
          <w:szCs w:val="24"/>
        </w:rPr>
        <w:t>Various initiatives</w:t>
      </w:r>
      <w:r w:rsidR="00244ABA" w:rsidRPr="00D75223">
        <w:rPr>
          <w:rFonts w:ascii="Arial" w:hAnsi="Arial" w:cs="Arial"/>
          <w:sz w:val="24"/>
          <w:szCs w:val="24"/>
        </w:rPr>
        <w:t xml:space="preserve"> have been implemented</w:t>
      </w:r>
      <w:r w:rsidRPr="00D75223">
        <w:rPr>
          <w:rFonts w:ascii="Arial" w:hAnsi="Arial" w:cs="Arial"/>
          <w:sz w:val="24"/>
          <w:szCs w:val="24"/>
        </w:rPr>
        <w:t xml:space="preserve"> to reduce our </w:t>
      </w:r>
      <w:r w:rsidR="00871D29" w:rsidRPr="00D75223">
        <w:rPr>
          <w:rFonts w:ascii="Arial" w:hAnsi="Arial" w:cs="Arial"/>
          <w:sz w:val="24"/>
          <w:szCs w:val="24"/>
        </w:rPr>
        <w:t xml:space="preserve">gas and electric </w:t>
      </w:r>
      <w:r w:rsidRPr="00D75223">
        <w:rPr>
          <w:rFonts w:ascii="Arial" w:hAnsi="Arial" w:cs="Arial"/>
          <w:sz w:val="24"/>
          <w:szCs w:val="24"/>
        </w:rPr>
        <w:t>energy consumption</w:t>
      </w:r>
      <w:r w:rsidR="00283765" w:rsidRPr="00D75223">
        <w:rPr>
          <w:rFonts w:ascii="Arial" w:hAnsi="Arial" w:cs="Arial"/>
          <w:sz w:val="24"/>
          <w:szCs w:val="24"/>
        </w:rPr>
        <w:t xml:space="preserve"> </w:t>
      </w:r>
      <w:r w:rsidR="00B600F5" w:rsidRPr="00D75223">
        <w:rPr>
          <w:rFonts w:ascii="Arial" w:hAnsi="Arial" w:cs="Arial"/>
          <w:sz w:val="24"/>
          <w:szCs w:val="24"/>
        </w:rPr>
        <w:t xml:space="preserve">in 2024/25 </w:t>
      </w:r>
      <w:r w:rsidR="00283765" w:rsidRPr="00D75223">
        <w:rPr>
          <w:rFonts w:ascii="Arial" w:hAnsi="Arial" w:cs="Arial"/>
          <w:sz w:val="24"/>
          <w:szCs w:val="24"/>
        </w:rPr>
        <w:t>(</w:t>
      </w:r>
      <w:r w:rsidR="00B600F5" w:rsidRPr="00D75223">
        <w:rPr>
          <w:rFonts w:ascii="Arial" w:hAnsi="Arial" w:cs="Arial"/>
          <w:sz w:val="24"/>
          <w:szCs w:val="24"/>
        </w:rPr>
        <w:t>recurrent c</w:t>
      </w:r>
      <w:r w:rsidR="000A00B2" w:rsidRPr="00D75223">
        <w:rPr>
          <w:rFonts w:ascii="Arial" w:hAnsi="Arial" w:cs="Arial"/>
          <w:sz w:val="24"/>
          <w:szCs w:val="24"/>
        </w:rPr>
        <w:t>ashable efficiency saving</w:t>
      </w:r>
      <w:r w:rsidR="75ABA3CC" w:rsidRPr="00D75223">
        <w:rPr>
          <w:rFonts w:ascii="Arial" w:hAnsi="Arial" w:cs="Arial"/>
          <w:sz w:val="24"/>
          <w:szCs w:val="24"/>
        </w:rPr>
        <w:t xml:space="preserve"> excluding impact of tariff changes</w:t>
      </w:r>
      <w:r w:rsidR="000A00B2" w:rsidRPr="00D75223">
        <w:rPr>
          <w:rFonts w:ascii="Arial" w:hAnsi="Arial" w:cs="Arial"/>
          <w:sz w:val="24"/>
          <w:szCs w:val="24"/>
        </w:rPr>
        <w:t>)</w:t>
      </w:r>
      <w:r w:rsidR="000E5D66">
        <w:rPr>
          <w:rFonts w:ascii="Arial" w:hAnsi="Arial" w:cs="Arial"/>
          <w:sz w:val="24"/>
          <w:szCs w:val="24"/>
        </w:rPr>
        <w:t>:</w:t>
      </w:r>
      <w:r w:rsidR="000A00B2" w:rsidRPr="00D75223">
        <w:rPr>
          <w:rFonts w:ascii="Arial" w:hAnsi="Arial" w:cs="Arial"/>
          <w:sz w:val="24"/>
          <w:szCs w:val="24"/>
        </w:rPr>
        <w:t xml:space="preserve"> £</w:t>
      </w:r>
      <w:r w:rsidR="7E7E06D8" w:rsidRPr="00D75223">
        <w:rPr>
          <w:rFonts w:ascii="Arial" w:hAnsi="Arial" w:cs="Arial"/>
          <w:sz w:val="24"/>
          <w:szCs w:val="24"/>
        </w:rPr>
        <w:t>133,000</w:t>
      </w:r>
      <w:r w:rsidR="005268A4" w:rsidRPr="00D75223">
        <w:rPr>
          <w:rFonts w:ascii="Arial" w:hAnsi="Arial" w:cs="Arial"/>
          <w:sz w:val="24"/>
          <w:szCs w:val="24"/>
        </w:rPr>
        <w:t xml:space="preserve"> including:</w:t>
      </w:r>
    </w:p>
    <w:p w14:paraId="056FF945" w14:textId="640C3419" w:rsidR="003234F8" w:rsidRPr="00D75223" w:rsidRDefault="1411C2E4" w:rsidP="004A4D56">
      <w:pPr>
        <w:pStyle w:val="ListParagraph"/>
        <w:numPr>
          <w:ilvl w:val="1"/>
          <w:numId w:val="5"/>
        </w:numPr>
        <w:rPr>
          <w:rFonts w:ascii="Arial" w:hAnsi="Arial" w:cs="Arial"/>
          <w:sz w:val="24"/>
          <w:szCs w:val="24"/>
        </w:rPr>
      </w:pPr>
      <w:r w:rsidRPr="00D75223">
        <w:rPr>
          <w:rFonts w:ascii="Arial" w:hAnsi="Arial" w:cs="Arial"/>
          <w:sz w:val="24"/>
          <w:szCs w:val="24"/>
        </w:rPr>
        <w:t xml:space="preserve">Transition to </w:t>
      </w:r>
      <w:r w:rsidR="29D4FC76" w:rsidRPr="00D75223">
        <w:rPr>
          <w:rFonts w:ascii="Arial" w:hAnsi="Arial" w:cs="Arial"/>
          <w:sz w:val="24"/>
          <w:szCs w:val="24"/>
        </w:rPr>
        <w:t xml:space="preserve">energy efficient </w:t>
      </w:r>
      <w:r w:rsidR="003234F8" w:rsidRPr="00D75223">
        <w:rPr>
          <w:rFonts w:ascii="Arial" w:hAnsi="Arial" w:cs="Arial"/>
          <w:sz w:val="24"/>
          <w:szCs w:val="24"/>
        </w:rPr>
        <w:t>lighting</w:t>
      </w:r>
      <w:r w:rsidR="23E7D573" w:rsidRPr="00D75223">
        <w:rPr>
          <w:rFonts w:ascii="Arial" w:hAnsi="Arial" w:cs="Arial"/>
          <w:sz w:val="24"/>
          <w:szCs w:val="24"/>
        </w:rPr>
        <w:t xml:space="preserve"> and cooking facilities</w:t>
      </w:r>
      <w:r w:rsidR="005B07E0" w:rsidRPr="00D75223">
        <w:rPr>
          <w:rFonts w:ascii="Arial" w:hAnsi="Arial" w:cs="Arial"/>
          <w:sz w:val="24"/>
          <w:szCs w:val="24"/>
        </w:rPr>
        <w:t>.</w:t>
      </w:r>
    </w:p>
    <w:p w14:paraId="6A727134" w14:textId="5A073856" w:rsidR="008A7D2C" w:rsidRPr="00D75223" w:rsidRDefault="008A7D2C" w:rsidP="004A4D56">
      <w:pPr>
        <w:pStyle w:val="ListParagraph"/>
        <w:numPr>
          <w:ilvl w:val="1"/>
          <w:numId w:val="5"/>
        </w:numPr>
        <w:rPr>
          <w:rFonts w:ascii="Arial" w:hAnsi="Arial" w:cs="Arial"/>
          <w:sz w:val="24"/>
          <w:szCs w:val="24"/>
        </w:rPr>
      </w:pPr>
      <w:r w:rsidRPr="00D75223">
        <w:rPr>
          <w:rFonts w:ascii="Arial" w:hAnsi="Arial" w:cs="Arial"/>
          <w:sz w:val="24"/>
          <w:szCs w:val="24"/>
        </w:rPr>
        <w:t>Upgrading of boilers</w:t>
      </w:r>
      <w:r w:rsidR="00131942" w:rsidRPr="00D75223">
        <w:rPr>
          <w:rFonts w:ascii="Arial" w:hAnsi="Arial" w:cs="Arial"/>
          <w:sz w:val="24"/>
          <w:szCs w:val="24"/>
        </w:rPr>
        <w:t>.</w:t>
      </w:r>
    </w:p>
    <w:p w14:paraId="4E331738" w14:textId="38BF681F" w:rsidR="00254035" w:rsidRPr="00D75223" w:rsidRDefault="00254035" w:rsidP="004A4D56">
      <w:pPr>
        <w:pStyle w:val="ListParagraph"/>
        <w:numPr>
          <w:ilvl w:val="1"/>
          <w:numId w:val="5"/>
        </w:numPr>
        <w:rPr>
          <w:rFonts w:ascii="Arial" w:hAnsi="Arial" w:cs="Arial"/>
          <w:sz w:val="24"/>
          <w:szCs w:val="24"/>
        </w:rPr>
      </w:pPr>
      <w:r w:rsidRPr="00D75223">
        <w:rPr>
          <w:rFonts w:ascii="Arial" w:hAnsi="Arial" w:cs="Arial"/>
          <w:sz w:val="24"/>
          <w:szCs w:val="24"/>
        </w:rPr>
        <w:t xml:space="preserve">Efficient programming of </w:t>
      </w:r>
      <w:r w:rsidR="005354C3" w:rsidRPr="00D75223">
        <w:rPr>
          <w:rFonts w:ascii="Arial" w:hAnsi="Arial" w:cs="Arial"/>
          <w:sz w:val="24"/>
          <w:szCs w:val="24"/>
        </w:rPr>
        <w:t>heating where possible.</w:t>
      </w:r>
    </w:p>
    <w:p w14:paraId="7E22EFF4" w14:textId="46C3413D" w:rsidR="005354C3" w:rsidRPr="00D75223" w:rsidRDefault="00170DF5" w:rsidP="004A4D56">
      <w:pPr>
        <w:pStyle w:val="ListParagraph"/>
        <w:numPr>
          <w:ilvl w:val="1"/>
          <w:numId w:val="5"/>
        </w:numPr>
        <w:rPr>
          <w:rFonts w:ascii="Arial" w:hAnsi="Arial" w:cs="Arial"/>
          <w:sz w:val="24"/>
          <w:szCs w:val="24"/>
        </w:rPr>
      </w:pPr>
      <w:r w:rsidRPr="00D75223">
        <w:rPr>
          <w:rFonts w:ascii="Arial" w:hAnsi="Arial" w:cs="Arial"/>
          <w:sz w:val="24"/>
          <w:szCs w:val="24"/>
        </w:rPr>
        <w:t xml:space="preserve">Efficient use of buildings leading to reduction in </w:t>
      </w:r>
      <w:r w:rsidR="001C6255" w:rsidRPr="00D75223">
        <w:rPr>
          <w:rFonts w:ascii="Arial" w:hAnsi="Arial" w:cs="Arial"/>
          <w:sz w:val="24"/>
          <w:szCs w:val="24"/>
        </w:rPr>
        <w:t>old, outdated</w:t>
      </w:r>
      <w:r w:rsidRPr="00D75223">
        <w:rPr>
          <w:rFonts w:ascii="Arial" w:hAnsi="Arial" w:cs="Arial"/>
          <w:sz w:val="24"/>
          <w:szCs w:val="24"/>
        </w:rPr>
        <w:t xml:space="preserve"> building stock.</w:t>
      </w:r>
    </w:p>
    <w:p w14:paraId="16D16FD2" w14:textId="7CD3F532" w:rsidR="003234F8" w:rsidRPr="00D75223" w:rsidRDefault="5AD830BC" w:rsidP="004A4D56">
      <w:pPr>
        <w:pStyle w:val="ListParagraph"/>
        <w:numPr>
          <w:ilvl w:val="1"/>
          <w:numId w:val="5"/>
        </w:numPr>
        <w:rPr>
          <w:rFonts w:ascii="Arial" w:hAnsi="Arial" w:cs="Arial"/>
          <w:sz w:val="24"/>
          <w:szCs w:val="24"/>
        </w:rPr>
      </w:pPr>
      <w:r w:rsidRPr="00D75223">
        <w:rPr>
          <w:rFonts w:ascii="Arial" w:hAnsi="Arial" w:cs="Arial"/>
          <w:sz w:val="24"/>
          <w:szCs w:val="24"/>
        </w:rPr>
        <w:t>Regular site visits to educate and focus on energy saving opportunities</w:t>
      </w:r>
      <w:r w:rsidR="005B07E0" w:rsidRPr="00D75223">
        <w:rPr>
          <w:rFonts w:ascii="Arial" w:hAnsi="Arial" w:cs="Arial"/>
          <w:sz w:val="24"/>
          <w:szCs w:val="24"/>
        </w:rPr>
        <w:t>.</w:t>
      </w:r>
      <w:r w:rsidR="1ADD9A7B" w:rsidRPr="00D75223">
        <w:rPr>
          <w:rFonts w:ascii="Arial" w:hAnsi="Arial" w:cs="Arial"/>
          <w:sz w:val="24"/>
          <w:szCs w:val="24"/>
        </w:rPr>
        <w:t xml:space="preserve"> </w:t>
      </w:r>
    </w:p>
    <w:p w14:paraId="062D33D2" w14:textId="7DD7D075" w:rsidR="00FB3133" w:rsidRPr="00D75223" w:rsidRDefault="00FB3133" w:rsidP="004A4D56">
      <w:pPr>
        <w:pStyle w:val="ListParagraph"/>
        <w:numPr>
          <w:ilvl w:val="1"/>
          <w:numId w:val="5"/>
        </w:numPr>
        <w:rPr>
          <w:rFonts w:ascii="Arial" w:hAnsi="Arial" w:cs="Arial"/>
          <w:sz w:val="24"/>
          <w:szCs w:val="24"/>
        </w:rPr>
      </w:pPr>
      <w:r w:rsidRPr="00D75223">
        <w:rPr>
          <w:rFonts w:ascii="Arial" w:hAnsi="Arial" w:cs="Arial"/>
          <w:sz w:val="24"/>
          <w:szCs w:val="24"/>
        </w:rPr>
        <w:lastRenderedPageBreak/>
        <w:t>LED lighting upgrades</w:t>
      </w:r>
      <w:r w:rsidR="005B26F3" w:rsidRPr="00D75223">
        <w:rPr>
          <w:rFonts w:ascii="Arial" w:hAnsi="Arial" w:cs="Arial"/>
          <w:sz w:val="24"/>
          <w:szCs w:val="24"/>
        </w:rPr>
        <w:t>.</w:t>
      </w:r>
    </w:p>
    <w:p w14:paraId="4FA2B2D0" w14:textId="6E75A850" w:rsidR="005B26F3" w:rsidRPr="00D75223" w:rsidRDefault="005B26F3" w:rsidP="004A4D56">
      <w:pPr>
        <w:pStyle w:val="ListParagraph"/>
        <w:numPr>
          <w:ilvl w:val="1"/>
          <w:numId w:val="5"/>
        </w:numPr>
        <w:rPr>
          <w:rFonts w:ascii="Arial" w:hAnsi="Arial" w:cs="Arial"/>
          <w:sz w:val="24"/>
          <w:szCs w:val="24"/>
        </w:rPr>
      </w:pPr>
      <w:r w:rsidRPr="00D75223">
        <w:rPr>
          <w:rFonts w:ascii="Arial" w:hAnsi="Arial" w:cs="Arial"/>
          <w:sz w:val="24"/>
          <w:szCs w:val="24"/>
        </w:rPr>
        <w:t>Upgrading some window, doors and whole facades that contribute to loss of heating.</w:t>
      </w:r>
    </w:p>
    <w:p w14:paraId="601E9C1F" w14:textId="7E78F15F" w:rsidR="00997325" w:rsidRPr="00D75223" w:rsidRDefault="00997325" w:rsidP="00845604">
      <w:pPr>
        <w:pStyle w:val="Heading2"/>
      </w:pPr>
      <w:bookmarkStart w:id="21" w:name="_Toc196988026"/>
      <w:r w:rsidRPr="00D75223">
        <w:t>Transport</w:t>
      </w:r>
      <w:bookmarkEnd w:id="21"/>
    </w:p>
    <w:p w14:paraId="13C1B1F1" w14:textId="1EC63DC9" w:rsidR="00802EA8" w:rsidRPr="00D75223" w:rsidRDefault="60ADB83C"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Various </w:t>
      </w:r>
      <w:r w:rsidR="5CB160BD" w:rsidRPr="00D75223">
        <w:rPr>
          <w:rFonts w:ascii="Arial" w:hAnsi="Arial" w:cs="Arial"/>
          <w:sz w:val="24"/>
          <w:szCs w:val="24"/>
        </w:rPr>
        <w:t>efficiency in</w:t>
      </w:r>
      <w:r w:rsidR="2EE6E833" w:rsidRPr="00D75223">
        <w:rPr>
          <w:rFonts w:ascii="Arial" w:hAnsi="Arial" w:cs="Arial"/>
          <w:sz w:val="24"/>
          <w:szCs w:val="24"/>
        </w:rPr>
        <w:t>itiatives with</w:t>
      </w:r>
      <w:r w:rsidR="000E5D66">
        <w:rPr>
          <w:rFonts w:ascii="Arial" w:hAnsi="Arial" w:cs="Arial"/>
          <w:sz w:val="24"/>
          <w:szCs w:val="24"/>
        </w:rPr>
        <w:t>in</w:t>
      </w:r>
      <w:r w:rsidR="2EE6E833" w:rsidRPr="00D75223">
        <w:rPr>
          <w:rFonts w:ascii="Arial" w:hAnsi="Arial" w:cs="Arial"/>
          <w:sz w:val="24"/>
          <w:szCs w:val="24"/>
        </w:rPr>
        <w:t xml:space="preserve"> the </w:t>
      </w:r>
      <w:r w:rsidR="000E5D66">
        <w:rPr>
          <w:rFonts w:ascii="Arial" w:hAnsi="Arial" w:cs="Arial"/>
          <w:sz w:val="24"/>
          <w:szCs w:val="24"/>
        </w:rPr>
        <w:t>f</w:t>
      </w:r>
      <w:r w:rsidR="2EE6E833" w:rsidRPr="00D75223">
        <w:rPr>
          <w:rFonts w:ascii="Arial" w:hAnsi="Arial" w:cs="Arial"/>
          <w:sz w:val="24"/>
          <w:szCs w:val="24"/>
        </w:rPr>
        <w:t xml:space="preserve">leet </w:t>
      </w:r>
      <w:r w:rsidR="2C5C8B80" w:rsidRPr="00D75223">
        <w:rPr>
          <w:rFonts w:ascii="Arial" w:hAnsi="Arial" w:cs="Arial"/>
          <w:sz w:val="24"/>
          <w:szCs w:val="24"/>
        </w:rPr>
        <w:t xml:space="preserve">and </w:t>
      </w:r>
      <w:r w:rsidR="000E5D66">
        <w:rPr>
          <w:rFonts w:ascii="Arial" w:hAnsi="Arial" w:cs="Arial"/>
          <w:sz w:val="24"/>
          <w:szCs w:val="24"/>
        </w:rPr>
        <w:t>e</w:t>
      </w:r>
      <w:r w:rsidR="2C5C8B80" w:rsidRPr="00D75223">
        <w:rPr>
          <w:rFonts w:ascii="Arial" w:hAnsi="Arial" w:cs="Arial"/>
          <w:sz w:val="24"/>
          <w:szCs w:val="24"/>
        </w:rPr>
        <w:t xml:space="preserve">ngineering </w:t>
      </w:r>
      <w:r w:rsidR="2EE6E833" w:rsidRPr="00D75223">
        <w:rPr>
          <w:rFonts w:ascii="Arial" w:hAnsi="Arial" w:cs="Arial"/>
          <w:sz w:val="24"/>
          <w:szCs w:val="24"/>
        </w:rPr>
        <w:t xml:space="preserve">department </w:t>
      </w:r>
      <w:r w:rsidR="021DFD53" w:rsidRPr="00D75223">
        <w:rPr>
          <w:rFonts w:ascii="Arial" w:hAnsi="Arial" w:cs="Arial"/>
          <w:sz w:val="24"/>
          <w:szCs w:val="24"/>
        </w:rPr>
        <w:t>(</w:t>
      </w:r>
      <w:r w:rsidR="0F52FCD5" w:rsidRPr="00D75223">
        <w:rPr>
          <w:rFonts w:ascii="Arial" w:hAnsi="Arial" w:cs="Arial"/>
          <w:sz w:val="24"/>
          <w:szCs w:val="24"/>
        </w:rPr>
        <w:t>non-recurrent c</w:t>
      </w:r>
      <w:r w:rsidR="3F137915" w:rsidRPr="00D75223">
        <w:rPr>
          <w:rFonts w:ascii="Arial" w:hAnsi="Arial" w:cs="Arial"/>
          <w:sz w:val="24"/>
          <w:szCs w:val="24"/>
        </w:rPr>
        <w:t>ashable</w:t>
      </w:r>
      <w:r w:rsidR="021DFD53" w:rsidRPr="00D75223">
        <w:rPr>
          <w:rFonts w:ascii="Arial" w:hAnsi="Arial" w:cs="Arial"/>
          <w:sz w:val="24"/>
          <w:szCs w:val="24"/>
        </w:rPr>
        <w:t xml:space="preserve"> </w:t>
      </w:r>
      <w:r w:rsidR="0A65B30B" w:rsidRPr="00D75223">
        <w:rPr>
          <w:rFonts w:ascii="Arial" w:hAnsi="Arial" w:cs="Arial"/>
          <w:sz w:val="24"/>
          <w:szCs w:val="24"/>
        </w:rPr>
        <w:t>efficiency)</w:t>
      </w:r>
      <w:r w:rsidR="000E5D66">
        <w:rPr>
          <w:rFonts w:ascii="Arial" w:hAnsi="Arial" w:cs="Arial"/>
          <w:sz w:val="24"/>
          <w:szCs w:val="24"/>
        </w:rPr>
        <w:t>:</w:t>
      </w:r>
      <w:r w:rsidR="0A65B30B" w:rsidRPr="00D75223">
        <w:rPr>
          <w:rFonts w:ascii="Arial" w:hAnsi="Arial" w:cs="Arial"/>
          <w:sz w:val="24"/>
          <w:szCs w:val="24"/>
        </w:rPr>
        <w:t xml:space="preserve"> £</w:t>
      </w:r>
      <w:r w:rsidR="63361056" w:rsidRPr="00D75223">
        <w:rPr>
          <w:rFonts w:ascii="Arial" w:hAnsi="Arial" w:cs="Arial"/>
          <w:sz w:val="24"/>
          <w:szCs w:val="24"/>
        </w:rPr>
        <w:t>36</w:t>
      </w:r>
      <w:r w:rsidR="0F52FCD5" w:rsidRPr="00D75223">
        <w:rPr>
          <w:rFonts w:ascii="Arial" w:hAnsi="Arial" w:cs="Arial"/>
          <w:sz w:val="24"/>
          <w:szCs w:val="24"/>
        </w:rPr>
        <w:t>,000</w:t>
      </w:r>
      <w:r w:rsidR="1D07D684" w:rsidRPr="00D75223">
        <w:rPr>
          <w:rFonts w:ascii="Arial" w:hAnsi="Arial" w:cs="Arial"/>
          <w:sz w:val="24"/>
          <w:szCs w:val="24"/>
        </w:rPr>
        <w:t xml:space="preserve"> including</w:t>
      </w:r>
      <w:r w:rsidR="00A11B15" w:rsidRPr="00D75223">
        <w:rPr>
          <w:rFonts w:ascii="Arial" w:hAnsi="Arial" w:cs="Arial"/>
          <w:sz w:val="24"/>
          <w:szCs w:val="24"/>
        </w:rPr>
        <w:t>:</w:t>
      </w:r>
    </w:p>
    <w:p w14:paraId="7D41C7FB" w14:textId="76B4550F" w:rsidR="19C9A89F" w:rsidRPr="00D75223" w:rsidRDefault="1C5C8C0D" w:rsidP="004A4D56">
      <w:pPr>
        <w:pStyle w:val="ListParagraph"/>
        <w:numPr>
          <w:ilvl w:val="1"/>
          <w:numId w:val="5"/>
        </w:numPr>
        <w:rPr>
          <w:rFonts w:ascii="Arial" w:hAnsi="Arial" w:cs="Arial"/>
          <w:sz w:val="24"/>
          <w:szCs w:val="24"/>
        </w:rPr>
      </w:pPr>
      <w:r w:rsidRPr="00D75223">
        <w:rPr>
          <w:rFonts w:ascii="Arial" w:hAnsi="Arial" w:cs="Arial"/>
          <w:sz w:val="24"/>
          <w:szCs w:val="24"/>
        </w:rPr>
        <w:t xml:space="preserve">Beaver tail collection vehicle reduces emissions, saves costs, </w:t>
      </w:r>
      <w:r w:rsidR="00253C06">
        <w:rPr>
          <w:rFonts w:ascii="Arial" w:hAnsi="Arial" w:cs="Arial"/>
          <w:sz w:val="24"/>
          <w:szCs w:val="24"/>
        </w:rPr>
        <w:t xml:space="preserve">and </w:t>
      </w:r>
      <w:r w:rsidRPr="00D75223">
        <w:rPr>
          <w:rFonts w:ascii="Arial" w:hAnsi="Arial" w:cs="Arial"/>
          <w:sz w:val="24"/>
          <w:szCs w:val="24"/>
        </w:rPr>
        <w:t>minimi</w:t>
      </w:r>
      <w:r w:rsidR="000E5D66">
        <w:rPr>
          <w:rFonts w:ascii="Arial" w:hAnsi="Arial" w:cs="Arial"/>
          <w:sz w:val="24"/>
          <w:szCs w:val="24"/>
        </w:rPr>
        <w:t>s</w:t>
      </w:r>
      <w:r w:rsidRPr="00D75223">
        <w:rPr>
          <w:rFonts w:ascii="Arial" w:hAnsi="Arial" w:cs="Arial"/>
          <w:sz w:val="24"/>
          <w:szCs w:val="24"/>
        </w:rPr>
        <w:t>es</w:t>
      </w:r>
      <w:r w:rsidR="00253C06">
        <w:rPr>
          <w:rFonts w:ascii="Arial" w:hAnsi="Arial" w:cs="Arial"/>
          <w:sz w:val="24"/>
          <w:szCs w:val="24"/>
        </w:rPr>
        <w:t xml:space="preserve"> the</w:t>
      </w:r>
      <w:r w:rsidRPr="00D75223">
        <w:rPr>
          <w:rFonts w:ascii="Arial" w:hAnsi="Arial" w:cs="Arial"/>
          <w:sz w:val="24"/>
          <w:szCs w:val="24"/>
        </w:rPr>
        <w:t xml:space="preserve"> </w:t>
      </w:r>
      <w:r w:rsidR="39A5140F" w:rsidRPr="00D75223">
        <w:rPr>
          <w:rFonts w:ascii="Arial" w:hAnsi="Arial" w:cs="Arial"/>
          <w:sz w:val="24"/>
          <w:szCs w:val="24"/>
        </w:rPr>
        <w:t>number of people required by</w:t>
      </w:r>
      <w:r w:rsidRPr="00D75223">
        <w:rPr>
          <w:rFonts w:ascii="Arial" w:hAnsi="Arial" w:cs="Arial"/>
          <w:sz w:val="24"/>
          <w:szCs w:val="24"/>
        </w:rPr>
        <w:t xml:space="preserve"> enabl</w:t>
      </w:r>
      <w:r w:rsidR="06B9056D" w:rsidRPr="00D75223">
        <w:rPr>
          <w:rFonts w:ascii="Arial" w:hAnsi="Arial" w:cs="Arial"/>
          <w:sz w:val="24"/>
          <w:szCs w:val="24"/>
        </w:rPr>
        <w:t>ing</w:t>
      </w:r>
      <w:r w:rsidRPr="00D75223">
        <w:rPr>
          <w:rFonts w:ascii="Arial" w:hAnsi="Arial" w:cs="Arial"/>
          <w:sz w:val="24"/>
          <w:szCs w:val="24"/>
        </w:rPr>
        <w:t xml:space="preserve"> one person to collect two vehicles.</w:t>
      </w:r>
      <w:r w:rsidR="7F2AE5A8" w:rsidRPr="00D75223">
        <w:rPr>
          <w:rFonts w:ascii="Arial" w:hAnsi="Arial" w:cs="Arial"/>
          <w:sz w:val="24"/>
          <w:szCs w:val="24"/>
        </w:rPr>
        <w:t xml:space="preserve"> </w:t>
      </w:r>
    </w:p>
    <w:p w14:paraId="4906692E" w14:textId="019CD633" w:rsidR="19C9A89F" w:rsidRPr="00D75223" w:rsidRDefault="252C122B" w:rsidP="004A4D56">
      <w:pPr>
        <w:pStyle w:val="ListParagraph"/>
        <w:numPr>
          <w:ilvl w:val="1"/>
          <w:numId w:val="5"/>
        </w:numPr>
        <w:rPr>
          <w:rFonts w:ascii="Arial" w:hAnsi="Arial" w:cs="Arial"/>
          <w:sz w:val="24"/>
          <w:szCs w:val="24"/>
        </w:rPr>
      </w:pPr>
      <w:r w:rsidRPr="00D75223">
        <w:rPr>
          <w:rFonts w:ascii="Arial" w:hAnsi="Arial" w:cs="Arial"/>
          <w:sz w:val="24"/>
          <w:szCs w:val="24"/>
        </w:rPr>
        <w:t>T</w:t>
      </w:r>
      <w:r w:rsidR="6D3F808E" w:rsidRPr="00D75223">
        <w:rPr>
          <w:rFonts w:ascii="Arial" w:hAnsi="Arial" w:cs="Arial"/>
          <w:sz w:val="24"/>
          <w:szCs w:val="24"/>
        </w:rPr>
        <w:t>wo in-house mobile technicians</w:t>
      </w:r>
      <w:r w:rsidR="65EE5386" w:rsidRPr="00D75223">
        <w:rPr>
          <w:rFonts w:ascii="Arial" w:hAnsi="Arial" w:cs="Arial"/>
          <w:sz w:val="24"/>
          <w:szCs w:val="24"/>
        </w:rPr>
        <w:t xml:space="preserve"> employed</w:t>
      </w:r>
      <w:r w:rsidR="6D3F808E" w:rsidRPr="00D75223">
        <w:rPr>
          <w:rFonts w:ascii="Arial" w:hAnsi="Arial" w:cs="Arial"/>
          <w:sz w:val="24"/>
          <w:szCs w:val="24"/>
        </w:rPr>
        <w:t>, reduc</w:t>
      </w:r>
      <w:r w:rsidR="00253C06">
        <w:rPr>
          <w:rFonts w:ascii="Arial" w:hAnsi="Arial" w:cs="Arial"/>
          <w:sz w:val="24"/>
          <w:szCs w:val="24"/>
        </w:rPr>
        <w:t>ing</w:t>
      </w:r>
      <w:r w:rsidR="6D3F808E" w:rsidRPr="00D75223">
        <w:rPr>
          <w:rFonts w:ascii="Arial" w:hAnsi="Arial" w:cs="Arial"/>
          <w:sz w:val="24"/>
          <w:szCs w:val="24"/>
        </w:rPr>
        <w:t xml:space="preserve"> green emissions, cost saving </w:t>
      </w:r>
      <w:r w:rsidR="1EE67D70" w:rsidRPr="00D75223">
        <w:rPr>
          <w:rFonts w:ascii="Arial" w:hAnsi="Arial" w:cs="Arial"/>
          <w:sz w:val="24"/>
          <w:szCs w:val="24"/>
        </w:rPr>
        <w:t>compared to</w:t>
      </w:r>
      <w:r w:rsidR="6D3F808E" w:rsidRPr="00D75223">
        <w:rPr>
          <w:rFonts w:ascii="Arial" w:hAnsi="Arial" w:cs="Arial"/>
          <w:sz w:val="24"/>
          <w:szCs w:val="24"/>
        </w:rPr>
        <w:t xml:space="preserve"> third party repairs, along with saving</w:t>
      </w:r>
      <w:r w:rsidR="7A6ECAC9" w:rsidRPr="00D75223">
        <w:rPr>
          <w:rFonts w:ascii="Arial" w:hAnsi="Arial" w:cs="Arial"/>
          <w:sz w:val="24"/>
          <w:szCs w:val="24"/>
        </w:rPr>
        <w:t>s</w:t>
      </w:r>
      <w:r w:rsidR="6D3F808E" w:rsidRPr="00D75223">
        <w:rPr>
          <w:rFonts w:ascii="Arial" w:hAnsi="Arial" w:cs="Arial"/>
          <w:sz w:val="24"/>
          <w:szCs w:val="24"/>
        </w:rPr>
        <w:t xml:space="preserve"> in time a</w:t>
      </w:r>
      <w:r w:rsidR="745A23BF" w:rsidRPr="00D75223">
        <w:rPr>
          <w:rFonts w:ascii="Arial" w:hAnsi="Arial" w:cs="Arial"/>
          <w:sz w:val="24"/>
          <w:szCs w:val="24"/>
        </w:rPr>
        <w:t>s</w:t>
      </w:r>
      <w:r w:rsidR="6D3F808E" w:rsidRPr="00D75223">
        <w:rPr>
          <w:rFonts w:ascii="Arial" w:hAnsi="Arial" w:cs="Arial"/>
          <w:sz w:val="24"/>
          <w:szCs w:val="24"/>
        </w:rPr>
        <w:t xml:space="preserve"> more efficient to carry out repairs on station</w:t>
      </w:r>
      <w:r w:rsidR="1A873B5E" w:rsidRPr="00D75223">
        <w:rPr>
          <w:rFonts w:ascii="Arial" w:hAnsi="Arial" w:cs="Arial"/>
          <w:sz w:val="24"/>
          <w:szCs w:val="24"/>
        </w:rPr>
        <w:t>.</w:t>
      </w:r>
    </w:p>
    <w:p w14:paraId="7890554B" w14:textId="2BD83DAD" w:rsidR="005B4B0A" w:rsidRPr="00D75223" w:rsidRDefault="00235CDA"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Bulk fuel and fuel cards </w:t>
      </w:r>
      <w:r w:rsidR="00B8644B" w:rsidRPr="00D75223">
        <w:rPr>
          <w:rFonts w:ascii="Arial" w:hAnsi="Arial" w:cs="Arial"/>
          <w:sz w:val="24"/>
          <w:szCs w:val="24"/>
        </w:rPr>
        <w:t>p</w:t>
      </w:r>
      <w:r w:rsidR="005B4B0A" w:rsidRPr="00D75223">
        <w:rPr>
          <w:rFonts w:ascii="Arial" w:hAnsi="Arial" w:cs="Arial"/>
          <w:sz w:val="24"/>
          <w:szCs w:val="24"/>
        </w:rPr>
        <w:t xml:space="preserve">rocurement </w:t>
      </w:r>
      <w:r w:rsidR="00B8644B" w:rsidRPr="00D75223">
        <w:rPr>
          <w:rFonts w:ascii="Arial" w:hAnsi="Arial" w:cs="Arial"/>
          <w:sz w:val="24"/>
          <w:szCs w:val="24"/>
        </w:rPr>
        <w:t>s</w:t>
      </w:r>
      <w:r w:rsidR="005B4B0A" w:rsidRPr="00D75223">
        <w:rPr>
          <w:rFonts w:ascii="Arial" w:hAnsi="Arial" w:cs="Arial"/>
          <w:sz w:val="24"/>
          <w:szCs w:val="24"/>
        </w:rPr>
        <w:t>avings</w:t>
      </w:r>
      <w:r w:rsidR="00423AF9" w:rsidRPr="00D75223">
        <w:rPr>
          <w:rFonts w:ascii="Arial" w:hAnsi="Arial" w:cs="Arial"/>
          <w:sz w:val="24"/>
          <w:szCs w:val="24"/>
        </w:rPr>
        <w:t xml:space="preserve"> (</w:t>
      </w:r>
      <w:r w:rsidR="00122677" w:rsidRPr="00D75223">
        <w:rPr>
          <w:rFonts w:ascii="Arial" w:hAnsi="Arial" w:cs="Arial"/>
          <w:sz w:val="24"/>
          <w:szCs w:val="24"/>
        </w:rPr>
        <w:t>recurrent c</w:t>
      </w:r>
      <w:r w:rsidR="00423AF9" w:rsidRPr="00D75223">
        <w:rPr>
          <w:rFonts w:ascii="Arial" w:hAnsi="Arial" w:cs="Arial"/>
          <w:sz w:val="24"/>
          <w:szCs w:val="24"/>
        </w:rPr>
        <w:t>ashable efficiency)</w:t>
      </w:r>
      <w:r w:rsidR="00122677" w:rsidRPr="00D75223">
        <w:rPr>
          <w:rFonts w:ascii="Arial" w:hAnsi="Arial" w:cs="Arial"/>
          <w:sz w:val="24"/>
          <w:szCs w:val="24"/>
        </w:rPr>
        <w:t>:</w:t>
      </w:r>
      <w:r w:rsidR="0013007A" w:rsidRPr="00D75223">
        <w:rPr>
          <w:rFonts w:ascii="Arial" w:hAnsi="Arial" w:cs="Arial"/>
          <w:sz w:val="24"/>
          <w:szCs w:val="24"/>
        </w:rPr>
        <w:t xml:space="preserve"> £</w:t>
      </w:r>
      <w:r w:rsidR="00122677" w:rsidRPr="00D75223">
        <w:rPr>
          <w:rFonts w:ascii="Arial" w:hAnsi="Arial" w:cs="Arial"/>
          <w:sz w:val="24"/>
          <w:szCs w:val="24"/>
        </w:rPr>
        <w:t>5,000</w:t>
      </w:r>
      <w:r w:rsidR="0013007A" w:rsidRPr="00D75223">
        <w:rPr>
          <w:rFonts w:ascii="Arial" w:hAnsi="Arial" w:cs="Arial"/>
          <w:sz w:val="24"/>
          <w:szCs w:val="24"/>
        </w:rPr>
        <w:t>.</w:t>
      </w:r>
    </w:p>
    <w:p w14:paraId="165F8089" w14:textId="1D9CAC89" w:rsidR="67214BE0" w:rsidRPr="00D75223" w:rsidRDefault="1393B171" w:rsidP="004A4D56">
      <w:pPr>
        <w:pStyle w:val="ListParagraph"/>
        <w:numPr>
          <w:ilvl w:val="0"/>
          <w:numId w:val="5"/>
        </w:numPr>
        <w:rPr>
          <w:rFonts w:ascii="Arial" w:hAnsi="Arial" w:cs="Arial"/>
          <w:sz w:val="24"/>
          <w:szCs w:val="24"/>
        </w:rPr>
      </w:pPr>
      <w:r w:rsidRPr="00D75223">
        <w:rPr>
          <w:rFonts w:ascii="Arial" w:hAnsi="Arial" w:cs="Arial"/>
          <w:sz w:val="24"/>
          <w:szCs w:val="24"/>
        </w:rPr>
        <w:t>O</w:t>
      </w:r>
      <w:r w:rsidR="5FA107BF" w:rsidRPr="00D75223">
        <w:rPr>
          <w:rFonts w:ascii="Arial" w:hAnsi="Arial" w:cs="Arial"/>
          <w:sz w:val="24"/>
          <w:szCs w:val="24"/>
        </w:rPr>
        <w:t xml:space="preserve">ngoing investment in </w:t>
      </w:r>
      <w:r w:rsidR="00253C06">
        <w:rPr>
          <w:rFonts w:ascii="Arial" w:hAnsi="Arial" w:cs="Arial"/>
          <w:sz w:val="24"/>
          <w:szCs w:val="24"/>
        </w:rPr>
        <w:t>h</w:t>
      </w:r>
      <w:r w:rsidR="5FA107BF" w:rsidRPr="00D75223">
        <w:rPr>
          <w:rFonts w:ascii="Arial" w:hAnsi="Arial" w:cs="Arial"/>
          <w:sz w:val="24"/>
          <w:szCs w:val="24"/>
        </w:rPr>
        <w:t>ybrid vehicles for officers, providing better fuel economy and a positive impact on the environment</w:t>
      </w:r>
      <w:r w:rsidR="59A156F9" w:rsidRPr="00D75223">
        <w:rPr>
          <w:rFonts w:ascii="Arial" w:hAnsi="Arial" w:cs="Arial"/>
          <w:sz w:val="24"/>
          <w:szCs w:val="24"/>
        </w:rPr>
        <w:t>.</w:t>
      </w:r>
      <w:r w:rsidR="00A11B15" w:rsidRPr="00D75223">
        <w:rPr>
          <w:rFonts w:ascii="Arial" w:hAnsi="Arial" w:cs="Arial"/>
          <w:sz w:val="24"/>
          <w:szCs w:val="24"/>
        </w:rPr>
        <w:t xml:space="preserve"> These savings have not been quantified.</w:t>
      </w:r>
    </w:p>
    <w:p w14:paraId="1D6857DE" w14:textId="4F045E95" w:rsidR="00997325" w:rsidRPr="00D75223" w:rsidRDefault="00997325" w:rsidP="00845604">
      <w:pPr>
        <w:pStyle w:val="Heading2"/>
      </w:pPr>
      <w:bookmarkStart w:id="22" w:name="_Toc196988027"/>
      <w:r w:rsidRPr="00D75223">
        <w:t xml:space="preserve">Supplies and </w:t>
      </w:r>
      <w:r w:rsidR="008D3B07">
        <w:t>s</w:t>
      </w:r>
      <w:r w:rsidRPr="00D75223">
        <w:t>ervices</w:t>
      </w:r>
      <w:bookmarkEnd w:id="22"/>
    </w:p>
    <w:p w14:paraId="28F8BAFF" w14:textId="5CF3EC03" w:rsidR="00433036" w:rsidRPr="00D75223" w:rsidRDefault="006E36C1" w:rsidP="004A4D56">
      <w:pPr>
        <w:pStyle w:val="ListParagraph"/>
        <w:numPr>
          <w:ilvl w:val="0"/>
          <w:numId w:val="1"/>
        </w:numPr>
        <w:rPr>
          <w:rFonts w:ascii="Arial" w:eastAsia="Aptos Narrow" w:hAnsi="Arial" w:cs="Arial"/>
          <w:color w:val="000000" w:themeColor="text1"/>
          <w:sz w:val="24"/>
          <w:szCs w:val="24"/>
        </w:rPr>
      </w:pPr>
      <w:r w:rsidRPr="00D75223">
        <w:rPr>
          <w:rFonts w:ascii="Arial" w:eastAsia="Aptos Narrow" w:hAnsi="Arial" w:cs="Arial"/>
          <w:color w:val="000000" w:themeColor="text1"/>
          <w:sz w:val="24"/>
          <w:szCs w:val="24"/>
        </w:rPr>
        <w:t>Learn</w:t>
      </w:r>
      <w:r w:rsidR="00253C06">
        <w:rPr>
          <w:rFonts w:ascii="Arial" w:eastAsia="Aptos Narrow" w:hAnsi="Arial" w:cs="Arial"/>
          <w:color w:val="000000" w:themeColor="text1"/>
          <w:sz w:val="24"/>
          <w:szCs w:val="24"/>
        </w:rPr>
        <w:t>ing and d</w:t>
      </w:r>
      <w:r w:rsidRPr="00D75223">
        <w:rPr>
          <w:rFonts w:ascii="Arial" w:eastAsia="Aptos Narrow" w:hAnsi="Arial" w:cs="Arial"/>
          <w:color w:val="000000" w:themeColor="text1"/>
          <w:sz w:val="24"/>
          <w:szCs w:val="24"/>
        </w:rPr>
        <w:t xml:space="preserve">evelopment sessions delivered in collaboration with Blue Light Partners where the cost of events </w:t>
      </w:r>
      <w:r w:rsidR="00253C06">
        <w:rPr>
          <w:rFonts w:ascii="Arial" w:eastAsia="Aptos Narrow" w:hAnsi="Arial" w:cs="Arial"/>
          <w:color w:val="000000" w:themeColor="text1"/>
          <w:sz w:val="24"/>
          <w:szCs w:val="24"/>
        </w:rPr>
        <w:t>wa</w:t>
      </w:r>
      <w:r w:rsidRPr="00D75223">
        <w:rPr>
          <w:rFonts w:ascii="Arial" w:eastAsia="Aptos Narrow" w:hAnsi="Arial" w:cs="Arial"/>
          <w:color w:val="000000" w:themeColor="text1"/>
          <w:sz w:val="24"/>
          <w:szCs w:val="24"/>
        </w:rPr>
        <w:t>s shared</w:t>
      </w:r>
      <w:r w:rsidR="00433036" w:rsidRPr="00D75223">
        <w:rPr>
          <w:rFonts w:ascii="Arial" w:eastAsia="Aptos Narrow" w:hAnsi="Arial" w:cs="Arial"/>
          <w:color w:val="000000" w:themeColor="text1"/>
          <w:sz w:val="24"/>
          <w:szCs w:val="24"/>
        </w:rPr>
        <w:t xml:space="preserve"> (</w:t>
      </w:r>
      <w:r w:rsidR="00C717AC" w:rsidRPr="00D75223">
        <w:rPr>
          <w:rFonts w:ascii="Arial" w:eastAsia="Aptos Narrow" w:hAnsi="Arial" w:cs="Arial"/>
          <w:color w:val="000000" w:themeColor="text1"/>
          <w:sz w:val="24"/>
          <w:szCs w:val="24"/>
        </w:rPr>
        <w:t xml:space="preserve">recurrent </w:t>
      </w:r>
      <w:r w:rsidR="00433036" w:rsidRPr="00D75223">
        <w:rPr>
          <w:rFonts w:ascii="Arial" w:eastAsia="Aptos Narrow" w:hAnsi="Arial" w:cs="Arial"/>
          <w:color w:val="000000" w:themeColor="text1"/>
          <w:sz w:val="24"/>
          <w:szCs w:val="24"/>
        </w:rPr>
        <w:t>cashable efficiency saving)</w:t>
      </w:r>
      <w:r w:rsidR="00C717AC" w:rsidRPr="00D75223">
        <w:rPr>
          <w:rFonts w:ascii="Arial" w:eastAsia="Aptos Narrow" w:hAnsi="Arial" w:cs="Arial"/>
          <w:color w:val="000000" w:themeColor="text1"/>
          <w:sz w:val="24"/>
          <w:szCs w:val="24"/>
        </w:rPr>
        <w:t>:</w:t>
      </w:r>
      <w:r w:rsidR="00433036" w:rsidRPr="00D75223">
        <w:rPr>
          <w:rFonts w:ascii="Arial" w:eastAsia="Aptos Narrow" w:hAnsi="Arial" w:cs="Arial"/>
          <w:color w:val="000000" w:themeColor="text1"/>
          <w:sz w:val="24"/>
          <w:szCs w:val="24"/>
        </w:rPr>
        <w:t xml:space="preserve"> £</w:t>
      </w:r>
      <w:r w:rsidR="7CA97E7C" w:rsidRPr="00D75223">
        <w:rPr>
          <w:rFonts w:ascii="Arial" w:eastAsia="Aptos Narrow" w:hAnsi="Arial" w:cs="Arial"/>
          <w:color w:val="000000" w:themeColor="text1"/>
          <w:sz w:val="24"/>
          <w:szCs w:val="24"/>
        </w:rPr>
        <w:t>4</w:t>
      </w:r>
      <w:r w:rsidR="00C717AC" w:rsidRPr="00D75223">
        <w:rPr>
          <w:rFonts w:ascii="Arial" w:eastAsia="Aptos Narrow" w:hAnsi="Arial" w:cs="Arial"/>
          <w:color w:val="000000" w:themeColor="text1"/>
          <w:sz w:val="24"/>
          <w:szCs w:val="24"/>
        </w:rPr>
        <w:t>,000</w:t>
      </w:r>
      <w:r w:rsidR="7CA97E7C" w:rsidRPr="00D75223">
        <w:rPr>
          <w:rFonts w:ascii="Arial" w:eastAsia="Aptos Narrow" w:hAnsi="Arial" w:cs="Arial"/>
          <w:color w:val="000000" w:themeColor="text1"/>
          <w:sz w:val="24"/>
          <w:szCs w:val="24"/>
        </w:rPr>
        <w:t>.</w:t>
      </w:r>
    </w:p>
    <w:p w14:paraId="75DF6B0B" w14:textId="7387B245" w:rsidR="00997325" w:rsidRPr="00D75223" w:rsidRDefault="00997325" w:rsidP="00845604">
      <w:pPr>
        <w:pStyle w:val="Heading2"/>
      </w:pPr>
      <w:bookmarkStart w:id="23" w:name="_Toc196988028"/>
      <w:r w:rsidRPr="00D75223">
        <w:t xml:space="preserve">Future </w:t>
      </w:r>
      <w:r w:rsidR="008D3B07">
        <w:t>e</w:t>
      </w:r>
      <w:r w:rsidRPr="00D75223">
        <w:t>fficiencies</w:t>
      </w:r>
      <w:bookmarkEnd w:id="23"/>
    </w:p>
    <w:p w14:paraId="37B8C203" w14:textId="385C2A17" w:rsidR="00675F82" w:rsidRPr="00D75223" w:rsidRDefault="00675F82" w:rsidP="004A4D56">
      <w:pPr>
        <w:rPr>
          <w:rFonts w:ascii="Arial" w:hAnsi="Arial" w:cs="Arial"/>
          <w:sz w:val="24"/>
          <w:szCs w:val="24"/>
        </w:rPr>
      </w:pPr>
      <w:r w:rsidRPr="00D75223">
        <w:rPr>
          <w:rFonts w:ascii="Arial" w:hAnsi="Arial" w:cs="Arial"/>
          <w:sz w:val="24"/>
          <w:szCs w:val="24"/>
        </w:rPr>
        <w:t xml:space="preserve">Various initiatives </w:t>
      </w:r>
      <w:r w:rsidR="003B32D1" w:rsidRPr="00D75223">
        <w:rPr>
          <w:rFonts w:ascii="Arial" w:hAnsi="Arial" w:cs="Arial"/>
          <w:sz w:val="24"/>
          <w:szCs w:val="24"/>
        </w:rPr>
        <w:t>commencing in 2025/26</w:t>
      </w:r>
      <w:r w:rsidRPr="00D75223">
        <w:rPr>
          <w:rFonts w:ascii="Arial" w:hAnsi="Arial" w:cs="Arial"/>
          <w:sz w:val="24"/>
          <w:szCs w:val="24"/>
        </w:rPr>
        <w:t>:</w:t>
      </w:r>
    </w:p>
    <w:p w14:paraId="171A7C96" w14:textId="3B94FA18" w:rsidR="00997325" w:rsidRPr="00D75223" w:rsidRDefault="58CA669E" w:rsidP="004A4D56">
      <w:pPr>
        <w:pStyle w:val="ListParagraph"/>
        <w:numPr>
          <w:ilvl w:val="0"/>
          <w:numId w:val="5"/>
        </w:numPr>
        <w:shd w:val="clear" w:color="auto" w:fill="FFFFFF" w:themeFill="background1"/>
        <w:spacing w:after="0"/>
        <w:rPr>
          <w:rFonts w:ascii="Arial" w:hAnsi="Arial" w:cs="Arial"/>
          <w:sz w:val="24"/>
          <w:szCs w:val="24"/>
        </w:rPr>
      </w:pPr>
      <w:r w:rsidRPr="00D75223">
        <w:rPr>
          <w:rFonts w:ascii="Arial" w:eastAsia="Times New Roman" w:hAnsi="Arial" w:cs="Arial"/>
          <w:color w:val="000000" w:themeColor="text1"/>
          <w:sz w:val="24"/>
          <w:szCs w:val="24"/>
        </w:rPr>
        <w:t xml:space="preserve">The investment in </w:t>
      </w:r>
      <w:r w:rsidR="00253C06">
        <w:rPr>
          <w:rFonts w:ascii="Arial" w:eastAsia="Times New Roman" w:hAnsi="Arial" w:cs="Arial"/>
          <w:color w:val="000000" w:themeColor="text1"/>
          <w:sz w:val="24"/>
          <w:szCs w:val="24"/>
        </w:rPr>
        <w:t>a</w:t>
      </w:r>
      <w:r w:rsidRPr="00D75223">
        <w:rPr>
          <w:rFonts w:ascii="Arial" w:eastAsia="Times New Roman" w:hAnsi="Arial" w:cs="Arial"/>
          <w:color w:val="000000" w:themeColor="text1"/>
          <w:sz w:val="24"/>
          <w:szCs w:val="24"/>
        </w:rPr>
        <w:t xml:space="preserve"> </w:t>
      </w:r>
      <w:r w:rsidR="00253C06">
        <w:rPr>
          <w:rFonts w:ascii="Arial" w:eastAsia="Times New Roman" w:hAnsi="Arial" w:cs="Arial"/>
          <w:color w:val="000000" w:themeColor="text1"/>
          <w:sz w:val="24"/>
          <w:szCs w:val="24"/>
        </w:rPr>
        <w:t>d</w:t>
      </w:r>
      <w:r w:rsidRPr="00D75223">
        <w:rPr>
          <w:rFonts w:ascii="Arial" w:eastAsia="Times New Roman" w:hAnsi="Arial" w:cs="Arial"/>
          <w:color w:val="000000" w:themeColor="text1"/>
          <w:sz w:val="24"/>
          <w:szCs w:val="24"/>
        </w:rPr>
        <w:t xml:space="preserve">ynamic </w:t>
      </w:r>
      <w:r w:rsidR="00253C06">
        <w:rPr>
          <w:rFonts w:ascii="Arial" w:eastAsia="Times New Roman" w:hAnsi="Arial" w:cs="Arial"/>
          <w:color w:val="000000" w:themeColor="text1"/>
          <w:sz w:val="24"/>
          <w:szCs w:val="24"/>
        </w:rPr>
        <w:t>c</w:t>
      </w:r>
      <w:r w:rsidRPr="00D75223">
        <w:rPr>
          <w:rFonts w:ascii="Arial" w:eastAsia="Times New Roman" w:hAnsi="Arial" w:cs="Arial"/>
          <w:color w:val="000000" w:themeColor="text1"/>
          <w:sz w:val="24"/>
          <w:szCs w:val="24"/>
        </w:rPr>
        <w:t xml:space="preserve">over tool </w:t>
      </w:r>
      <w:r w:rsidR="00253C06">
        <w:rPr>
          <w:rFonts w:ascii="Arial" w:eastAsia="Times New Roman" w:hAnsi="Arial" w:cs="Arial"/>
          <w:color w:val="000000" w:themeColor="text1"/>
          <w:sz w:val="24"/>
          <w:szCs w:val="24"/>
        </w:rPr>
        <w:t xml:space="preserve">(DCT) </w:t>
      </w:r>
      <w:r w:rsidRPr="00D75223">
        <w:rPr>
          <w:rFonts w:ascii="Arial" w:eastAsia="Times New Roman" w:hAnsi="Arial" w:cs="Arial"/>
          <w:color w:val="000000" w:themeColor="text1"/>
          <w:sz w:val="24"/>
          <w:szCs w:val="24"/>
        </w:rPr>
        <w:t xml:space="preserve">identifies where </w:t>
      </w:r>
      <w:r w:rsidR="5ECB8D96" w:rsidRPr="00D75223">
        <w:rPr>
          <w:rFonts w:ascii="Arial" w:eastAsia="Times New Roman" w:hAnsi="Arial" w:cs="Arial"/>
          <w:color w:val="000000" w:themeColor="text1"/>
          <w:sz w:val="24"/>
          <w:szCs w:val="24"/>
        </w:rPr>
        <w:t xml:space="preserve">emergency </w:t>
      </w:r>
      <w:r w:rsidRPr="00D75223">
        <w:rPr>
          <w:rFonts w:ascii="Arial" w:eastAsia="Times New Roman" w:hAnsi="Arial" w:cs="Arial"/>
          <w:color w:val="000000" w:themeColor="text1"/>
          <w:sz w:val="24"/>
          <w:szCs w:val="24"/>
        </w:rPr>
        <w:t>cover is needed based on real</w:t>
      </w:r>
      <w:r w:rsidR="00253C06">
        <w:rPr>
          <w:rFonts w:ascii="Arial" w:eastAsia="Times New Roman" w:hAnsi="Arial" w:cs="Arial"/>
          <w:color w:val="000000" w:themeColor="text1"/>
          <w:sz w:val="24"/>
          <w:szCs w:val="24"/>
        </w:rPr>
        <w:t>-</w:t>
      </w:r>
      <w:r w:rsidRPr="00D75223">
        <w:rPr>
          <w:rFonts w:ascii="Arial" w:eastAsia="Times New Roman" w:hAnsi="Arial" w:cs="Arial"/>
          <w:color w:val="000000" w:themeColor="text1"/>
          <w:sz w:val="24"/>
          <w:szCs w:val="24"/>
        </w:rPr>
        <w:t xml:space="preserve">time appliance locations </w:t>
      </w:r>
      <w:r w:rsidR="18495226" w:rsidRPr="00D75223">
        <w:rPr>
          <w:rFonts w:ascii="Arial" w:eastAsia="Times New Roman" w:hAnsi="Arial" w:cs="Arial"/>
          <w:color w:val="000000" w:themeColor="text1"/>
          <w:sz w:val="24"/>
          <w:szCs w:val="24"/>
        </w:rPr>
        <w:t xml:space="preserve">and current demand, </w:t>
      </w:r>
      <w:r w:rsidRPr="00D75223">
        <w:rPr>
          <w:rFonts w:ascii="Arial" w:eastAsia="Times New Roman" w:hAnsi="Arial" w:cs="Arial"/>
          <w:color w:val="000000" w:themeColor="text1"/>
          <w:sz w:val="24"/>
          <w:szCs w:val="24"/>
        </w:rPr>
        <w:t xml:space="preserve">rather than </w:t>
      </w:r>
      <w:r w:rsidR="00224E95" w:rsidRPr="00D75223">
        <w:rPr>
          <w:rFonts w:ascii="Arial" w:eastAsia="Times New Roman" w:hAnsi="Arial" w:cs="Arial"/>
          <w:color w:val="000000" w:themeColor="text1"/>
          <w:sz w:val="24"/>
          <w:szCs w:val="24"/>
        </w:rPr>
        <w:t xml:space="preserve">the </w:t>
      </w:r>
      <w:r w:rsidRPr="00D75223">
        <w:rPr>
          <w:rFonts w:ascii="Arial" w:eastAsia="Times New Roman" w:hAnsi="Arial" w:cs="Arial"/>
          <w:color w:val="000000" w:themeColor="text1"/>
          <w:sz w:val="24"/>
          <w:szCs w:val="24"/>
        </w:rPr>
        <w:t>previous static model. It is used to monitor fire cover and plan relief strategies</w:t>
      </w:r>
      <w:r w:rsidR="09F48447" w:rsidRPr="00D75223">
        <w:rPr>
          <w:rFonts w:ascii="Arial" w:eastAsia="Times New Roman" w:hAnsi="Arial" w:cs="Arial"/>
          <w:color w:val="000000" w:themeColor="text1"/>
          <w:sz w:val="24"/>
          <w:szCs w:val="24"/>
        </w:rPr>
        <w:t xml:space="preserve"> and cover moves</w:t>
      </w:r>
      <w:r w:rsidRPr="00D75223">
        <w:rPr>
          <w:rFonts w:ascii="Arial" w:eastAsia="Times New Roman" w:hAnsi="Arial" w:cs="Arial"/>
          <w:color w:val="000000" w:themeColor="text1"/>
          <w:sz w:val="24"/>
          <w:szCs w:val="24"/>
        </w:rPr>
        <w:t xml:space="preserve">. It has improved emergency cover and made efficiency savings on overtime. </w:t>
      </w:r>
      <w:r w:rsidR="285D48B7" w:rsidRPr="00D75223">
        <w:rPr>
          <w:rFonts w:ascii="Arial" w:hAnsi="Arial" w:cs="Arial"/>
          <w:sz w:val="24"/>
          <w:szCs w:val="24"/>
        </w:rPr>
        <w:t>A</w:t>
      </w:r>
      <w:r w:rsidR="61E21A8F" w:rsidRPr="00D75223">
        <w:rPr>
          <w:rFonts w:ascii="Arial" w:hAnsi="Arial" w:cs="Arial"/>
          <w:sz w:val="24"/>
          <w:szCs w:val="24"/>
        </w:rPr>
        <w:t xml:space="preserve"> </w:t>
      </w:r>
      <w:r w:rsidR="6E60334B" w:rsidRPr="00D75223">
        <w:rPr>
          <w:rFonts w:ascii="Arial" w:hAnsi="Arial" w:cs="Arial"/>
          <w:sz w:val="24"/>
          <w:szCs w:val="24"/>
        </w:rPr>
        <w:t xml:space="preserve">recurrent </w:t>
      </w:r>
      <w:r w:rsidR="285D48B7" w:rsidRPr="00D75223">
        <w:rPr>
          <w:rFonts w:ascii="Arial" w:hAnsi="Arial" w:cs="Arial"/>
          <w:sz w:val="24"/>
          <w:szCs w:val="24"/>
        </w:rPr>
        <w:t xml:space="preserve">cashable efficiency saving </w:t>
      </w:r>
      <w:r w:rsidR="61E21A8F" w:rsidRPr="00D75223">
        <w:rPr>
          <w:rFonts w:ascii="Arial" w:hAnsi="Arial" w:cs="Arial"/>
          <w:sz w:val="24"/>
          <w:szCs w:val="24"/>
        </w:rPr>
        <w:t>of £</w:t>
      </w:r>
      <w:r w:rsidR="2A91B356" w:rsidRPr="00D75223">
        <w:rPr>
          <w:rFonts w:ascii="Arial" w:hAnsi="Arial" w:cs="Arial"/>
          <w:sz w:val="24"/>
          <w:szCs w:val="24"/>
        </w:rPr>
        <w:t>500,000</w:t>
      </w:r>
      <w:r w:rsidR="61E21A8F" w:rsidRPr="00D75223">
        <w:rPr>
          <w:rFonts w:ascii="Arial" w:hAnsi="Arial" w:cs="Arial"/>
          <w:sz w:val="24"/>
          <w:szCs w:val="24"/>
        </w:rPr>
        <w:t xml:space="preserve"> in 2025/26 will be delivered by using the </w:t>
      </w:r>
      <w:r w:rsidR="00253C06">
        <w:rPr>
          <w:rFonts w:ascii="Arial" w:hAnsi="Arial" w:cs="Arial"/>
          <w:sz w:val="24"/>
          <w:szCs w:val="24"/>
        </w:rPr>
        <w:t>DCT</w:t>
      </w:r>
      <w:r w:rsidR="61E21A8F" w:rsidRPr="00D75223">
        <w:rPr>
          <w:rFonts w:ascii="Arial" w:hAnsi="Arial" w:cs="Arial"/>
          <w:sz w:val="24"/>
          <w:szCs w:val="24"/>
        </w:rPr>
        <w:t xml:space="preserve"> for the effective deployment of resources and effective management of overtime, </w:t>
      </w:r>
      <w:r w:rsidR="00253C06">
        <w:rPr>
          <w:rFonts w:ascii="Arial" w:hAnsi="Arial" w:cs="Arial"/>
          <w:sz w:val="24"/>
          <w:szCs w:val="24"/>
        </w:rPr>
        <w:t xml:space="preserve">and </w:t>
      </w:r>
      <w:r w:rsidR="76F45F86" w:rsidRPr="00D75223">
        <w:rPr>
          <w:rFonts w:ascii="Arial" w:hAnsi="Arial" w:cs="Arial"/>
          <w:sz w:val="24"/>
          <w:szCs w:val="24"/>
        </w:rPr>
        <w:t>the</w:t>
      </w:r>
      <w:r w:rsidR="61E21A8F" w:rsidRPr="00D75223">
        <w:rPr>
          <w:rFonts w:ascii="Arial" w:hAnsi="Arial" w:cs="Arial"/>
          <w:sz w:val="24"/>
          <w:szCs w:val="24"/>
        </w:rPr>
        <w:t xml:space="preserve"> delivery of changes to resources agreed as part of the previous </w:t>
      </w:r>
      <w:r w:rsidR="00253C06">
        <w:rPr>
          <w:rFonts w:ascii="Arial" w:hAnsi="Arial" w:cs="Arial"/>
          <w:sz w:val="24"/>
          <w:szCs w:val="24"/>
        </w:rPr>
        <w:t>e</w:t>
      </w:r>
      <w:r w:rsidR="61E21A8F" w:rsidRPr="00D75223">
        <w:rPr>
          <w:rFonts w:ascii="Arial" w:hAnsi="Arial" w:cs="Arial"/>
          <w:sz w:val="24"/>
          <w:szCs w:val="24"/>
        </w:rPr>
        <w:t xml:space="preserve">mergency </w:t>
      </w:r>
      <w:r w:rsidR="00253C06">
        <w:rPr>
          <w:rFonts w:ascii="Arial" w:hAnsi="Arial" w:cs="Arial"/>
          <w:sz w:val="24"/>
          <w:szCs w:val="24"/>
        </w:rPr>
        <w:t>c</w:t>
      </w:r>
      <w:r w:rsidR="61E21A8F" w:rsidRPr="00D75223">
        <w:rPr>
          <w:rFonts w:ascii="Arial" w:hAnsi="Arial" w:cs="Arial"/>
          <w:sz w:val="24"/>
          <w:szCs w:val="24"/>
        </w:rPr>
        <w:t xml:space="preserve">over </w:t>
      </w:r>
      <w:r w:rsidR="00253C06">
        <w:rPr>
          <w:rFonts w:ascii="Arial" w:hAnsi="Arial" w:cs="Arial"/>
          <w:sz w:val="24"/>
          <w:szCs w:val="24"/>
        </w:rPr>
        <w:t>r</w:t>
      </w:r>
      <w:r w:rsidR="61E21A8F" w:rsidRPr="00D75223">
        <w:rPr>
          <w:rFonts w:ascii="Arial" w:hAnsi="Arial" w:cs="Arial"/>
          <w:sz w:val="24"/>
          <w:szCs w:val="24"/>
        </w:rPr>
        <w:t xml:space="preserve">eview. </w:t>
      </w:r>
    </w:p>
    <w:p w14:paraId="56FAB7FB" w14:textId="5B8217B9" w:rsidR="0DEABD2D" w:rsidRPr="00D75223" w:rsidRDefault="4B47D345" w:rsidP="004A4D56">
      <w:pPr>
        <w:pStyle w:val="ListParagraph"/>
        <w:numPr>
          <w:ilvl w:val="0"/>
          <w:numId w:val="5"/>
        </w:numPr>
        <w:rPr>
          <w:rFonts w:ascii="Arial" w:hAnsi="Arial" w:cs="Arial"/>
          <w:sz w:val="24"/>
          <w:szCs w:val="24"/>
        </w:rPr>
      </w:pPr>
      <w:r w:rsidRPr="00D75223">
        <w:rPr>
          <w:rFonts w:ascii="Arial" w:hAnsi="Arial" w:cs="Arial"/>
          <w:sz w:val="24"/>
          <w:szCs w:val="24"/>
        </w:rPr>
        <w:t>Ongoing review of establishment numbers and crewing systems</w:t>
      </w:r>
      <w:r w:rsidR="50C47DB4" w:rsidRPr="00D75223">
        <w:rPr>
          <w:rFonts w:ascii="Arial" w:hAnsi="Arial" w:cs="Arial"/>
          <w:sz w:val="24"/>
          <w:szCs w:val="24"/>
        </w:rPr>
        <w:t xml:space="preserve"> with the aim </w:t>
      </w:r>
      <w:r w:rsidR="00253C06">
        <w:rPr>
          <w:rFonts w:ascii="Arial" w:hAnsi="Arial" w:cs="Arial"/>
          <w:sz w:val="24"/>
          <w:szCs w:val="24"/>
        </w:rPr>
        <w:t>of</w:t>
      </w:r>
      <w:r w:rsidR="50C47DB4" w:rsidRPr="00D75223">
        <w:rPr>
          <w:rFonts w:ascii="Arial" w:hAnsi="Arial" w:cs="Arial"/>
          <w:sz w:val="24"/>
          <w:szCs w:val="24"/>
        </w:rPr>
        <w:t xml:space="preserve"> genera</w:t>
      </w:r>
      <w:r w:rsidR="00253C06">
        <w:rPr>
          <w:rFonts w:ascii="Arial" w:hAnsi="Arial" w:cs="Arial"/>
          <w:sz w:val="24"/>
          <w:szCs w:val="24"/>
        </w:rPr>
        <w:t>ting</w:t>
      </w:r>
      <w:r w:rsidR="50C47DB4" w:rsidRPr="00D75223">
        <w:rPr>
          <w:rFonts w:ascii="Arial" w:hAnsi="Arial" w:cs="Arial"/>
          <w:sz w:val="24"/>
          <w:szCs w:val="24"/>
        </w:rPr>
        <w:t xml:space="preserve"> a recurrent cashable efficiency saving of £1m by the end of 202</w:t>
      </w:r>
      <w:r w:rsidR="00224E95" w:rsidRPr="00D75223">
        <w:rPr>
          <w:rFonts w:ascii="Arial" w:hAnsi="Arial" w:cs="Arial"/>
          <w:sz w:val="24"/>
          <w:szCs w:val="24"/>
        </w:rPr>
        <w:t>6</w:t>
      </w:r>
      <w:r w:rsidR="50C47DB4" w:rsidRPr="00D75223">
        <w:rPr>
          <w:rFonts w:ascii="Arial" w:hAnsi="Arial" w:cs="Arial"/>
          <w:sz w:val="24"/>
          <w:szCs w:val="24"/>
        </w:rPr>
        <w:t>/2</w:t>
      </w:r>
      <w:r w:rsidR="00224E95" w:rsidRPr="00D75223">
        <w:rPr>
          <w:rFonts w:ascii="Arial" w:hAnsi="Arial" w:cs="Arial"/>
          <w:sz w:val="24"/>
          <w:szCs w:val="24"/>
        </w:rPr>
        <w:t>7</w:t>
      </w:r>
      <w:r w:rsidR="50C47DB4" w:rsidRPr="00D75223">
        <w:rPr>
          <w:rFonts w:ascii="Arial" w:hAnsi="Arial" w:cs="Arial"/>
          <w:sz w:val="24"/>
          <w:szCs w:val="24"/>
        </w:rPr>
        <w:t>.</w:t>
      </w:r>
    </w:p>
    <w:p w14:paraId="46236F9E" w14:textId="5E507CA4" w:rsidR="0DEABD2D" w:rsidRPr="00D75223" w:rsidRDefault="1905F4A2"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A review of emergency cover across the wider Preston area as part of the relocation of </w:t>
      </w:r>
      <w:r w:rsidR="00253C06">
        <w:rPr>
          <w:rFonts w:ascii="Arial" w:hAnsi="Arial" w:cs="Arial"/>
          <w:sz w:val="24"/>
          <w:szCs w:val="24"/>
        </w:rPr>
        <w:t xml:space="preserve">Service headquarters </w:t>
      </w:r>
      <w:r w:rsidRPr="00D75223">
        <w:rPr>
          <w:rFonts w:ascii="Arial" w:hAnsi="Arial" w:cs="Arial"/>
          <w:sz w:val="24"/>
          <w:szCs w:val="24"/>
        </w:rPr>
        <w:t xml:space="preserve">(currently at Fulwood) to our Leadership and Development </w:t>
      </w:r>
      <w:r w:rsidR="00253C06">
        <w:rPr>
          <w:rFonts w:ascii="Arial" w:hAnsi="Arial" w:cs="Arial"/>
          <w:sz w:val="24"/>
          <w:szCs w:val="24"/>
        </w:rPr>
        <w:t>C</w:t>
      </w:r>
      <w:r w:rsidRPr="00D75223">
        <w:rPr>
          <w:rFonts w:ascii="Arial" w:hAnsi="Arial" w:cs="Arial"/>
          <w:sz w:val="24"/>
          <w:szCs w:val="24"/>
        </w:rPr>
        <w:t>entre</w:t>
      </w:r>
      <w:r w:rsidR="55E6E689" w:rsidRPr="00D75223">
        <w:rPr>
          <w:rFonts w:ascii="Arial" w:hAnsi="Arial" w:cs="Arial"/>
          <w:sz w:val="24"/>
          <w:szCs w:val="24"/>
        </w:rPr>
        <w:t>, with potential efficiency savings arising post consultations.</w:t>
      </w:r>
    </w:p>
    <w:p w14:paraId="08305B48" w14:textId="6CDBC8CE" w:rsidR="009B6AAE" w:rsidRPr="00D75223" w:rsidRDefault="56AF979F" w:rsidP="004A4D56">
      <w:pPr>
        <w:pStyle w:val="ListParagraph"/>
        <w:numPr>
          <w:ilvl w:val="0"/>
          <w:numId w:val="5"/>
        </w:numPr>
        <w:rPr>
          <w:rFonts w:ascii="Arial" w:eastAsia="Aptos" w:hAnsi="Arial" w:cs="Arial"/>
          <w:color w:val="242424"/>
          <w:sz w:val="24"/>
          <w:szCs w:val="24"/>
        </w:rPr>
      </w:pPr>
      <w:r w:rsidRPr="00D75223">
        <w:rPr>
          <w:rFonts w:ascii="Arial" w:eastAsia="Aptos" w:hAnsi="Arial" w:cs="Arial"/>
          <w:color w:val="242424"/>
          <w:sz w:val="24"/>
          <w:szCs w:val="24"/>
        </w:rPr>
        <w:t xml:space="preserve">Moving to </w:t>
      </w:r>
      <w:r w:rsidR="60082579" w:rsidRPr="00D75223">
        <w:rPr>
          <w:rFonts w:ascii="Arial" w:eastAsia="Aptos" w:hAnsi="Arial" w:cs="Arial"/>
          <w:color w:val="242424"/>
          <w:sz w:val="24"/>
          <w:szCs w:val="24"/>
        </w:rPr>
        <w:t xml:space="preserve">encrypted </w:t>
      </w:r>
      <w:r w:rsidR="42BFF9A5" w:rsidRPr="00D75223">
        <w:rPr>
          <w:rFonts w:ascii="Arial" w:eastAsia="Aptos" w:hAnsi="Arial" w:cs="Arial"/>
          <w:color w:val="242424"/>
          <w:sz w:val="24"/>
          <w:szCs w:val="24"/>
        </w:rPr>
        <w:t xml:space="preserve">pagers </w:t>
      </w:r>
      <w:r w:rsidR="00253C06">
        <w:rPr>
          <w:rFonts w:ascii="Arial" w:eastAsia="Aptos" w:hAnsi="Arial" w:cs="Arial"/>
          <w:color w:val="242424"/>
          <w:sz w:val="24"/>
          <w:szCs w:val="24"/>
        </w:rPr>
        <w:t xml:space="preserve">will </w:t>
      </w:r>
      <w:r w:rsidR="42BFF9A5" w:rsidRPr="00D75223">
        <w:rPr>
          <w:rFonts w:ascii="Arial" w:eastAsia="Aptos" w:hAnsi="Arial" w:cs="Arial"/>
          <w:color w:val="242424"/>
          <w:sz w:val="24"/>
          <w:szCs w:val="24"/>
        </w:rPr>
        <w:t>allo</w:t>
      </w:r>
      <w:r w:rsidR="00253C06">
        <w:rPr>
          <w:rFonts w:ascii="Arial" w:eastAsia="Aptos" w:hAnsi="Arial" w:cs="Arial"/>
          <w:color w:val="242424"/>
          <w:sz w:val="24"/>
          <w:szCs w:val="24"/>
        </w:rPr>
        <w:t>w</w:t>
      </w:r>
      <w:r w:rsidR="42BFF9A5" w:rsidRPr="00D75223">
        <w:rPr>
          <w:rFonts w:ascii="Arial" w:eastAsia="Aptos" w:hAnsi="Arial" w:cs="Arial"/>
          <w:color w:val="242424"/>
          <w:sz w:val="24"/>
          <w:szCs w:val="24"/>
        </w:rPr>
        <w:t xml:space="preserve"> us to r</w:t>
      </w:r>
      <w:r w:rsidR="0DB3F04A" w:rsidRPr="00D75223">
        <w:rPr>
          <w:rFonts w:ascii="Arial" w:eastAsia="Aptos" w:hAnsi="Arial" w:cs="Arial"/>
          <w:color w:val="242424"/>
          <w:sz w:val="24"/>
          <w:szCs w:val="24"/>
        </w:rPr>
        <w:t>emov</w:t>
      </w:r>
      <w:r w:rsidR="42BFF9A5" w:rsidRPr="00D75223">
        <w:rPr>
          <w:rFonts w:ascii="Arial" w:eastAsia="Aptos" w:hAnsi="Arial" w:cs="Arial"/>
          <w:color w:val="242424"/>
          <w:sz w:val="24"/>
          <w:szCs w:val="24"/>
        </w:rPr>
        <w:t>e</w:t>
      </w:r>
      <w:r w:rsidR="0DB3F04A" w:rsidRPr="00D75223">
        <w:rPr>
          <w:rFonts w:ascii="Arial" w:eastAsia="Aptos" w:hAnsi="Arial" w:cs="Arial"/>
          <w:color w:val="242424"/>
          <w:sz w:val="24"/>
          <w:szCs w:val="24"/>
        </w:rPr>
        <w:t xml:space="preserve"> radio masts for </w:t>
      </w:r>
      <w:proofErr w:type="spellStart"/>
      <w:r w:rsidR="0DB3F04A" w:rsidRPr="00D75223">
        <w:rPr>
          <w:rFonts w:ascii="Arial" w:eastAsia="Aptos" w:hAnsi="Arial" w:cs="Arial"/>
          <w:color w:val="242424"/>
          <w:sz w:val="24"/>
          <w:szCs w:val="24"/>
        </w:rPr>
        <w:t>alerters</w:t>
      </w:r>
      <w:proofErr w:type="spellEnd"/>
      <w:r w:rsidR="1E644C7D" w:rsidRPr="00D75223">
        <w:rPr>
          <w:rFonts w:ascii="Arial" w:eastAsia="Aptos" w:hAnsi="Arial" w:cs="Arial"/>
          <w:color w:val="242424"/>
          <w:sz w:val="24"/>
          <w:szCs w:val="24"/>
        </w:rPr>
        <w:t>, whilst also delivering data security needs</w:t>
      </w:r>
      <w:r w:rsidR="56DAB27D" w:rsidRPr="00D75223">
        <w:rPr>
          <w:rFonts w:ascii="Arial" w:eastAsia="Aptos" w:hAnsi="Arial" w:cs="Arial"/>
          <w:color w:val="242424"/>
          <w:sz w:val="24"/>
          <w:szCs w:val="24"/>
        </w:rPr>
        <w:t>.</w:t>
      </w:r>
    </w:p>
    <w:p w14:paraId="5F3F4E59" w14:textId="2FD718C7" w:rsidR="00DA7C99" w:rsidRPr="00D75223" w:rsidRDefault="00253C06" w:rsidP="004A4D56">
      <w:pPr>
        <w:pStyle w:val="ListParagraph"/>
        <w:numPr>
          <w:ilvl w:val="0"/>
          <w:numId w:val="5"/>
        </w:numPr>
        <w:rPr>
          <w:rFonts w:ascii="Arial" w:eastAsia="Aptos" w:hAnsi="Arial" w:cs="Arial"/>
          <w:color w:val="242424"/>
          <w:sz w:val="24"/>
          <w:szCs w:val="24"/>
        </w:rPr>
      </w:pPr>
      <w:r>
        <w:rPr>
          <w:rFonts w:ascii="Arial" w:eastAsia="Aptos" w:hAnsi="Arial" w:cs="Arial"/>
          <w:color w:val="242424"/>
          <w:sz w:val="24"/>
          <w:szCs w:val="24"/>
        </w:rPr>
        <w:t xml:space="preserve">A </w:t>
      </w:r>
      <w:r w:rsidR="00DA7C99" w:rsidRPr="00D75223">
        <w:rPr>
          <w:rFonts w:ascii="Arial" w:eastAsia="Aptos" w:hAnsi="Arial" w:cs="Arial"/>
          <w:color w:val="242424"/>
          <w:sz w:val="24"/>
          <w:szCs w:val="24"/>
        </w:rPr>
        <w:t xml:space="preserve">full review of </w:t>
      </w:r>
      <w:r>
        <w:rPr>
          <w:rFonts w:ascii="Arial" w:eastAsia="Aptos" w:hAnsi="Arial" w:cs="Arial"/>
          <w:color w:val="242424"/>
          <w:sz w:val="24"/>
          <w:szCs w:val="24"/>
        </w:rPr>
        <w:t xml:space="preserve">our </w:t>
      </w:r>
      <w:r w:rsidR="00DA7C99" w:rsidRPr="00D75223">
        <w:rPr>
          <w:rFonts w:ascii="Arial" w:eastAsia="Aptos" w:hAnsi="Arial" w:cs="Arial"/>
          <w:color w:val="242424"/>
          <w:sz w:val="24"/>
          <w:szCs w:val="24"/>
        </w:rPr>
        <w:t>light vehicle fleet aim</w:t>
      </w:r>
      <w:r>
        <w:rPr>
          <w:rFonts w:ascii="Arial" w:eastAsia="Aptos" w:hAnsi="Arial" w:cs="Arial"/>
          <w:color w:val="242424"/>
          <w:sz w:val="24"/>
          <w:szCs w:val="24"/>
        </w:rPr>
        <w:t>s</w:t>
      </w:r>
      <w:r w:rsidR="00DA7C99" w:rsidRPr="00D75223">
        <w:rPr>
          <w:rFonts w:ascii="Arial" w:eastAsia="Aptos" w:hAnsi="Arial" w:cs="Arial"/>
          <w:color w:val="242424"/>
          <w:sz w:val="24"/>
          <w:szCs w:val="24"/>
        </w:rPr>
        <w:t xml:space="preserve"> to improve efficiency by ensuring staff use the most appropriate vehicle for the tasks undertaken. As part of this </w:t>
      </w:r>
      <w:r w:rsidR="00DA7C99" w:rsidRPr="00D75223">
        <w:rPr>
          <w:rFonts w:ascii="Arial" w:eastAsia="Aptos" w:hAnsi="Arial" w:cs="Arial"/>
          <w:color w:val="242424"/>
          <w:sz w:val="24"/>
          <w:szCs w:val="24"/>
        </w:rPr>
        <w:lastRenderedPageBreak/>
        <w:t xml:space="preserve">review, </w:t>
      </w:r>
      <w:r>
        <w:rPr>
          <w:rFonts w:ascii="Arial" w:eastAsia="Aptos" w:hAnsi="Arial" w:cs="Arial"/>
          <w:color w:val="242424"/>
          <w:sz w:val="24"/>
          <w:szCs w:val="24"/>
        </w:rPr>
        <w:t>we</w:t>
      </w:r>
      <w:r w:rsidR="00DA7C99" w:rsidRPr="00D75223">
        <w:rPr>
          <w:rFonts w:ascii="Arial" w:eastAsia="Aptos" w:hAnsi="Arial" w:cs="Arial"/>
          <w:color w:val="242424"/>
          <w:sz w:val="24"/>
          <w:szCs w:val="24"/>
        </w:rPr>
        <w:t xml:space="preserve"> will consider</w:t>
      </w:r>
      <w:r>
        <w:rPr>
          <w:rFonts w:ascii="Arial" w:eastAsia="Aptos" w:hAnsi="Arial" w:cs="Arial"/>
          <w:color w:val="242424"/>
          <w:sz w:val="24"/>
          <w:szCs w:val="24"/>
        </w:rPr>
        <w:t xml:space="preserve"> the</w:t>
      </w:r>
      <w:r w:rsidR="00DA7C99" w:rsidRPr="00D75223">
        <w:rPr>
          <w:rFonts w:ascii="Arial" w:eastAsia="Aptos" w:hAnsi="Arial" w:cs="Arial"/>
          <w:color w:val="242424"/>
          <w:sz w:val="24"/>
          <w:szCs w:val="24"/>
        </w:rPr>
        <w:t xml:space="preserve"> introduction of fifty mild hybrid vehicles since 2020 and four fully electric pool cars, plus one electric van used by our fleet department for on</w:t>
      </w:r>
      <w:r>
        <w:rPr>
          <w:rFonts w:ascii="Arial" w:eastAsia="Aptos" w:hAnsi="Arial" w:cs="Arial"/>
          <w:color w:val="242424"/>
          <w:sz w:val="24"/>
          <w:szCs w:val="24"/>
        </w:rPr>
        <w:t>-</w:t>
      </w:r>
      <w:r w:rsidR="00DA7C99" w:rsidRPr="00D75223">
        <w:rPr>
          <w:rFonts w:ascii="Arial" w:eastAsia="Aptos" w:hAnsi="Arial" w:cs="Arial"/>
          <w:color w:val="242424"/>
          <w:sz w:val="24"/>
          <w:szCs w:val="24"/>
        </w:rPr>
        <w:t xml:space="preserve">station repairs. The review will consider our infrastructure to ensure we can accommodate our aspirations for more energy efficient vehicles. </w:t>
      </w:r>
    </w:p>
    <w:p w14:paraId="3382A66E" w14:textId="77777777" w:rsidR="00997325" w:rsidRPr="00D75223" w:rsidRDefault="00997325" w:rsidP="00845604">
      <w:pPr>
        <w:pStyle w:val="Heading2"/>
      </w:pPr>
      <w:bookmarkStart w:id="24" w:name="_Toc196988029"/>
      <w:r w:rsidRPr="00D75223">
        <w:t>Collaboration</w:t>
      </w:r>
      <w:bookmarkEnd w:id="24"/>
    </w:p>
    <w:p w14:paraId="0938534C" w14:textId="77777777" w:rsidR="00DE79F0" w:rsidRPr="00D75223" w:rsidRDefault="008650F1" w:rsidP="004A4D56">
      <w:pPr>
        <w:rPr>
          <w:rFonts w:ascii="Arial" w:hAnsi="Arial" w:cs="Arial"/>
          <w:sz w:val="24"/>
          <w:szCs w:val="24"/>
        </w:rPr>
      </w:pPr>
      <w:r w:rsidRPr="00D75223">
        <w:rPr>
          <w:rFonts w:ascii="Arial" w:hAnsi="Arial" w:cs="Arial"/>
          <w:sz w:val="24"/>
          <w:szCs w:val="24"/>
        </w:rPr>
        <w:t>Lancashire Fire and Rescue Service (</w:t>
      </w:r>
      <w:r w:rsidR="00487F24" w:rsidRPr="00D75223">
        <w:rPr>
          <w:rFonts w:ascii="Arial" w:hAnsi="Arial" w:cs="Arial"/>
          <w:sz w:val="24"/>
          <w:szCs w:val="24"/>
        </w:rPr>
        <w:t>LFRS</w:t>
      </w:r>
      <w:r w:rsidRPr="00D75223">
        <w:rPr>
          <w:rFonts w:ascii="Arial" w:hAnsi="Arial" w:cs="Arial"/>
          <w:sz w:val="24"/>
          <w:szCs w:val="24"/>
        </w:rPr>
        <w:t>)</w:t>
      </w:r>
      <w:r w:rsidR="00487F24" w:rsidRPr="00D75223">
        <w:rPr>
          <w:rFonts w:ascii="Arial" w:hAnsi="Arial" w:cs="Arial"/>
          <w:sz w:val="24"/>
          <w:szCs w:val="24"/>
        </w:rPr>
        <w:t xml:space="preserve"> has a long tradition of </w:t>
      </w:r>
      <w:r w:rsidR="00DE79F0" w:rsidRPr="00D75223">
        <w:rPr>
          <w:rFonts w:ascii="Arial" w:hAnsi="Arial" w:cs="Arial"/>
          <w:sz w:val="24"/>
          <w:szCs w:val="24"/>
        </w:rPr>
        <w:t xml:space="preserve">collaboration and </w:t>
      </w:r>
      <w:r w:rsidR="00487F24" w:rsidRPr="00D75223">
        <w:rPr>
          <w:rFonts w:ascii="Arial" w:hAnsi="Arial" w:cs="Arial"/>
          <w:sz w:val="24"/>
          <w:szCs w:val="24"/>
        </w:rPr>
        <w:t>partnership workin</w:t>
      </w:r>
      <w:r w:rsidR="00A61E28" w:rsidRPr="00D75223">
        <w:rPr>
          <w:rFonts w:ascii="Arial" w:hAnsi="Arial" w:cs="Arial"/>
          <w:sz w:val="24"/>
          <w:szCs w:val="24"/>
        </w:rPr>
        <w:t>g</w:t>
      </w:r>
      <w:r w:rsidR="00DE79F0" w:rsidRPr="00D75223">
        <w:rPr>
          <w:rFonts w:ascii="Arial" w:hAnsi="Arial" w:cs="Arial"/>
          <w:sz w:val="24"/>
          <w:szCs w:val="24"/>
        </w:rPr>
        <w:t>:</w:t>
      </w:r>
    </w:p>
    <w:p w14:paraId="5D984B5E" w14:textId="62B908EA" w:rsidR="00487F24" w:rsidRPr="00D75223" w:rsidRDefault="14D0D7E9" w:rsidP="004A4D56">
      <w:pPr>
        <w:pStyle w:val="ListParagraph"/>
        <w:numPr>
          <w:ilvl w:val="0"/>
          <w:numId w:val="5"/>
        </w:numPr>
        <w:rPr>
          <w:rFonts w:ascii="Arial" w:hAnsi="Arial" w:cs="Arial"/>
          <w:sz w:val="24"/>
          <w:szCs w:val="24"/>
        </w:rPr>
      </w:pPr>
      <w:r w:rsidRPr="00D75223">
        <w:rPr>
          <w:rFonts w:ascii="Arial" w:hAnsi="Arial" w:cs="Arial"/>
          <w:sz w:val="24"/>
          <w:szCs w:val="24"/>
        </w:rPr>
        <w:t>A</w:t>
      </w:r>
      <w:r w:rsidR="51FD2CEF" w:rsidRPr="00D75223">
        <w:rPr>
          <w:rFonts w:ascii="Arial" w:hAnsi="Arial" w:cs="Arial"/>
          <w:sz w:val="24"/>
          <w:szCs w:val="24"/>
        </w:rPr>
        <w:t xml:space="preserve">s a key partner of the Lancashire Resilience Forum (LRF), our </w:t>
      </w:r>
      <w:r w:rsidR="00253C06">
        <w:rPr>
          <w:rFonts w:ascii="Arial" w:hAnsi="Arial" w:cs="Arial"/>
          <w:sz w:val="24"/>
          <w:szCs w:val="24"/>
        </w:rPr>
        <w:t>d</w:t>
      </w:r>
      <w:r w:rsidR="51FD2CEF" w:rsidRPr="00D75223">
        <w:rPr>
          <w:rFonts w:ascii="Arial" w:hAnsi="Arial" w:cs="Arial"/>
          <w:sz w:val="24"/>
          <w:szCs w:val="24"/>
        </w:rPr>
        <w:t xml:space="preserve">eputy </w:t>
      </w:r>
      <w:r w:rsidR="00253C06">
        <w:rPr>
          <w:rFonts w:ascii="Arial" w:hAnsi="Arial" w:cs="Arial"/>
          <w:sz w:val="24"/>
          <w:szCs w:val="24"/>
        </w:rPr>
        <w:t>c</w:t>
      </w:r>
      <w:r w:rsidR="51FD2CEF" w:rsidRPr="00D75223">
        <w:rPr>
          <w:rFonts w:ascii="Arial" w:hAnsi="Arial" w:cs="Arial"/>
          <w:sz w:val="24"/>
          <w:szCs w:val="24"/>
        </w:rPr>
        <w:t xml:space="preserve">hief </w:t>
      </w:r>
      <w:r w:rsidR="00253C06">
        <w:rPr>
          <w:rFonts w:ascii="Arial" w:hAnsi="Arial" w:cs="Arial"/>
          <w:sz w:val="24"/>
          <w:szCs w:val="24"/>
        </w:rPr>
        <w:t>f</w:t>
      </w:r>
      <w:r w:rsidR="51FD2CEF" w:rsidRPr="00D75223">
        <w:rPr>
          <w:rFonts w:ascii="Arial" w:hAnsi="Arial" w:cs="Arial"/>
          <w:sz w:val="24"/>
          <w:szCs w:val="24"/>
        </w:rPr>
        <w:t xml:space="preserve">ire </w:t>
      </w:r>
      <w:r w:rsidR="00253C06">
        <w:rPr>
          <w:rFonts w:ascii="Arial" w:hAnsi="Arial" w:cs="Arial"/>
          <w:sz w:val="24"/>
          <w:szCs w:val="24"/>
        </w:rPr>
        <w:t>o</w:t>
      </w:r>
      <w:r w:rsidR="51FD2CEF" w:rsidRPr="00D75223">
        <w:rPr>
          <w:rFonts w:ascii="Arial" w:hAnsi="Arial" w:cs="Arial"/>
          <w:sz w:val="24"/>
          <w:szCs w:val="24"/>
        </w:rPr>
        <w:t xml:space="preserve">fficer (DCFO) is the current </w:t>
      </w:r>
      <w:r w:rsidR="00253C06">
        <w:rPr>
          <w:rFonts w:ascii="Arial" w:hAnsi="Arial" w:cs="Arial"/>
          <w:sz w:val="24"/>
          <w:szCs w:val="24"/>
        </w:rPr>
        <w:t>c</w:t>
      </w:r>
      <w:r w:rsidR="51FD2CEF" w:rsidRPr="00D75223">
        <w:rPr>
          <w:rFonts w:ascii="Arial" w:hAnsi="Arial" w:cs="Arial"/>
          <w:sz w:val="24"/>
          <w:szCs w:val="24"/>
        </w:rPr>
        <w:t>hair</w:t>
      </w:r>
      <w:r w:rsidR="5309735A" w:rsidRPr="00D75223">
        <w:rPr>
          <w:rFonts w:ascii="Arial" w:hAnsi="Arial" w:cs="Arial"/>
          <w:sz w:val="24"/>
          <w:szCs w:val="24"/>
        </w:rPr>
        <w:t>,</w:t>
      </w:r>
      <w:r w:rsidR="51FD2CEF" w:rsidRPr="00D75223">
        <w:rPr>
          <w:rFonts w:ascii="Arial" w:hAnsi="Arial" w:cs="Arial"/>
          <w:sz w:val="24"/>
          <w:szCs w:val="24"/>
        </w:rPr>
        <w:t xml:space="preserve"> and the Service is linked in with strategic partners to deliver efficient and effective prevention, protection, and response services to Lancashire communities</w:t>
      </w:r>
      <w:r w:rsidR="31856939" w:rsidRPr="00D75223">
        <w:rPr>
          <w:rFonts w:ascii="Arial" w:hAnsi="Arial" w:cs="Arial"/>
          <w:sz w:val="24"/>
          <w:szCs w:val="24"/>
        </w:rPr>
        <w:t xml:space="preserve">. </w:t>
      </w:r>
      <w:r w:rsidR="3CF424BD" w:rsidRPr="00D75223">
        <w:rPr>
          <w:rFonts w:ascii="Arial" w:hAnsi="Arial" w:cs="Arial"/>
          <w:sz w:val="24"/>
          <w:szCs w:val="24"/>
        </w:rPr>
        <w:t xml:space="preserve">Through the work of the LRF, the </w:t>
      </w:r>
      <w:r w:rsidR="1DE2FAB9" w:rsidRPr="00D75223">
        <w:rPr>
          <w:rFonts w:ascii="Arial" w:hAnsi="Arial" w:cs="Arial"/>
          <w:sz w:val="24"/>
          <w:szCs w:val="24"/>
        </w:rPr>
        <w:t>S</w:t>
      </w:r>
      <w:r w:rsidR="3CF424BD" w:rsidRPr="00D75223">
        <w:rPr>
          <w:rFonts w:ascii="Arial" w:hAnsi="Arial" w:cs="Arial"/>
          <w:sz w:val="24"/>
          <w:szCs w:val="24"/>
        </w:rPr>
        <w:t xml:space="preserve">ervice and partners can prepare and respond to emergencies quickly, thereby protecting the safety of </w:t>
      </w:r>
      <w:r w:rsidR="005C12D3" w:rsidRPr="00D75223">
        <w:rPr>
          <w:rFonts w:ascii="Arial" w:hAnsi="Arial" w:cs="Arial"/>
          <w:sz w:val="24"/>
          <w:szCs w:val="24"/>
        </w:rPr>
        <w:t>t</w:t>
      </w:r>
      <w:r w:rsidR="3CF424BD" w:rsidRPr="00D75223">
        <w:rPr>
          <w:rFonts w:ascii="Arial" w:hAnsi="Arial" w:cs="Arial"/>
          <w:sz w:val="24"/>
          <w:szCs w:val="24"/>
        </w:rPr>
        <w:t xml:space="preserve">he communities we serve. </w:t>
      </w:r>
    </w:p>
    <w:p w14:paraId="684CAB64" w14:textId="78BAA305" w:rsidR="00487F24" w:rsidRPr="00D75223" w:rsidRDefault="00253C06" w:rsidP="004A4D56">
      <w:pPr>
        <w:pStyle w:val="ListParagraph"/>
        <w:numPr>
          <w:ilvl w:val="0"/>
          <w:numId w:val="5"/>
        </w:numPr>
        <w:rPr>
          <w:rFonts w:ascii="Arial" w:hAnsi="Arial" w:cs="Arial"/>
          <w:sz w:val="24"/>
          <w:szCs w:val="24"/>
        </w:rPr>
      </w:pPr>
      <w:r>
        <w:rPr>
          <w:rFonts w:ascii="Arial" w:hAnsi="Arial" w:cs="Arial"/>
          <w:sz w:val="24"/>
          <w:szCs w:val="24"/>
        </w:rPr>
        <w:t>Our</w:t>
      </w:r>
      <w:r w:rsidR="31856939" w:rsidRPr="00D75223">
        <w:rPr>
          <w:rFonts w:ascii="Arial" w:hAnsi="Arial" w:cs="Arial"/>
          <w:sz w:val="24"/>
          <w:szCs w:val="24"/>
        </w:rPr>
        <w:t xml:space="preserve"> </w:t>
      </w:r>
      <w:r>
        <w:rPr>
          <w:rFonts w:ascii="Arial" w:hAnsi="Arial" w:cs="Arial"/>
          <w:sz w:val="24"/>
          <w:szCs w:val="24"/>
        </w:rPr>
        <w:t>h</w:t>
      </w:r>
      <w:r w:rsidR="31856939" w:rsidRPr="00D75223">
        <w:rPr>
          <w:rFonts w:ascii="Arial" w:hAnsi="Arial" w:cs="Arial"/>
          <w:sz w:val="24"/>
          <w:szCs w:val="24"/>
        </w:rPr>
        <w:t xml:space="preserve">ead of </w:t>
      </w:r>
      <w:r>
        <w:rPr>
          <w:rFonts w:ascii="Arial" w:hAnsi="Arial" w:cs="Arial"/>
          <w:sz w:val="24"/>
          <w:szCs w:val="24"/>
        </w:rPr>
        <w:t>p</w:t>
      </w:r>
      <w:r w:rsidR="31856939" w:rsidRPr="00D75223">
        <w:rPr>
          <w:rFonts w:ascii="Arial" w:hAnsi="Arial" w:cs="Arial"/>
          <w:sz w:val="24"/>
          <w:szCs w:val="24"/>
        </w:rPr>
        <w:t xml:space="preserve">revention and </w:t>
      </w:r>
      <w:r>
        <w:rPr>
          <w:rFonts w:ascii="Arial" w:hAnsi="Arial" w:cs="Arial"/>
          <w:sz w:val="24"/>
          <w:szCs w:val="24"/>
        </w:rPr>
        <w:t>p</w:t>
      </w:r>
      <w:r w:rsidR="31856939" w:rsidRPr="00D75223">
        <w:rPr>
          <w:rFonts w:ascii="Arial" w:hAnsi="Arial" w:cs="Arial"/>
          <w:sz w:val="24"/>
          <w:szCs w:val="24"/>
        </w:rPr>
        <w:t>rotection chairs the Lancashire Road Safety Partnership, bringing together a collaborative and targeted approach to road safety across the county</w:t>
      </w:r>
      <w:r w:rsidR="57A056CC" w:rsidRPr="00D75223">
        <w:rPr>
          <w:rFonts w:ascii="Arial" w:hAnsi="Arial" w:cs="Arial"/>
          <w:sz w:val="24"/>
          <w:szCs w:val="24"/>
        </w:rPr>
        <w:t>, ultimately leading to a reduction in those killed and seriously injured on our roads</w:t>
      </w:r>
      <w:r w:rsidR="31856939" w:rsidRPr="00D75223">
        <w:rPr>
          <w:rFonts w:ascii="Arial" w:hAnsi="Arial" w:cs="Arial"/>
          <w:sz w:val="24"/>
          <w:szCs w:val="24"/>
        </w:rPr>
        <w:t>.</w:t>
      </w:r>
    </w:p>
    <w:p w14:paraId="4868EC5B" w14:textId="77777777" w:rsidR="00B73B95" w:rsidRPr="00253C06" w:rsidRDefault="00487F24" w:rsidP="00845604">
      <w:pPr>
        <w:pStyle w:val="Heading2"/>
      </w:pPr>
      <w:bookmarkStart w:id="25" w:name="_Toc196988030"/>
      <w:r w:rsidRPr="00253C06">
        <w:t>Lancashire Blue Light Collaboration Board</w:t>
      </w:r>
      <w:bookmarkEnd w:id="25"/>
      <w:r w:rsidRPr="00253C06">
        <w:t xml:space="preserve"> </w:t>
      </w:r>
    </w:p>
    <w:p w14:paraId="20700DBC" w14:textId="49442097" w:rsidR="00487F24" w:rsidRPr="00D75223" w:rsidRDefault="00B73B95" w:rsidP="004A4D56">
      <w:pPr>
        <w:rPr>
          <w:rFonts w:ascii="Arial" w:hAnsi="Arial" w:cs="Arial"/>
          <w:sz w:val="24"/>
          <w:szCs w:val="24"/>
        </w:rPr>
      </w:pPr>
      <w:r w:rsidRPr="00D75223">
        <w:rPr>
          <w:rFonts w:ascii="Arial" w:hAnsi="Arial" w:cs="Arial"/>
          <w:sz w:val="24"/>
          <w:szCs w:val="24"/>
        </w:rPr>
        <w:t xml:space="preserve">The Lancashire Blue Light Collaboration Board </w:t>
      </w:r>
      <w:r w:rsidR="00650ABC" w:rsidRPr="00D75223">
        <w:rPr>
          <w:rFonts w:ascii="Arial" w:hAnsi="Arial" w:cs="Arial"/>
          <w:sz w:val="24"/>
          <w:szCs w:val="24"/>
        </w:rPr>
        <w:t>i</w:t>
      </w:r>
      <w:r w:rsidR="00487F24" w:rsidRPr="00D75223">
        <w:rPr>
          <w:rFonts w:ascii="Arial" w:hAnsi="Arial" w:cs="Arial"/>
          <w:sz w:val="24"/>
          <w:szCs w:val="24"/>
        </w:rPr>
        <w:t xml:space="preserve">ncludes representation from </w:t>
      </w:r>
      <w:r w:rsidR="00253C06">
        <w:rPr>
          <w:rFonts w:ascii="Arial" w:hAnsi="Arial" w:cs="Arial"/>
          <w:sz w:val="24"/>
          <w:szCs w:val="24"/>
        </w:rPr>
        <w:t>f</w:t>
      </w:r>
      <w:r w:rsidR="00487F24" w:rsidRPr="00D75223">
        <w:rPr>
          <w:rFonts w:ascii="Arial" w:hAnsi="Arial" w:cs="Arial"/>
          <w:sz w:val="24"/>
          <w:szCs w:val="24"/>
        </w:rPr>
        <w:t xml:space="preserve">ire, </w:t>
      </w:r>
      <w:r w:rsidR="00253C06">
        <w:rPr>
          <w:rFonts w:ascii="Arial" w:hAnsi="Arial" w:cs="Arial"/>
          <w:sz w:val="24"/>
          <w:szCs w:val="24"/>
        </w:rPr>
        <w:t>p</w:t>
      </w:r>
      <w:r w:rsidR="00487F24" w:rsidRPr="00D75223">
        <w:rPr>
          <w:rFonts w:ascii="Arial" w:hAnsi="Arial" w:cs="Arial"/>
          <w:sz w:val="24"/>
          <w:szCs w:val="24"/>
        </w:rPr>
        <w:t>olice and</w:t>
      </w:r>
      <w:r w:rsidR="00253C06">
        <w:rPr>
          <w:rFonts w:ascii="Arial" w:hAnsi="Arial" w:cs="Arial"/>
          <w:sz w:val="24"/>
          <w:szCs w:val="24"/>
        </w:rPr>
        <w:t xml:space="preserve"> a</w:t>
      </w:r>
      <w:r w:rsidR="00487F24" w:rsidRPr="00D75223">
        <w:rPr>
          <w:rFonts w:ascii="Arial" w:hAnsi="Arial" w:cs="Arial"/>
          <w:sz w:val="24"/>
          <w:szCs w:val="24"/>
        </w:rPr>
        <w:t xml:space="preserve">mbulance </w:t>
      </w:r>
      <w:r w:rsidR="00253C06">
        <w:rPr>
          <w:rFonts w:ascii="Arial" w:hAnsi="Arial" w:cs="Arial"/>
          <w:sz w:val="24"/>
          <w:szCs w:val="24"/>
        </w:rPr>
        <w:t>s</w:t>
      </w:r>
      <w:r w:rsidR="00487F24" w:rsidRPr="00D75223">
        <w:rPr>
          <w:rFonts w:ascii="Arial" w:hAnsi="Arial" w:cs="Arial"/>
          <w:sz w:val="24"/>
          <w:szCs w:val="24"/>
        </w:rPr>
        <w:t>ervice</w:t>
      </w:r>
      <w:r w:rsidR="00253C06">
        <w:rPr>
          <w:rFonts w:ascii="Arial" w:hAnsi="Arial" w:cs="Arial"/>
          <w:sz w:val="24"/>
          <w:szCs w:val="24"/>
        </w:rPr>
        <w:t>s</w:t>
      </w:r>
      <w:r w:rsidR="00487F24" w:rsidRPr="00D75223">
        <w:rPr>
          <w:rFonts w:ascii="Arial" w:hAnsi="Arial" w:cs="Arial"/>
          <w:sz w:val="24"/>
          <w:szCs w:val="24"/>
        </w:rPr>
        <w:t>, who have all signed a strategic statement of intent which contains the following aims:</w:t>
      </w:r>
      <w:r w:rsidR="001230AD" w:rsidRPr="00D75223">
        <w:rPr>
          <w:rFonts w:ascii="Arial" w:hAnsi="Arial" w:cs="Arial"/>
          <w:sz w:val="24"/>
          <w:szCs w:val="24"/>
        </w:rPr>
        <w:t xml:space="preserve"> </w:t>
      </w:r>
      <w:r w:rsidR="00253C06">
        <w:rPr>
          <w:rFonts w:ascii="Arial" w:hAnsi="Arial" w:cs="Arial"/>
          <w:sz w:val="24"/>
          <w:szCs w:val="24"/>
        </w:rPr>
        <w:t>i</w:t>
      </w:r>
      <w:r w:rsidR="00487F24" w:rsidRPr="00D75223">
        <w:rPr>
          <w:rFonts w:ascii="Arial" w:hAnsi="Arial" w:cs="Arial"/>
          <w:sz w:val="24"/>
          <w:szCs w:val="24"/>
        </w:rPr>
        <w:t xml:space="preserve">mprove </w:t>
      </w:r>
      <w:r w:rsidR="00253C06">
        <w:rPr>
          <w:rFonts w:ascii="Arial" w:hAnsi="Arial" w:cs="Arial"/>
          <w:sz w:val="24"/>
          <w:szCs w:val="24"/>
        </w:rPr>
        <w:t>o</w:t>
      </w:r>
      <w:r w:rsidR="00487F24" w:rsidRPr="00D75223">
        <w:rPr>
          <w:rFonts w:ascii="Arial" w:hAnsi="Arial" w:cs="Arial"/>
          <w:sz w:val="24"/>
          <w:szCs w:val="24"/>
        </w:rPr>
        <w:t>utcomes</w:t>
      </w:r>
      <w:r w:rsidR="00253C06">
        <w:rPr>
          <w:rFonts w:ascii="Arial" w:hAnsi="Arial" w:cs="Arial"/>
          <w:sz w:val="24"/>
          <w:szCs w:val="24"/>
        </w:rPr>
        <w:t>,</w:t>
      </w:r>
      <w:r w:rsidR="001230AD" w:rsidRPr="00D75223">
        <w:rPr>
          <w:rFonts w:ascii="Arial" w:hAnsi="Arial" w:cs="Arial"/>
          <w:sz w:val="24"/>
          <w:szCs w:val="24"/>
        </w:rPr>
        <w:t xml:space="preserve"> </w:t>
      </w:r>
      <w:r w:rsidR="00253C06">
        <w:rPr>
          <w:rFonts w:ascii="Arial" w:hAnsi="Arial" w:cs="Arial"/>
          <w:sz w:val="24"/>
          <w:szCs w:val="24"/>
        </w:rPr>
        <w:t>r</w:t>
      </w:r>
      <w:r w:rsidR="00487F24" w:rsidRPr="00D75223">
        <w:rPr>
          <w:rFonts w:ascii="Arial" w:hAnsi="Arial" w:cs="Arial"/>
          <w:sz w:val="24"/>
          <w:szCs w:val="24"/>
        </w:rPr>
        <w:t xml:space="preserve">educe </w:t>
      </w:r>
      <w:r w:rsidR="00253C06">
        <w:rPr>
          <w:rFonts w:ascii="Arial" w:hAnsi="Arial" w:cs="Arial"/>
          <w:sz w:val="24"/>
          <w:szCs w:val="24"/>
        </w:rPr>
        <w:t>d</w:t>
      </w:r>
      <w:r w:rsidR="00487F24" w:rsidRPr="00D75223">
        <w:rPr>
          <w:rFonts w:ascii="Arial" w:hAnsi="Arial" w:cs="Arial"/>
          <w:sz w:val="24"/>
          <w:szCs w:val="24"/>
        </w:rPr>
        <w:t>emand</w:t>
      </w:r>
      <w:r w:rsidR="001230AD" w:rsidRPr="00D75223">
        <w:rPr>
          <w:rFonts w:ascii="Arial" w:hAnsi="Arial" w:cs="Arial"/>
          <w:sz w:val="24"/>
          <w:szCs w:val="24"/>
        </w:rPr>
        <w:t xml:space="preserve">, </w:t>
      </w:r>
      <w:r w:rsidR="00253C06">
        <w:rPr>
          <w:rFonts w:ascii="Arial" w:hAnsi="Arial" w:cs="Arial"/>
          <w:sz w:val="24"/>
          <w:szCs w:val="24"/>
        </w:rPr>
        <w:t>b</w:t>
      </w:r>
      <w:r w:rsidR="00487F24" w:rsidRPr="00D75223">
        <w:rPr>
          <w:rFonts w:ascii="Arial" w:hAnsi="Arial" w:cs="Arial"/>
          <w:sz w:val="24"/>
          <w:szCs w:val="24"/>
        </w:rPr>
        <w:t xml:space="preserve">etter </w:t>
      </w:r>
      <w:r w:rsidR="00253C06">
        <w:rPr>
          <w:rFonts w:ascii="Arial" w:hAnsi="Arial" w:cs="Arial"/>
          <w:sz w:val="24"/>
          <w:szCs w:val="24"/>
        </w:rPr>
        <w:t>v</w:t>
      </w:r>
      <w:r w:rsidR="00487F24" w:rsidRPr="00D75223">
        <w:rPr>
          <w:rFonts w:ascii="Arial" w:hAnsi="Arial" w:cs="Arial"/>
          <w:sz w:val="24"/>
          <w:szCs w:val="24"/>
        </w:rPr>
        <w:t xml:space="preserve">alue for </w:t>
      </w:r>
      <w:r w:rsidR="00253C06">
        <w:rPr>
          <w:rFonts w:ascii="Arial" w:hAnsi="Arial" w:cs="Arial"/>
          <w:sz w:val="24"/>
          <w:szCs w:val="24"/>
        </w:rPr>
        <w:t>m</w:t>
      </w:r>
      <w:r w:rsidR="00487F24" w:rsidRPr="00D75223">
        <w:rPr>
          <w:rFonts w:ascii="Arial" w:hAnsi="Arial" w:cs="Arial"/>
          <w:sz w:val="24"/>
          <w:szCs w:val="24"/>
        </w:rPr>
        <w:t>one</w:t>
      </w:r>
      <w:r w:rsidR="00253C06">
        <w:rPr>
          <w:rFonts w:ascii="Arial" w:hAnsi="Arial" w:cs="Arial"/>
          <w:sz w:val="24"/>
          <w:szCs w:val="24"/>
        </w:rPr>
        <w:t>y,</w:t>
      </w:r>
      <w:r w:rsidR="005B1F74" w:rsidRPr="00D75223">
        <w:rPr>
          <w:rFonts w:ascii="Arial" w:hAnsi="Arial" w:cs="Arial"/>
          <w:sz w:val="24"/>
          <w:szCs w:val="24"/>
        </w:rPr>
        <w:t xml:space="preserve"> and </w:t>
      </w:r>
      <w:r w:rsidR="00253C06">
        <w:rPr>
          <w:rFonts w:ascii="Arial" w:hAnsi="Arial" w:cs="Arial"/>
          <w:sz w:val="24"/>
          <w:szCs w:val="24"/>
        </w:rPr>
        <w:t>r</w:t>
      </w:r>
      <w:r w:rsidR="00487F24" w:rsidRPr="00D75223">
        <w:rPr>
          <w:rFonts w:ascii="Arial" w:hAnsi="Arial" w:cs="Arial"/>
          <w:sz w:val="24"/>
          <w:szCs w:val="24"/>
        </w:rPr>
        <w:t>educe inequalities within communities.</w:t>
      </w:r>
    </w:p>
    <w:p w14:paraId="05CB9867" w14:textId="2C9081C5" w:rsidR="00487F24" w:rsidRPr="00D75223" w:rsidRDefault="00487F24" w:rsidP="004A4D56">
      <w:pPr>
        <w:rPr>
          <w:rFonts w:ascii="Arial" w:hAnsi="Arial" w:cs="Arial"/>
          <w:sz w:val="24"/>
          <w:szCs w:val="24"/>
        </w:rPr>
      </w:pPr>
      <w:r w:rsidRPr="00D75223">
        <w:rPr>
          <w:rFonts w:ascii="Arial" w:hAnsi="Arial" w:cs="Arial"/>
          <w:bCs/>
          <w:sz w:val="24"/>
          <w:szCs w:val="24"/>
        </w:rPr>
        <w:t xml:space="preserve">Collaboration </w:t>
      </w:r>
      <w:r w:rsidR="00253C06">
        <w:rPr>
          <w:rFonts w:ascii="Arial" w:hAnsi="Arial" w:cs="Arial"/>
          <w:bCs/>
          <w:sz w:val="24"/>
          <w:szCs w:val="24"/>
        </w:rPr>
        <w:t>p</w:t>
      </w:r>
      <w:r w:rsidRPr="00D75223">
        <w:rPr>
          <w:rFonts w:ascii="Arial" w:hAnsi="Arial" w:cs="Arial"/>
          <w:bCs/>
          <w:sz w:val="24"/>
          <w:szCs w:val="24"/>
        </w:rPr>
        <w:t>rojects</w:t>
      </w:r>
      <w:r w:rsidRPr="00D75223">
        <w:rPr>
          <w:rFonts w:ascii="Arial" w:hAnsi="Arial" w:cs="Arial"/>
          <w:sz w:val="24"/>
          <w:szCs w:val="24"/>
        </w:rPr>
        <w:t xml:space="preserve"> to</w:t>
      </w:r>
      <w:r w:rsidR="00253C06">
        <w:rPr>
          <w:rFonts w:ascii="Arial" w:hAnsi="Arial" w:cs="Arial"/>
          <w:sz w:val="24"/>
          <w:szCs w:val="24"/>
        </w:rPr>
        <w:t>-</w:t>
      </w:r>
      <w:r w:rsidRPr="00D75223">
        <w:rPr>
          <w:rFonts w:ascii="Arial" w:hAnsi="Arial" w:cs="Arial"/>
          <w:sz w:val="24"/>
          <w:szCs w:val="24"/>
        </w:rPr>
        <w:t>date have delivered improved community outcomes and commensurate increases in operational response activity, ensuring the right blue light agency can respond effectively to deliver the best outcomes</w:t>
      </w:r>
      <w:r w:rsidR="4793B4EA" w:rsidRPr="00D75223">
        <w:rPr>
          <w:rFonts w:ascii="Arial" w:hAnsi="Arial" w:cs="Arial"/>
          <w:sz w:val="24"/>
          <w:szCs w:val="24"/>
        </w:rPr>
        <w:t>. Whilst some of the following projects commenced some time ago, they continue to deliver in</w:t>
      </w:r>
      <w:r w:rsidR="00253C06">
        <w:rPr>
          <w:rFonts w:ascii="Arial" w:hAnsi="Arial" w:cs="Arial"/>
          <w:sz w:val="24"/>
          <w:szCs w:val="24"/>
        </w:rPr>
        <w:t>-</w:t>
      </w:r>
      <w:r w:rsidR="4793B4EA" w:rsidRPr="00D75223">
        <w:rPr>
          <w:rFonts w:ascii="Arial" w:hAnsi="Arial" w:cs="Arial"/>
          <w:sz w:val="24"/>
          <w:szCs w:val="24"/>
        </w:rPr>
        <w:t>year benefits to LFRS and the communities of Lancashire:</w:t>
      </w:r>
    </w:p>
    <w:p w14:paraId="64D39CE1" w14:textId="13F4D56B" w:rsidR="00487F24" w:rsidRPr="00D75223" w:rsidRDefault="00487F24"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Joint </w:t>
      </w:r>
      <w:r w:rsidR="00EF4B5B" w:rsidRPr="00D75223">
        <w:rPr>
          <w:rFonts w:ascii="Arial" w:hAnsi="Arial" w:cs="Arial"/>
          <w:sz w:val="24"/>
          <w:szCs w:val="24"/>
        </w:rPr>
        <w:t>Public Finance Initiative (</w:t>
      </w:r>
      <w:r w:rsidRPr="00D75223">
        <w:rPr>
          <w:rFonts w:ascii="Arial" w:hAnsi="Arial" w:cs="Arial"/>
          <w:sz w:val="24"/>
          <w:szCs w:val="24"/>
        </w:rPr>
        <w:t>PFI</w:t>
      </w:r>
      <w:r w:rsidR="00EF4B5B" w:rsidRPr="00D75223">
        <w:rPr>
          <w:rFonts w:ascii="Arial" w:hAnsi="Arial" w:cs="Arial"/>
          <w:sz w:val="24"/>
          <w:szCs w:val="24"/>
        </w:rPr>
        <w:t>)</w:t>
      </w:r>
      <w:r w:rsidRPr="00D75223">
        <w:rPr>
          <w:rFonts w:ascii="Arial" w:hAnsi="Arial" w:cs="Arial"/>
          <w:sz w:val="24"/>
          <w:szCs w:val="24"/>
        </w:rPr>
        <w:t xml:space="preserve"> scheme with Merseyside and Cumbria </w:t>
      </w:r>
      <w:r w:rsidR="00253C06">
        <w:rPr>
          <w:rFonts w:ascii="Arial" w:hAnsi="Arial" w:cs="Arial"/>
          <w:sz w:val="24"/>
          <w:szCs w:val="24"/>
        </w:rPr>
        <w:t>f</w:t>
      </w:r>
      <w:r w:rsidRPr="00D75223">
        <w:rPr>
          <w:rFonts w:ascii="Arial" w:hAnsi="Arial" w:cs="Arial"/>
          <w:sz w:val="24"/>
          <w:szCs w:val="24"/>
        </w:rPr>
        <w:t xml:space="preserve">ire </w:t>
      </w:r>
      <w:r w:rsidR="00253C06">
        <w:rPr>
          <w:rFonts w:ascii="Arial" w:hAnsi="Arial" w:cs="Arial"/>
          <w:sz w:val="24"/>
          <w:szCs w:val="24"/>
        </w:rPr>
        <w:t>and rescue s</w:t>
      </w:r>
      <w:r w:rsidRPr="00D75223">
        <w:rPr>
          <w:rFonts w:ascii="Arial" w:hAnsi="Arial" w:cs="Arial"/>
          <w:sz w:val="24"/>
          <w:szCs w:val="24"/>
        </w:rPr>
        <w:t xml:space="preserve">ervices to deliver 16 stations across the 3 </w:t>
      </w:r>
      <w:r w:rsidR="00253C06">
        <w:rPr>
          <w:rFonts w:ascii="Arial" w:hAnsi="Arial" w:cs="Arial"/>
          <w:sz w:val="24"/>
          <w:szCs w:val="24"/>
        </w:rPr>
        <w:t>a</w:t>
      </w:r>
      <w:r w:rsidRPr="00D75223">
        <w:rPr>
          <w:rFonts w:ascii="Arial" w:hAnsi="Arial" w:cs="Arial"/>
          <w:sz w:val="24"/>
          <w:szCs w:val="24"/>
        </w:rPr>
        <w:t xml:space="preserve">uthorities (4 of </w:t>
      </w:r>
      <w:r w:rsidR="000C2542" w:rsidRPr="00D75223">
        <w:rPr>
          <w:rFonts w:ascii="Arial" w:hAnsi="Arial" w:cs="Arial"/>
          <w:sz w:val="24"/>
          <w:szCs w:val="24"/>
        </w:rPr>
        <w:t>the stations</w:t>
      </w:r>
      <w:r w:rsidRPr="00D75223">
        <w:rPr>
          <w:rFonts w:ascii="Arial" w:hAnsi="Arial" w:cs="Arial"/>
          <w:sz w:val="24"/>
          <w:szCs w:val="24"/>
        </w:rPr>
        <w:t xml:space="preserve"> are in Lancashire), the largest </w:t>
      </w:r>
      <w:r w:rsidR="00253C06">
        <w:rPr>
          <w:rFonts w:ascii="Arial" w:hAnsi="Arial" w:cs="Arial"/>
          <w:sz w:val="24"/>
          <w:szCs w:val="24"/>
        </w:rPr>
        <w:t>f</w:t>
      </w:r>
      <w:r w:rsidRPr="00D75223">
        <w:rPr>
          <w:rFonts w:ascii="Arial" w:hAnsi="Arial" w:cs="Arial"/>
          <w:sz w:val="24"/>
          <w:szCs w:val="24"/>
        </w:rPr>
        <w:t>ire specific PFI scheme agreed at that point in time (estimated capital value of £48m).</w:t>
      </w:r>
    </w:p>
    <w:p w14:paraId="25365675" w14:textId="74216B50" w:rsidR="00487F24" w:rsidRPr="00D75223" w:rsidRDefault="224966F7" w:rsidP="004A4D56">
      <w:pPr>
        <w:pStyle w:val="ListParagraph"/>
        <w:numPr>
          <w:ilvl w:val="0"/>
          <w:numId w:val="5"/>
        </w:numPr>
        <w:rPr>
          <w:rFonts w:ascii="Arial" w:hAnsi="Arial" w:cs="Arial"/>
          <w:sz w:val="24"/>
          <w:szCs w:val="24"/>
        </w:rPr>
      </w:pPr>
      <w:bookmarkStart w:id="26" w:name="_Hlk160532469"/>
      <w:r w:rsidRPr="00D75223">
        <w:rPr>
          <w:rFonts w:ascii="Arial" w:hAnsi="Arial" w:cs="Arial"/>
          <w:sz w:val="24"/>
          <w:szCs w:val="24"/>
        </w:rPr>
        <w:t xml:space="preserve">Combined </w:t>
      </w:r>
      <w:r w:rsidR="00253C06">
        <w:rPr>
          <w:rFonts w:ascii="Arial" w:hAnsi="Arial" w:cs="Arial"/>
          <w:sz w:val="24"/>
          <w:szCs w:val="24"/>
        </w:rPr>
        <w:t>f</w:t>
      </w:r>
      <w:r w:rsidRPr="00D75223">
        <w:rPr>
          <w:rFonts w:ascii="Arial" w:hAnsi="Arial" w:cs="Arial"/>
          <w:sz w:val="24"/>
          <w:szCs w:val="24"/>
        </w:rPr>
        <w:t xml:space="preserve">ire and </w:t>
      </w:r>
      <w:r w:rsidR="00253C06">
        <w:rPr>
          <w:rFonts w:ascii="Arial" w:hAnsi="Arial" w:cs="Arial"/>
          <w:sz w:val="24"/>
          <w:szCs w:val="24"/>
        </w:rPr>
        <w:t>a</w:t>
      </w:r>
      <w:r w:rsidRPr="00D75223">
        <w:rPr>
          <w:rFonts w:ascii="Arial" w:hAnsi="Arial" w:cs="Arial"/>
          <w:sz w:val="24"/>
          <w:szCs w:val="24"/>
        </w:rPr>
        <w:t xml:space="preserve">mbulance stations at Darwen and Lancaster; this provides rental income to the </w:t>
      </w:r>
      <w:r w:rsidR="00253C06">
        <w:rPr>
          <w:rFonts w:ascii="Arial" w:hAnsi="Arial" w:cs="Arial"/>
          <w:sz w:val="24"/>
          <w:szCs w:val="24"/>
        </w:rPr>
        <w:t>a</w:t>
      </w:r>
      <w:r w:rsidRPr="00D75223">
        <w:rPr>
          <w:rFonts w:ascii="Arial" w:hAnsi="Arial" w:cs="Arial"/>
          <w:sz w:val="24"/>
          <w:szCs w:val="24"/>
        </w:rPr>
        <w:t xml:space="preserve">uthority (c.£50,000 pa) </w:t>
      </w:r>
      <w:bookmarkEnd w:id="26"/>
      <w:r w:rsidRPr="00D75223">
        <w:rPr>
          <w:rFonts w:ascii="Arial" w:hAnsi="Arial" w:cs="Arial"/>
          <w:sz w:val="24"/>
          <w:szCs w:val="24"/>
        </w:rPr>
        <w:t>but also negates the need for North</w:t>
      </w:r>
      <w:r w:rsidR="00253C06">
        <w:rPr>
          <w:rFonts w:ascii="Arial" w:hAnsi="Arial" w:cs="Arial"/>
          <w:sz w:val="24"/>
          <w:szCs w:val="24"/>
        </w:rPr>
        <w:t xml:space="preserve"> </w:t>
      </w:r>
      <w:r w:rsidRPr="00D75223">
        <w:rPr>
          <w:rFonts w:ascii="Arial" w:hAnsi="Arial" w:cs="Arial"/>
          <w:sz w:val="24"/>
          <w:szCs w:val="24"/>
        </w:rPr>
        <w:t xml:space="preserve">West Ambulance Service (NWAS) to invest in new facilities, saving the public purse </w:t>
      </w:r>
      <w:r w:rsidR="0DB30270" w:rsidRPr="00D75223">
        <w:rPr>
          <w:rFonts w:ascii="Arial" w:hAnsi="Arial" w:cs="Arial"/>
          <w:sz w:val="24"/>
          <w:szCs w:val="24"/>
        </w:rPr>
        <w:t>c.</w:t>
      </w:r>
      <w:r w:rsidRPr="00D75223">
        <w:rPr>
          <w:rFonts w:ascii="Arial" w:hAnsi="Arial" w:cs="Arial"/>
          <w:sz w:val="24"/>
          <w:szCs w:val="24"/>
        </w:rPr>
        <w:t>£4m-£5m.</w:t>
      </w:r>
    </w:p>
    <w:p w14:paraId="309F7D81" w14:textId="71371CD4" w:rsidR="00487F24" w:rsidRPr="00D75223" w:rsidRDefault="00487F24" w:rsidP="004A4D56">
      <w:pPr>
        <w:pStyle w:val="ListParagraph"/>
        <w:numPr>
          <w:ilvl w:val="0"/>
          <w:numId w:val="5"/>
        </w:numPr>
        <w:rPr>
          <w:rFonts w:ascii="Arial" w:hAnsi="Arial" w:cs="Arial"/>
          <w:sz w:val="24"/>
          <w:szCs w:val="24"/>
        </w:rPr>
      </w:pPr>
      <w:bookmarkStart w:id="27" w:name="_Hlk160532517"/>
      <w:r w:rsidRPr="00D75223">
        <w:rPr>
          <w:rFonts w:ascii="Arial" w:hAnsi="Arial" w:cs="Arial"/>
          <w:sz w:val="24"/>
          <w:szCs w:val="24"/>
        </w:rPr>
        <w:t xml:space="preserve">Joint procurement with the Clinical Commissioning Group for the </w:t>
      </w:r>
      <w:r w:rsidR="13F562F2" w:rsidRPr="00D75223">
        <w:rPr>
          <w:rFonts w:ascii="Arial" w:hAnsi="Arial" w:cs="Arial"/>
          <w:sz w:val="24"/>
          <w:szCs w:val="24"/>
        </w:rPr>
        <w:t xml:space="preserve">provision of our </w:t>
      </w:r>
      <w:r w:rsidRPr="00D75223">
        <w:rPr>
          <w:rFonts w:ascii="Arial" w:hAnsi="Arial" w:cs="Arial"/>
          <w:sz w:val="24"/>
          <w:szCs w:val="24"/>
        </w:rPr>
        <w:t>Wide Area Network (WAN), saving £40,000 p.a.</w:t>
      </w:r>
    </w:p>
    <w:bookmarkEnd w:id="27"/>
    <w:p w14:paraId="3515EC86" w14:textId="0BED7574" w:rsidR="005C12D3" w:rsidRPr="00D75223" w:rsidRDefault="51FD2CEF"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Gaining </w:t>
      </w:r>
      <w:r w:rsidR="00253C06">
        <w:rPr>
          <w:rFonts w:ascii="Arial" w:hAnsi="Arial" w:cs="Arial"/>
          <w:sz w:val="24"/>
          <w:szCs w:val="24"/>
        </w:rPr>
        <w:t>e</w:t>
      </w:r>
      <w:r w:rsidRPr="00D75223">
        <w:rPr>
          <w:rFonts w:ascii="Arial" w:hAnsi="Arial" w:cs="Arial"/>
          <w:sz w:val="24"/>
          <w:szCs w:val="24"/>
        </w:rPr>
        <w:t xml:space="preserve">ntry </w:t>
      </w:r>
      <w:r w:rsidR="00253C06">
        <w:rPr>
          <w:rFonts w:ascii="Arial" w:hAnsi="Arial" w:cs="Arial"/>
          <w:sz w:val="24"/>
          <w:szCs w:val="24"/>
        </w:rPr>
        <w:t>in support of NWAS (</w:t>
      </w:r>
      <w:r w:rsidRPr="00D75223">
        <w:rPr>
          <w:rFonts w:ascii="Arial" w:hAnsi="Arial" w:cs="Arial"/>
          <w:sz w:val="24"/>
          <w:szCs w:val="24"/>
        </w:rPr>
        <w:t xml:space="preserve">c.2000 </w:t>
      </w:r>
      <w:r w:rsidR="11D3C1B0" w:rsidRPr="00D75223">
        <w:rPr>
          <w:rFonts w:ascii="Arial" w:hAnsi="Arial" w:cs="Arial"/>
          <w:sz w:val="24"/>
          <w:szCs w:val="24"/>
        </w:rPr>
        <w:t xml:space="preserve">responses </w:t>
      </w:r>
      <w:r w:rsidRPr="00D75223">
        <w:rPr>
          <w:rFonts w:ascii="Arial" w:hAnsi="Arial" w:cs="Arial"/>
          <w:sz w:val="24"/>
          <w:szCs w:val="24"/>
        </w:rPr>
        <w:t>p.a. based on 202</w:t>
      </w:r>
      <w:r w:rsidR="71750A9A" w:rsidRPr="00D75223">
        <w:rPr>
          <w:rFonts w:ascii="Arial" w:hAnsi="Arial" w:cs="Arial"/>
          <w:sz w:val="24"/>
          <w:szCs w:val="24"/>
        </w:rPr>
        <w:t>4</w:t>
      </w:r>
      <w:r w:rsidRPr="00D75223">
        <w:rPr>
          <w:rFonts w:ascii="Arial" w:hAnsi="Arial" w:cs="Arial"/>
          <w:sz w:val="24"/>
          <w:szCs w:val="24"/>
        </w:rPr>
        <w:t>-2</w:t>
      </w:r>
      <w:r w:rsidR="0CE7D675" w:rsidRPr="00D75223">
        <w:rPr>
          <w:rFonts w:ascii="Arial" w:hAnsi="Arial" w:cs="Arial"/>
          <w:sz w:val="24"/>
          <w:szCs w:val="24"/>
        </w:rPr>
        <w:t>5</w:t>
      </w:r>
      <w:r w:rsidRPr="00D75223">
        <w:rPr>
          <w:rFonts w:ascii="Arial" w:hAnsi="Arial" w:cs="Arial"/>
          <w:sz w:val="24"/>
          <w:szCs w:val="24"/>
        </w:rPr>
        <w:t xml:space="preserve"> data</w:t>
      </w:r>
      <w:r w:rsidR="00253C06">
        <w:rPr>
          <w:rFonts w:ascii="Arial" w:hAnsi="Arial" w:cs="Arial"/>
          <w:sz w:val="24"/>
          <w:szCs w:val="24"/>
        </w:rPr>
        <w:t>)</w:t>
      </w:r>
      <w:r w:rsidRPr="00D75223">
        <w:rPr>
          <w:rFonts w:ascii="Arial" w:hAnsi="Arial" w:cs="Arial"/>
          <w:sz w:val="24"/>
          <w:szCs w:val="24"/>
        </w:rPr>
        <w:t>.</w:t>
      </w:r>
    </w:p>
    <w:p w14:paraId="684C12CF" w14:textId="24E360BE" w:rsidR="00487F24" w:rsidRPr="00D75223" w:rsidRDefault="6C965363"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Drone development (aerial and sub-surface capabilities) for which LFRS has the National Fire Chiefs Council (NFCC) lead role. Our aerial drone capability has supported with many </w:t>
      </w:r>
      <w:r w:rsidR="00253C06">
        <w:rPr>
          <w:rFonts w:ascii="Arial" w:hAnsi="Arial" w:cs="Arial"/>
          <w:sz w:val="24"/>
          <w:szCs w:val="24"/>
        </w:rPr>
        <w:t>m</w:t>
      </w:r>
      <w:r w:rsidRPr="00D75223">
        <w:rPr>
          <w:rFonts w:ascii="Arial" w:hAnsi="Arial" w:cs="Arial"/>
          <w:sz w:val="24"/>
          <w:szCs w:val="24"/>
        </w:rPr>
        <w:t xml:space="preserve">issing </w:t>
      </w:r>
      <w:r w:rsidR="00253C06">
        <w:rPr>
          <w:rFonts w:ascii="Arial" w:hAnsi="Arial" w:cs="Arial"/>
          <w:sz w:val="24"/>
          <w:szCs w:val="24"/>
        </w:rPr>
        <w:t>p</w:t>
      </w:r>
      <w:r w:rsidRPr="00D75223">
        <w:rPr>
          <w:rFonts w:ascii="Arial" w:hAnsi="Arial" w:cs="Arial"/>
          <w:sz w:val="24"/>
          <w:szCs w:val="24"/>
        </w:rPr>
        <w:t xml:space="preserve">erson </w:t>
      </w:r>
      <w:r w:rsidR="00253C06">
        <w:rPr>
          <w:rFonts w:ascii="Arial" w:hAnsi="Arial" w:cs="Arial"/>
          <w:sz w:val="24"/>
          <w:szCs w:val="24"/>
        </w:rPr>
        <w:t>s</w:t>
      </w:r>
      <w:r w:rsidRPr="00D75223">
        <w:rPr>
          <w:rFonts w:ascii="Arial" w:hAnsi="Arial" w:cs="Arial"/>
          <w:sz w:val="24"/>
          <w:szCs w:val="24"/>
        </w:rPr>
        <w:t xml:space="preserve">earches </w:t>
      </w:r>
      <w:r w:rsidR="00253C06">
        <w:rPr>
          <w:rFonts w:ascii="Arial" w:hAnsi="Arial" w:cs="Arial"/>
          <w:sz w:val="24"/>
          <w:szCs w:val="24"/>
        </w:rPr>
        <w:t>(</w:t>
      </w:r>
      <w:r w:rsidRPr="00D75223">
        <w:rPr>
          <w:rFonts w:ascii="Arial" w:hAnsi="Arial" w:cs="Arial"/>
          <w:sz w:val="24"/>
          <w:szCs w:val="24"/>
        </w:rPr>
        <w:t xml:space="preserve">c.250 p.a. based on </w:t>
      </w:r>
      <w:r w:rsidRPr="00D75223">
        <w:rPr>
          <w:rFonts w:ascii="Arial" w:hAnsi="Arial" w:cs="Arial"/>
          <w:sz w:val="24"/>
          <w:szCs w:val="24"/>
        </w:rPr>
        <w:lastRenderedPageBreak/>
        <w:t>202</w:t>
      </w:r>
      <w:r w:rsidR="4E47578C" w:rsidRPr="00D75223">
        <w:rPr>
          <w:rFonts w:ascii="Arial" w:hAnsi="Arial" w:cs="Arial"/>
          <w:sz w:val="24"/>
          <w:szCs w:val="24"/>
        </w:rPr>
        <w:t>4</w:t>
      </w:r>
      <w:r w:rsidRPr="00D75223">
        <w:rPr>
          <w:rFonts w:ascii="Arial" w:hAnsi="Arial" w:cs="Arial"/>
          <w:sz w:val="24"/>
          <w:szCs w:val="24"/>
        </w:rPr>
        <w:t>/2</w:t>
      </w:r>
      <w:r w:rsidR="1FC4A1A8" w:rsidRPr="00D75223">
        <w:rPr>
          <w:rFonts w:ascii="Arial" w:hAnsi="Arial" w:cs="Arial"/>
          <w:sz w:val="24"/>
          <w:szCs w:val="24"/>
        </w:rPr>
        <w:t>5</w:t>
      </w:r>
      <w:r w:rsidRPr="00D75223">
        <w:rPr>
          <w:rFonts w:ascii="Arial" w:hAnsi="Arial" w:cs="Arial"/>
          <w:sz w:val="24"/>
          <w:szCs w:val="24"/>
        </w:rPr>
        <w:t xml:space="preserve"> data</w:t>
      </w:r>
      <w:r w:rsidR="00253C06">
        <w:rPr>
          <w:rFonts w:ascii="Arial" w:hAnsi="Arial" w:cs="Arial"/>
          <w:sz w:val="24"/>
          <w:szCs w:val="24"/>
        </w:rPr>
        <w:t>)</w:t>
      </w:r>
      <w:r w:rsidRPr="00D75223">
        <w:rPr>
          <w:rFonts w:ascii="Arial" w:hAnsi="Arial" w:cs="Arial"/>
          <w:sz w:val="24"/>
          <w:szCs w:val="24"/>
        </w:rPr>
        <w:t xml:space="preserve">. With increasing experience of missing person searches, LFRS staff can provide local or specialist advice for consideration by the </w:t>
      </w:r>
      <w:r w:rsidR="00785464">
        <w:rPr>
          <w:rFonts w:ascii="Arial" w:hAnsi="Arial" w:cs="Arial"/>
          <w:sz w:val="24"/>
          <w:szCs w:val="24"/>
        </w:rPr>
        <w:t>p</w:t>
      </w:r>
      <w:r w:rsidR="791CD503" w:rsidRPr="00D75223">
        <w:rPr>
          <w:rFonts w:ascii="Arial" w:hAnsi="Arial" w:cs="Arial"/>
          <w:sz w:val="24"/>
          <w:szCs w:val="24"/>
        </w:rPr>
        <w:t>o</w:t>
      </w:r>
      <w:r w:rsidR="6C93B995" w:rsidRPr="00D75223">
        <w:rPr>
          <w:rFonts w:ascii="Arial" w:hAnsi="Arial" w:cs="Arial"/>
          <w:sz w:val="24"/>
          <w:szCs w:val="24"/>
        </w:rPr>
        <w:t xml:space="preserve">lice </w:t>
      </w:r>
      <w:r w:rsidR="00785464">
        <w:rPr>
          <w:rFonts w:ascii="Arial" w:hAnsi="Arial" w:cs="Arial"/>
          <w:sz w:val="24"/>
          <w:szCs w:val="24"/>
        </w:rPr>
        <w:t>s</w:t>
      </w:r>
      <w:r w:rsidR="6C93B995" w:rsidRPr="00D75223">
        <w:rPr>
          <w:rFonts w:ascii="Arial" w:hAnsi="Arial" w:cs="Arial"/>
          <w:sz w:val="24"/>
          <w:szCs w:val="24"/>
        </w:rPr>
        <w:t xml:space="preserve">earch </w:t>
      </w:r>
      <w:r w:rsidR="00785464">
        <w:rPr>
          <w:rFonts w:ascii="Arial" w:hAnsi="Arial" w:cs="Arial"/>
          <w:sz w:val="24"/>
          <w:szCs w:val="24"/>
        </w:rPr>
        <w:t>a</w:t>
      </w:r>
      <w:r w:rsidR="6C93B995" w:rsidRPr="00D75223">
        <w:rPr>
          <w:rFonts w:ascii="Arial" w:hAnsi="Arial" w:cs="Arial"/>
          <w:sz w:val="24"/>
          <w:szCs w:val="24"/>
        </w:rPr>
        <w:t>dvisor</w:t>
      </w:r>
      <w:r w:rsidRPr="00D75223">
        <w:rPr>
          <w:rFonts w:ascii="Arial" w:hAnsi="Arial" w:cs="Arial"/>
          <w:sz w:val="24"/>
          <w:szCs w:val="24"/>
        </w:rPr>
        <w:t>, and searches become streamlined allowing a more structured and effective approach to locating high</w:t>
      </w:r>
      <w:r w:rsidR="00785464">
        <w:rPr>
          <w:rFonts w:ascii="Arial" w:hAnsi="Arial" w:cs="Arial"/>
          <w:sz w:val="24"/>
          <w:szCs w:val="24"/>
        </w:rPr>
        <w:t>-</w:t>
      </w:r>
      <w:r w:rsidRPr="00D75223">
        <w:rPr>
          <w:rFonts w:ascii="Arial" w:hAnsi="Arial" w:cs="Arial"/>
          <w:sz w:val="24"/>
          <w:szCs w:val="24"/>
        </w:rPr>
        <w:t>risk missing persons</w:t>
      </w:r>
      <w:r w:rsidR="4C7A417D" w:rsidRPr="00D75223">
        <w:rPr>
          <w:rFonts w:ascii="Arial" w:hAnsi="Arial" w:cs="Arial"/>
          <w:sz w:val="24"/>
          <w:szCs w:val="24"/>
        </w:rPr>
        <w:t>, reducing the time and demand for all responding agencies.</w:t>
      </w:r>
    </w:p>
    <w:p w14:paraId="497A6F08" w14:textId="605A359F" w:rsidR="00487F24" w:rsidRPr="00D75223" w:rsidRDefault="6C965363"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Further investment has </w:t>
      </w:r>
      <w:r w:rsidR="049AE174" w:rsidRPr="00D75223">
        <w:rPr>
          <w:rFonts w:ascii="Arial" w:hAnsi="Arial" w:cs="Arial"/>
          <w:sz w:val="24"/>
          <w:szCs w:val="24"/>
        </w:rPr>
        <w:t>strengthened our</w:t>
      </w:r>
      <w:r w:rsidRPr="00D75223">
        <w:rPr>
          <w:rFonts w:ascii="Arial" w:hAnsi="Arial" w:cs="Arial"/>
          <w:sz w:val="24"/>
          <w:szCs w:val="24"/>
        </w:rPr>
        <w:t xml:space="preserve"> sub-surface rescue </w:t>
      </w:r>
      <w:r w:rsidR="00785464">
        <w:rPr>
          <w:rFonts w:ascii="Arial" w:hAnsi="Arial" w:cs="Arial"/>
          <w:sz w:val="24"/>
          <w:szCs w:val="24"/>
        </w:rPr>
        <w:t>and</w:t>
      </w:r>
      <w:r w:rsidRPr="00D75223">
        <w:rPr>
          <w:rFonts w:ascii="Arial" w:hAnsi="Arial" w:cs="Arial"/>
          <w:sz w:val="24"/>
          <w:szCs w:val="24"/>
        </w:rPr>
        <w:t xml:space="preserve"> recovery capability of persons by virtue of an underwater </w:t>
      </w:r>
      <w:r w:rsidR="00785464">
        <w:rPr>
          <w:rFonts w:ascii="Arial" w:hAnsi="Arial" w:cs="Arial"/>
          <w:sz w:val="24"/>
          <w:szCs w:val="24"/>
        </w:rPr>
        <w:t>r</w:t>
      </w:r>
      <w:r w:rsidR="5C6902C9" w:rsidRPr="00D75223">
        <w:rPr>
          <w:rFonts w:ascii="Arial" w:hAnsi="Arial" w:cs="Arial"/>
          <w:sz w:val="24"/>
          <w:szCs w:val="24"/>
        </w:rPr>
        <w:t xml:space="preserve">emotely </w:t>
      </w:r>
      <w:r w:rsidR="00785464">
        <w:rPr>
          <w:rFonts w:ascii="Arial" w:hAnsi="Arial" w:cs="Arial"/>
          <w:sz w:val="24"/>
          <w:szCs w:val="24"/>
        </w:rPr>
        <w:t>o</w:t>
      </w:r>
      <w:r w:rsidR="7ABED522" w:rsidRPr="00D75223">
        <w:rPr>
          <w:rFonts w:ascii="Arial" w:hAnsi="Arial" w:cs="Arial"/>
          <w:sz w:val="24"/>
          <w:szCs w:val="24"/>
        </w:rPr>
        <w:t xml:space="preserve">perated </w:t>
      </w:r>
      <w:r w:rsidR="00785464">
        <w:rPr>
          <w:rFonts w:ascii="Arial" w:hAnsi="Arial" w:cs="Arial"/>
          <w:sz w:val="24"/>
          <w:szCs w:val="24"/>
        </w:rPr>
        <w:t>v</w:t>
      </w:r>
      <w:r w:rsidR="2F23501F" w:rsidRPr="00D75223">
        <w:rPr>
          <w:rFonts w:ascii="Arial" w:hAnsi="Arial" w:cs="Arial"/>
          <w:sz w:val="24"/>
          <w:szCs w:val="24"/>
        </w:rPr>
        <w:t>ehicle (ROV)</w:t>
      </w:r>
      <w:r w:rsidRPr="00D75223">
        <w:rPr>
          <w:rFonts w:ascii="Arial" w:hAnsi="Arial" w:cs="Arial"/>
          <w:sz w:val="24"/>
          <w:szCs w:val="24"/>
        </w:rPr>
        <w:t xml:space="preserve">. This asset has been deployed locally, regionally and nationally and delivered improved outcomes by way of quickening incident resolution. Ultimately, this results in less public spending due to reduced time commitment of 999 responding agencies. </w:t>
      </w:r>
      <w:r w:rsidR="47A40742" w:rsidRPr="00D75223">
        <w:rPr>
          <w:rFonts w:ascii="Arial" w:hAnsi="Arial" w:cs="Arial"/>
          <w:sz w:val="24"/>
          <w:szCs w:val="24"/>
        </w:rPr>
        <w:t>During 2024</w:t>
      </w:r>
      <w:r w:rsidR="00785464">
        <w:rPr>
          <w:rFonts w:ascii="Arial" w:hAnsi="Arial" w:cs="Arial"/>
          <w:sz w:val="24"/>
          <w:szCs w:val="24"/>
        </w:rPr>
        <w:t>,</w:t>
      </w:r>
      <w:r w:rsidR="47A40742" w:rsidRPr="00D75223">
        <w:rPr>
          <w:rFonts w:ascii="Arial" w:hAnsi="Arial" w:cs="Arial"/>
          <w:sz w:val="24"/>
          <w:szCs w:val="24"/>
        </w:rPr>
        <w:t xml:space="preserve"> the </w:t>
      </w:r>
      <w:r w:rsidRPr="00D75223">
        <w:rPr>
          <w:rFonts w:ascii="Arial" w:hAnsi="Arial" w:cs="Arial"/>
          <w:sz w:val="24"/>
          <w:szCs w:val="24"/>
        </w:rPr>
        <w:t xml:space="preserve">ROV </w:t>
      </w:r>
      <w:r w:rsidR="00785464">
        <w:rPr>
          <w:rFonts w:ascii="Arial" w:hAnsi="Arial" w:cs="Arial"/>
          <w:sz w:val="24"/>
          <w:szCs w:val="24"/>
        </w:rPr>
        <w:t>was</w:t>
      </w:r>
      <w:r w:rsidRPr="00D75223">
        <w:rPr>
          <w:rFonts w:ascii="Arial" w:hAnsi="Arial" w:cs="Arial"/>
          <w:sz w:val="24"/>
          <w:szCs w:val="24"/>
        </w:rPr>
        <w:t xml:space="preserve"> deployed operationally </w:t>
      </w:r>
      <w:r w:rsidR="6BEA2AC1" w:rsidRPr="00D75223">
        <w:rPr>
          <w:rFonts w:ascii="Arial" w:hAnsi="Arial" w:cs="Arial"/>
          <w:sz w:val="24"/>
          <w:szCs w:val="24"/>
        </w:rPr>
        <w:t>6 times, 4 of which were out of county (recharge in line with NFCC guidance)</w:t>
      </w:r>
      <w:r w:rsidRPr="00D75223">
        <w:rPr>
          <w:rFonts w:ascii="Arial" w:hAnsi="Arial" w:cs="Arial"/>
          <w:sz w:val="24"/>
          <w:szCs w:val="24"/>
        </w:rPr>
        <w:t xml:space="preserve">. </w:t>
      </w:r>
      <w:r w:rsidR="275ECD21" w:rsidRPr="00D75223">
        <w:rPr>
          <w:rFonts w:ascii="Arial" w:hAnsi="Arial" w:cs="Arial"/>
          <w:sz w:val="24"/>
          <w:szCs w:val="24"/>
        </w:rPr>
        <w:t>Several</w:t>
      </w:r>
      <w:r w:rsidRPr="00D75223">
        <w:rPr>
          <w:rFonts w:ascii="Arial" w:hAnsi="Arial" w:cs="Arial"/>
          <w:sz w:val="24"/>
          <w:szCs w:val="24"/>
        </w:rPr>
        <w:t xml:space="preserve"> incidents involved the casualty being </w:t>
      </w:r>
      <w:r w:rsidR="6BE1AD8D" w:rsidRPr="00D75223">
        <w:rPr>
          <w:rFonts w:ascii="Arial" w:hAnsi="Arial" w:cs="Arial"/>
          <w:sz w:val="24"/>
          <w:szCs w:val="24"/>
        </w:rPr>
        <w:t xml:space="preserve">located </w:t>
      </w:r>
      <w:r w:rsidRPr="00D75223">
        <w:rPr>
          <w:rFonts w:ascii="Arial" w:hAnsi="Arial" w:cs="Arial"/>
          <w:sz w:val="24"/>
          <w:szCs w:val="24"/>
        </w:rPr>
        <w:t xml:space="preserve">by the </w:t>
      </w:r>
      <w:r w:rsidR="40D8ED46" w:rsidRPr="00D75223">
        <w:rPr>
          <w:rFonts w:ascii="Arial" w:hAnsi="Arial" w:cs="Arial"/>
          <w:sz w:val="24"/>
          <w:szCs w:val="24"/>
        </w:rPr>
        <w:t>ROV or</w:t>
      </w:r>
      <w:r w:rsidRPr="00D75223">
        <w:rPr>
          <w:rFonts w:ascii="Arial" w:hAnsi="Arial" w:cs="Arial"/>
          <w:sz w:val="24"/>
          <w:szCs w:val="24"/>
        </w:rPr>
        <w:t xml:space="preserve"> led to areas being searched (and effectively cleared), which in turn had positive effects on the incident conclusion. The underwater deployments have enabled incidents to be de-escalated, significantly reducing the number of resources required from several agencies for what would normally be protracted incidents.</w:t>
      </w:r>
    </w:p>
    <w:p w14:paraId="759C9BBC" w14:textId="3D280BFC" w:rsidR="11DC6218" w:rsidRPr="00D75223" w:rsidRDefault="11DC6218" w:rsidP="004A4D56">
      <w:pPr>
        <w:pStyle w:val="ListParagraph"/>
        <w:numPr>
          <w:ilvl w:val="0"/>
          <w:numId w:val="5"/>
        </w:numPr>
        <w:rPr>
          <w:rFonts w:ascii="Arial" w:eastAsiaTheme="minorEastAsia" w:hAnsi="Arial" w:cs="Arial"/>
          <w:color w:val="333333"/>
          <w:sz w:val="24"/>
          <w:szCs w:val="24"/>
        </w:rPr>
      </w:pPr>
      <w:r w:rsidRPr="00D75223">
        <w:rPr>
          <w:rFonts w:ascii="Arial" w:hAnsi="Arial" w:cs="Arial"/>
          <w:sz w:val="24"/>
          <w:szCs w:val="24"/>
        </w:rPr>
        <w:t>Search</w:t>
      </w:r>
      <w:r w:rsidRPr="00D75223">
        <w:rPr>
          <w:rFonts w:ascii="Arial" w:eastAsiaTheme="minorEastAsia" w:hAnsi="Arial" w:cs="Arial"/>
          <w:color w:val="333333"/>
          <w:sz w:val="24"/>
          <w:szCs w:val="24"/>
        </w:rPr>
        <w:t xml:space="preserve"> dog capabilities, specialising in incidents specific to fire and explosion. These specialist assets are also used in collaboration with Lancashire Constabulary for high risk missing people</w:t>
      </w:r>
      <w:r w:rsidR="388FEB56" w:rsidRPr="00D75223">
        <w:rPr>
          <w:rFonts w:ascii="Arial" w:eastAsiaTheme="minorEastAsia" w:hAnsi="Arial" w:cs="Arial"/>
          <w:color w:val="333333"/>
          <w:sz w:val="24"/>
          <w:szCs w:val="24"/>
        </w:rPr>
        <w:t>:</w:t>
      </w:r>
      <w:r w:rsidRPr="00D75223">
        <w:rPr>
          <w:rFonts w:ascii="Arial" w:eastAsiaTheme="minorEastAsia" w:hAnsi="Arial" w:cs="Arial"/>
          <w:color w:val="333333"/>
          <w:sz w:val="24"/>
          <w:szCs w:val="24"/>
        </w:rPr>
        <w:t xml:space="preserve"> </w:t>
      </w:r>
    </w:p>
    <w:p w14:paraId="6B6D06F4" w14:textId="612126F7" w:rsidR="11DC6218" w:rsidRPr="00D75223" w:rsidRDefault="11DC6218" w:rsidP="004A4D56">
      <w:pPr>
        <w:pStyle w:val="ListParagraph"/>
        <w:numPr>
          <w:ilvl w:val="1"/>
          <w:numId w:val="5"/>
        </w:numPr>
        <w:rPr>
          <w:rFonts w:ascii="Arial" w:eastAsiaTheme="minorEastAsia" w:hAnsi="Arial" w:cs="Arial"/>
          <w:color w:val="333333"/>
          <w:sz w:val="24"/>
          <w:szCs w:val="24"/>
        </w:rPr>
      </w:pPr>
      <w:r w:rsidRPr="00D75223">
        <w:rPr>
          <w:rFonts w:ascii="Arial" w:eastAsiaTheme="minorEastAsia" w:hAnsi="Arial" w:cs="Arial"/>
          <w:color w:val="333333"/>
          <w:sz w:val="24"/>
          <w:szCs w:val="24"/>
        </w:rPr>
        <w:t xml:space="preserve">2 x </w:t>
      </w:r>
      <w:r w:rsidR="00CC6162" w:rsidRPr="00D75223">
        <w:rPr>
          <w:rFonts w:ascii="Arial" w:eastAsiaTheme="minorEastAsia" w:hAnsi="Arial" w:cs="Arial"/>
          <w:color w:val="333333"/>
          <w:sz w:val="24"/>
          <w:szCs w:val="24"/>
        </w:rPr>
        <w:t>Urban Search and Rescue (</w:t>
      </w:r>
      <w:r w:rsidRPr="00D75223">
        <w:rPr>
          <w:rFonts w:ascii="Arial" w:eastAsiaTheme="minorEastAsia" w:hAnsi="Arial" w:cs="Arial"/>
          <w:color w:val="333333"/>
          <w:sz w:val="24"/>
          <w:szCs w:val="24"/>
        </w:rPr>
        <w:t>USAR</w:t>
      </w:r>
      <w:r w:rsidR="00CC6162" w:rsidRPr="00D75223">
        <w:rPr>
          <w:rFonts w:ascii="Arial" w:eastAsiaTheme="minorEastAsia" w:hAnsi="Arial" w:cs="Arial"/>
          <w:color w:val="333333"/>
          <w:sz w:val="24"/>
          <w:szCs w:val="24"/>
        </w:rPr>
        <w:t>)</w:t>
      </w:r>
      <w:r w:rsidR="00785464">
        <w:rPr>
          <w:rFonts w:ascii="Arial" w:eastAsiaTheme="minorEastAsia" w:hAnsi="Arial" w:cs="Arial"/>
          <w:color w:val="333333"/>
          <w:sz w:val="24"/>
          <w:szCs w:val="24"/>
        </w:rPr>
        <w:t xml:space="preserve"> </w:t>
      </w:r>
      <w:r w:rsidRPr="00D75223">
        <w:rPr>
          <w:rFonts w:ascii="Arial" w:eastAsiaTheme="minorEastAsia" w:hAnsi="Arial" w:cs="Arial"/>
          <w:color w:val="333333"/>
          <w:sz w:val="24"/>
          <w:szCs w:val="24"/>
        </w:rPr>
        <w:t xml:space="preserve">/ </w:t>
      </w:r>
      <w:r w:rsidR="00785464">
        <w:rPr>
          <w:rFonts w:ascii="Arial" w:eastAsiaTheme="minorEastAsia" w:hAnsi="Arial" w:cs="Arial"/>
          <w:color w:val="333333"/>
          <w:sz w:val="24"/>
          <w:szCs w:val="24"/>
        </w:rPr>
        <w:t>a</w:t>
      </w:r>
      <w:r w:rsidRPr="00D75223">
        <w:rPr>
          <w:rFonts w:ascii="Arial" w:eastAsiaTheme="minorEastAsia" w:hAnsi="Arial" w:cs="Arial"/>
          <w:color w:val="333333"/>
          <w:sz w:val="24"/>
          <w:szCs w:val="24"/>
        </w:rPr>
        <w:t>rea search dogs (</w:t>
      </w:r>
      <w:r w:rsidR="00785464">
        <w:rPr>
          <w:rFonts w:ascii="Arial" w:eastAsiaTheme="minorEastAsia" w:hAnsi="Arial" w:cs="Arial"/>
          <w:color w:val="333333"/>
          <w:sz w:val="24"/>
          <w:szCs w:val="24"/>
        </w:rPr>
        <w:t>l</w:t>
      </w:r>
      <w:r w:rsidRPr="00D75223">
        <w:rPr>
          <w:rFonts w:ascii="Arial" w:eastAsiaTheme="minorEastAsia" w:hAnsi="Arial" w:cs="Arial"/>
          <w:color w:val="333333"/>
          <w:sz w:val="24"/>
          <w:szCs w:val="24"/>
        </w:rPr>
        <w:t>ive)</w:t>
      </w:r>
    </w:p>
    <w:p w14:paraId="067DEB78" w14:textId="7655C7E5" w:rsidR="11DC6218" w:rsidRPr="00D75223" w:rsidRDefault="11DC6218" w:rsidP="004A4D56">
      <w:pPr>
        <w:pStyle w:val="ListParagraph"/>
        <w:numPr>
          <w:ilvl w:val="1"/>
          <w:numId w:val="5"/>
        </w:numPr>
        <w:rPr>
          <w:rFonts w:ascii="Arial" w:eastAsiaTheme="minorEastAsia" w:hAnsi="Arial" w:cs="Arial"/>
          <w:color w:val="333333"/>
          <w:sz w:val="24"/>
          <w:szCs w:val="24"/>
        </w:rPr>
      </w:pPr>
      <w:r w:rsidRPr="00D75223">
        <w:rPr>
          <w:rFonts w:ascii="Arial" w:eastAsiaTheme="minorEastAsia" w:hAnsi="Arial" w:cs="Arial"/>
          <w:color w:val="333333"/>
          <w:sz w:val="24"/>
          <w:szCs w:val="24"/>
        </w:rPr>
        <w:t>1 x USAR</w:t>
      </w:r>
      <w:r w:rsidR="00785464">
        <w:rPr>
          <w:rFonts w:ascii="Arial" w:eastAsiaTheme="minorEastAsia" w:hAnsi="Arial" w:cs="Arial"/>
          <w:color w:val="333333"/>
          <w:sz w:val="24"/>
          <w:szCs w:val="24"/>
        </w:rPr>
        <w:t xml:space="preserve"> </w:t>
      </w:r>
      <w:r w:rsidRPr="00D75223">
        <w:rPr>
          <w:rFonts w:ascii="Arial" w:eastAsiaTheme="minorEastAsia" w:hAnsi="Arial" w:cs="Arial"/>
          <w:color w:val="333333"/>
          <w:sz w:val="24"/>
          <w:szCs w:val="24"/>
        </w:rPr>
        <w:t xml:space="preserve">/ </w:t>
      </w:r>
      <w:r w:rsidR="00785464">
        <w:rPr>
          <w:rFonts w:ascii="Arial" w:eastAsiaTheme="minorEastAsia" w:hAnsi="Arial" w:cs="Arial"/>
          <w:color w:val="333333"/>
          <w:sz w:val="24"/>
          <w:szCs w:val="24"/>
        </w:rPr>
        <w:t>a</w:t>
      </w:r>
      <w:r w:rsidRPr="00D75223">
        <w:rPr>
          <w:rFonts w:ascii="Arial" w:eastAsiaTheme="minorEastAsia" w:hAnsi="Arial" w:cs="Arial"/>
          <w:color w:val="333333"/>
          <w:sz w:val="24"/>
          <w:szCs w:val="24"/>
        </w:rPr>
        <w:t>rea search dog (</w:t>
      </w:r>
      <w:r w:rsidR="00785464">
        <w:rPr>
          <w:rFonts w:ascii="Arial" w:eastAsiaTheme="minorEastAsia" w:hAnsi="Arial" w:cs="Arial"/>
          <w:color w:val="333333"/>
          <w:sz w:val="24"/>
          <w:szCs w:val="24"/>
        </w:rPr>
        <w:t>c</w:t>
      </w:r>
      <w:r w:rsidRPr="00D75223">
        <w:rPr>
          <w:rFonts w:ascii="Arial" w:eastAsiaTheme="minorEastAsia" w:hAnsi="Arial" w:cs="Arial"/>
          <w:color w:val="333333"/>
          <w:sz w:val="24"/>
          <w:szCs w:val="24"/>
        </w:rPr>
        <w:t xml:space="preserve">adaver) </w:t>
      </w:r>
    </w:p>
    <w:p w14:paraId="35ECB0C4" w14:textId="4EA533D5" w:rsidR="11DC6218" w:rsidRPr="00D75223" w:rsidRDefault="11DC6218" w:rsidP="004A4D56">
      <w:pPr>
        <w:pStyle w:val="ListParagraph"/>
        <w:numPr>
          <w:ilvl w:val="1"/>
          <w:numId w:val="5"/>
        </w:numPr>
        <w:rPr>
          <w:rFonts w:ascii="Arial" w:eastAsiaTheme="minorEastAsia" w:hAnsi="Arial" w:cs="Arial"/>
          <w:color w:val="333333"/>
          <w:sz w:val="24"/>
          <w:szCs w:val="24"/>
        </w:rPr>
      </w:pPr>
      <w:r w:rsidRPr="00D75223">
        <w:rPr>
          <w:rFonts w:ascii="Arial" w:eastAsiaTheme="minorEastAsia" w:hAnsi="Arial" w:cs="Arial"/>
          <w:color w:val="333333"/>
          <w:sz w:val="24"/>
          <w:szCs w:val="24"/>
        </w:rPr>
        <w:t xml:space="preserve">1 x Fire </w:t>
      </w:r>
      <w:r w:rsidR="00785464">
        <w:rPr>
          <w:rFonts w:ascii="Arial" w:eastAsiaTheme="minorEastAsia" w:hAnsi="Arial" w:cs="Arial"/>
          <w:color w:val="333333"/>
          <w:sz w:val="24"/>
          <w:szCs w:val="24"/>
        </w:rPr>
        <w:t>i</w:t>
      </w:r>
      <w:r w:rsidRPr="00D75223">
        <w:rPr>
          <w:rFonts w:ascii="Arial" w:eastAsiaTheme="minorEastAsia" w:hAnsi="Arial" w:cs="Arial"/>
          <w:color w:val="333333"/>
          <w:sz w:val="24"/>
          <w:szCs w:val="24"/>
        </w:rPr>
        <w:t xml:space="preserve">nvestigation search dog. </w:t>
      </w:r>
    </w:p>
    <w:p w14:paraId="2ED34923" w14:textId="4D4C2EDB" w:rsidR="11DC6218" w:rsidRPr="00D75223" w:rsidRDefault="11DC6218" w:rsidP="004A4D56">
      <w:pPr>
        <w:pStyle w:val="ListParagraph"/>
        <w:numPr>
          <w:ilvl w:val="0"/>
          <w:numId w:val="5"/>
        </w:numPr>
        <w:rPr>
          <w:rFonts w:ascii="Arial" w:eastAsiaTheme="minorEastAsia" w:hAnsi="Arial" w:cs="Arial"/>
          <w:color w:val="333333"/>
          <w:sz w:val="24"/>
          <w:szCs w:val="24"/>
        </w:rPr>
      </w:pPr>
      <w:r w:rsidRPr="00D75223">
        <w:rPr>
          <w:rFonts w:ascii="Arial" w:hAnsi="Arial" w:cs="Arial"/>
          <w:sz w:val="24"/>
          <w:szCs w:val="24"/>
        </w:rPr>
        <w:t>USAR</w:t>
      </w:r>
      <w:r w:rsidRPr="00D75223">
        <w:rPr>
          <w:rFonts w:ascii="Arial" w:eastAsiaTheme="minorEastAsia" w:hAnsi="Arial" w:cs="Arial"/>
          <w:color w:val="333333"/>
          <w:sz w:val="24"/>
          <w:szCs w:val="24"/>
        </w:rPr>
        <w:t xml:space="preserve"> dogs are part funded by </w:t>
      </w:r>
      <w:r w:rsidR="00CC6162" w:rsidRPr="00D75223">
        <w:rPr>
          <w:rFonts w:ascii="Arial" w:eastAsiaTheme="minorEastAsia" w:hAnsi="Arial" w:cs="Arial"/>
          <w:color w:val="333333"/>
          <w:sz w:val="24"/>
          <w:szCs w:val="24"/>
        </w:rPr>
        <w:t>Northern Ireland</w:t>
      </w:r>
      <w:r w:rsidRPr="00D75223">
        <w:rPr>
          <w:rFonts w:ascii="Arial" w:eastAsiaTheme="minorEastAsia" w:hAnsi="Arial" w:cs="Arial"/>
          <w:color w:val="333333"/>
          <w:sz w:val="24"/>
          <w:szCs w:val="24"/>
        </w:rPr>
        <w:t xml:space="preserve"> and UK </w:t>
      </w:r>
      <w:r w:rsidR="00CC6162" w:rsidRPr="00D75223">
        <w:rPr>
          <w:rFonts w:ascii="Arial" w:eastAsiaTheme="minorEastAsia" w:hAnsi="Arial" w:cs="Arial"/>
          <w:color w:val="333333"/>
          <w:sz w:val="24"/>
          <w:szCs w:val="24"/>
        </w:rPr>
        <w:t>International Search and Rescue</w:t>
      </w:r>
      <w:r w:rsidRPr="00D75223">
        <w:rPr>
          <w:rFonts w:ascii="Arial" w:eastAsiaTheme="minorEastAsia" w:hAnsi="Arial" w:cs="Arial"/>
          <w:color w:val="333333"/>
          <w:sz w:val="24"/>
          <w:szCs w:val="24"/>
        </w:rPr>
        <w:t xml:space="preserve"> and provide </w:t>
      </w:r>
      <w:r w:rsidR="00785464">
        <w:rPr>
          <w:rFonts w:ascii="Arial" w:eastAsiaTheme="minorEastAsia" w:hAnsi="Arial" w:cs="Arial"/>
          <w:color w:val="333333"/>
          <w:sz w:val="24"/>
          <w:szCs w:val="24"/>
        </w:rPr>
        <w:t>n</w:t>
      </w:r>
      <w:r w:rsidRPr="00D75223">
        <w:rPr>
          <w:rFonts w:ascii="Arial" w:eastAsiaTheme="minorEastAsia" w:hAnsi="Arial" w:cs="Arial"/>
          <w:color w:val="333333"/>
          <w:sz w:val="24"/>
          <w:szCs w:val="24"/>
        </w:rPr>
        <w:t xml:space="preserve">ational and </w:t>
      </w:r>
      <w:r w:rsidR="00785464">
        <w:rPr>
          <w:rFonts w:ascii="Arial" w:eastAsiaTheme="minorEastAsia" w:hAnsi="Arial" w:cs="Arial"/>
          <w:color w:val="333333"/>
          <w:sz w:val="24"/>
          <w:szCs w:val="24"/>
        </w:rPr>
        <w:t>i</w:t>
      </w:r>
      <w:r w:rsidRPr="00D75223">
        <w:rPr>
          <w:rFonts w:ascii="Arial" w:eastAsiaTheme="minorEastAsia" w:hAnsi="Arial" w:cs="Arial"/>
          <w:color w:val="333333"/>
          <w:sz w:val="24"/>
          <w:szCs w:val="24"/>
        </w:rPr>
        <w:t>nternational cover. LFRS fund</w:t>
      </w:r>
      <w:r w:rsidR="00785464">
        <w:rPr>
          <w:rFonts w:ascii="Arial" w:eastAsiaTheme="minorEastAsia" w:hAnsi="Arial" w:cs="Arial"/>
          <w:color w:val="333333"/>
          <w:sz w:val="24"/>
          <w:szCs w:val="24"/>
        </w:rPr>
        <w:t>s</w:t>
      </w:r>
      <w:r w:rsidRPr="00D75223">
        <w:rPr>
          <w:rFonts w:ascii="Arial" w:eastAsiaTheme="minorEastAsia" w:hAnsi="Arial" w:cs="Arial"/>
          <w:color w:val="333333"/>
          <w:sz w:val="24"/>
          <w:szCs w:val="24"/>
        </w:rPr>
        <w:t xml:space="preserve"> </w:t>
      </w:r>
      <w:r w:rsidR="00785464">
        <w:rPr>
          <w:rFonts w:ascii="Arial" w:eastAsiaTheme="minorEastAsia" w:hAnsi="Arial" w:cs="Arial"/>
          <w:color w:val="333333"/>
          <w:sz w:val="24"/>
          <w:szCs w:val="24"/>
        </w:rPr>
        <w:t>c</w:t>
      </w:r>
      <w:r w:rsidRPr="00D75223">
        <w:rPr>
          <w:rFonts w:ascii="Arial" w:eastAsiaTheme="minorEastAsia" w:hAnsi="Arial" w:cs="Arial"/>
          <w:color w:val="333333"/>
          <w:sz w:val="24"/>
          <w:szCs w:val="24"/>
        </w:rPr>
        <w:t xml:space="preserve">adaver and the </w:t>
      </w:r>
      <w:r w:rsidR="00785464">
        <w:rPr>
          <w:rFonts w:ascii="Arial" w:eastAsiaTheme="minorEastAsia" w:hAnsi="Arial" w:cs="Arial"/>
          <w:color w:val="333333"/>
          <w:sz w:val="24"/>
          <w:szCs w:val="24"/>
        </w:rPr>
        <w:t>fire investigation</w:t>
      </w:r>
      <w:r w:rsidRPr="00D75223">
        <w:rPr>
          <w:rFonts w:ascii="Arial" w:eastAsiaTheme="minorEastAsia" w:hAnsi="Arial" w:cs="Arial"/>
          <w:color w:val="333333"/>
          <w:sz w:val="24"/>
          <w:szCs w:val="24"/>
        </w:rPr>
        <w:t xml:space="preserve"> search dog and allow the use of these assets on a goodwill basis to </w:t>
      </w:r>
      <w:r w:rsidR="005C02D5">
        <w:rPr>
          <w:rFonts w:ascii="Arial" w:eastAsiaTheme="minorEastAsia" w:hAnsi="Arial" w:cs="Arial"/>
          <w:color w:val="333333"/>
          <w:sz w:val="24"/>
          <w:szCs w:val="24"/>
        </w:rPr>
        <w:t>n</w:t>
      </w:r>
      <w:r w:rsidRPr="00D75223">
        <w:rPr>
          <w:rFonts w:ascii="Arial" w:eastAsiaTheme="minorEastAsia" w:hAnsi="Arial" w:cs="Arial"/>
          <w:color w:val="333333"/>
          <w:sz w:val="24"/>
          <w:szCs w:val="24"/>
        </w:rPr>
        <w:t>orth</w:t>
      </w:r>
      <w:r w:rsidR="005C02D5">
        <w:rPr>
          <w:rFonts w:ascii="Arial" w:eastAsiaTheme="minorEastAsia" w:hAnsi="Arial" w:cs="Arial"/>
          <w:color w:val="333333"/>
          <w:sz w:val="24"/>
          <w:szCs w:val="24"/>
        </w:rPr>
        <w:t xml:space="preserve"> </w:t>
      </w:r>
      <w:r w:rsidRPr="00D75223">
        <w:rPr>
          <w:rFonts w:ascii="Arial" w:eastAsiaTheme="minorEastAsia" w:hAnsi="Arial" w:cs="Arial"/>
          <w:color w:val="333333"/>
          <w:sz w:val="24"/>
          <w:szCs w:val="24"/>
        </w:rPr>
        <w:t xml:space="preserve">west regional </w:t>
      </w:r>
      <w:r w:rsidR="005C02D5">
        <w:rPr>
          <w:rFonts w:ascii="Arial" w:eastAsiaTheme="minorEastAsia" w:hAnsi="Arial" w:cs="Arial"/>
          <w:color w:val="333333"/>
          <w:sz w:val="24"/>
          <w:szCs w:val="24"/>
        </w:rPr>
        <w:t>f</w:t>
      </w:r>
      <w:r w:rsidR="00F846A7" w:rsidRPr="00D75223">
        <w:rPr>
          <w:rFonts w:ascii="Arial" w:eastAsiaTheme="minorEastAsia" w:hAnsi="Arial" w:cs="Arial"/>
          <w:color w:val="333333"/>
          <w:sz w:val="24"/>
          <w:szCs w:val="24"/>
        </w:rPr>
        <w:t>ir</w:t>
      </w:r>
      <w:r w:rsidR="00786D72" w:rsidRPr="00D75223">
        <w:rPr>
          <w:rFonts w:ascii="Arial" w:eastAsiaTheme="minorEastAsia" w:hAnsi="Arial" w:cs="Arial"/>
          <w:color w:val="333333"/>
          <w:sz w:val="24"/>
          <w:szCs w:val="24"/>
        </w:rPr>
        <w:t xml:space="preserve">e and </w:t>
      </w:r>
      <w:r w:rsidR="005C02D5">
        <w:rPr>
          <w:rFonts w:ascii="Arial" w:eastAsiaTheme="minorEastAsia" w:hAnsi="Arial" w:cs="Arial"/>
          <w:color w:val="333333"/>
          <w:sz w:val="24"/>
          <w:szCs w:val="24"/>
        </w:rPr>
        <w:t>r</w:t>
      </w:r>
      <w:r w:rsidR="00786D72" w:rsidRPr="00D75223">
        <w:rPr>
          <w:rFonts w:ascii="Arial" w:eastAsiaTheme="minorEastAsia" w:hAnsi="Arial" w:cs="Arial"/>
          <w:color w:val="333333"/>
          <w:sz w:val="24"/>
          <w:szCs w:val="24"/>
        </w:rPr>
        <w:t xml:space="preserve">escue </w:t>
      </w:r>
      <w:r w:rsidR="005C02D5">
        <w:rPr>
          <w:rFonts w:ascii="Arial" w:eastAsiaTheme="minorEastAsia" w:hAnsi="Arial" w:cs="Arial"/>
          <w:color w:val="333333"/>
          <w:sz w:val="24"/>
          <w:szCs w:val="24"/>
        </w:rPr>
        <w:t>s</w:t>
      </w:r>
      <w:r w:rsidR="00786D72" w:rsidRPr="00D75223">
        <w:rPr>
          <w:rFonts w:ascii="Arial" w:eastAsiaTheme="minorEastAsia" w:hAnsi="Arial" w:cs="Arial"/>
          <w:color w:val="333333"/>
          <w:sz w:val="24"/>
          <w:szCs w:val="24"/>
        </w:rPr>
        <w:t>ervices (</w:t>
      </w:r>
      <w:r w:rsidRPr="00D75223">
        <w:rPr>
          <w:rFonts w:ascii="Arial" w:eastAsiaTheme="minorEastAsia" w:hAnsi="Arial" w:cs="Arial"/>
          <w:color w:val="333333"/>
          <w:sz w:val="24"/>
          <w:szCs w:val="24"/>
        </w:rPr>
        <w:t>FRS</w:t>
      </w:r>
      <w:r w:rsidR="00786D72" w:rsidRPr="00D75223">
        <w:rPr>
          <w:rFonts w:ascii="Arial" w:eastAsiaTheme="minorEastAsia" w:hAnsi="Arial" w:cs="Arial"/>
          <w:color w:val="333333"/>
          <w:sz w:val="24"/>
          <w:szCs w:val="24"/>
        </w:rPr>
        <w:t>)</w:t>
      </w:r>
      <w:r w:rsidRPr="00D75223">
        <w:rPr>
          <w:rFonts w:ascii="Arial" w:eastAsiaTheme="minorEastAsia" w:hAnsi="Arial" w:cs="Arial"/>
          <w:color w:val="333333"/>
          <w:sz w:val="24"/>
          <w:szCs w:val="24"/>
        </w:rPr>
        <w:t xml:space="preserve"> and Lancashire Police. All other </w:t>
      </w:r>
      <w:r w:rsidR="005C02D5">
        <w:rPr>
          <w:rFonts w:ascii="Arial" w:eastAsiaTheme="minorEastAsia" w:hAnsi="Arial" w:cs="Arial"/>
          <w:color w:val="333333"/>
          <w:sz w:val="24"/>
          <w:szCs w:val="24"/>
        </w:rPr>
        <w:t>p</w:t>
      </w:r>
      <w:r w:rsidRPr="00D75223">
        <w:rPr>
          <w:rFonts w:ascii="Arial" w:eastAsiaTheme="minorEastAsia" w:hAnsi="Arial" w:cs="Arial"/>
          <w:color w:val="333333"/>
          <w:sz w:val="24"/>
          <w:szCs w:val="24"/>
        </w:rPr>
        <w:t>olice services and FRS</w:t>
      </w:r>
      <w:r w:rsidR="005C02D5">
        <w:rPr>
          <w:rFonts w:ascii="Arial" w:eastAsiaTheme="minorEastAsia" w:hAnsi="Arial" w:cs="Arial"/>
          <w:color w:val="333333"/>
          <w:sz w:val="24"/>
          <w:szCs w:val="24"/>
        </w:rPr>
        <w:t>s</w:t>
      </w:r>
      <w:r w:rsidRPr="00D75223">
        <w:rPr>
          <w:rFonts w:ascii="Arial" w:eastAsiaTheme="minorEastAsia" w:hAnsi="Arial" w:cs="Arial"/>
          <w:color w:val="333333"/>
          <w:sz w:val="24"/>
          <w:szCs w:val="24"/>
        </w:rPr>
        <w:t xml:space="preserve"> are on a recharge basis.</w:t>
      </w:r>
      <w:r w:rsidR="427899D6" w:rsidRPr="00D75223">
        <w:rPr>
          <w:rFonts w:ascii="Arial" w:eastAsiaTheme="minorEastAsia" w:hAnsi="Arial" w:cs="Arial"/>
          <w:color w:val="333333"/>
          <w:sz w:val="24"/>
          <w:szCs w:val="24"/>
        </w:rPr>
        <w:t xml:space="preserve"> </w:t>
      </w:r>
      <w:r w:rsidRPr="00D75223">
        <w:rPr>
          <w:rFonts w:ascii="Arial" w:eastAsiaTheme="minorEastAsia" w:hAnsi="Arial" w:cs="Arial"/>
          <w:color w:val="333333"/>
          <w:sz w:val="24"/>
          <w:szCs w:val="24"/>
        </w:rPr>
        <w:t>*Note</w:t>
      </w:r>
      <w:r w:rsidR="005C02D5">
        <w:rPr>
          <w:rFonts w:ascii="Arial" w:eastAsiaTheme="minorEastAsia" w:hAnsi="Arial" w:cs="Arial"/>
          <w:color w:val="333333"/>
          <w:sz w:val="24"/>
          <w:szCs w:val="24"/>
        </w:rPr>
        <w:t>:</w:t>
      </w:r>
      <w:r w:rsidRPr="00D75223">
        <w:rPr>
          <w:rFonts w:ascii="Arial" w:eastAsiaTheme="minorEastAsia" w:hAnsi="Arial" w:cs="Arial"/>
          <w:color w:val="333333"/>
          <w:sz w:val="24"/>
          <w:szCs w:val="24"/>
        </w:rPr>
        <w:t xml:space="preserve"> While </w:t>
      </w:r>
      <w:r w:rsidR="005C02D5">
        <w:rPr>
          <w:rFonts w:ascii="Arial" w:eastAsiaTheme="minorEastAsia" w:hAnsi="Arial" w:cs="Arial"/>
          <w:color w:val="333333"/>
          <w:sz w:val="24"/>
          <w:szCs w:val="24"/>
        </w:rPr>
        <w:t>c</w:t>
      </w:r>
      <w:r w:rsidRPr="00D75223">
        <w:rPr>
          <w:rFonts w:ascii="Arial" w:eastAsiaTheme="minorEastAsia" w:hAnsi="Arial" w:cs="Arial"/>
          <w:color w:val="333333"/>
          <w:sz w:val="24"/>
          <w:szCs w:val="24"/>
        </w:rPr>
        <w:t>adaver is not a requirement of a</w:t>
      </w:r>
      <w:r w:rsidR="00786D72" w:rsidRPr="00D75223">
        <w:rPr>
          <w:rFonts w:ascii="Arial" w:eastAsiaTheme="minorEastAsia" w:hAnsi="Arial" w:cs="Arial"/>
          <w:color w:val="333333"/>
          <w:sz w:val="24"/>
          <w:szCs w:val="24"/>
        </w:rPr>
        <w:t>n</w:t>
      </w:r>
      <w:r w:rsidRPr="00D75223">
        <w:rPr>
          <w:rFonts w:ascii="Arial" w:eastAsiaTheme="minorEastAsia" w:hAnsi="Arial" w:cs="Arial"/>
          <w:color w:val="333333"/>
          <w:sz w:val="24"/>
          <w:szCs w:val="24"/>
        </w:rPr>
        <w:t xml:space="preserve"> FRS it is the most requested specialist asset due to </w:t>
      </w:r>
      <w:r w:rsidR="005C02D5">
        <w:rPr>
          <w:rFonts w:ascii="Arial" w:eastAsiaTheme="minorEastAsia" w:hAnsi="Arial" w:cs="Arial"/>
          <w:color w:val="333333"/>
          <w:sz w:val="24"/>
          <w:szCs w:val="24"/>
        </w:rPr>
        <w:t>p</w:t>
      </w:r>
      <w:r w:rsidRPr="00D75223">
        <w:rPr>
          <w:rFonts w:ascii="Arial" w:eastAsiaTheme="minorEastAsia" w:hAnsi="Arial" w:cs="Arial"/>
          <w:color w:val="333333"/>
          <w:sz w:val="24"/>
          <w:szCs w:val="24"/>
        </w:rPr>
        <w:t xml:space="preserve">olice teams being unfamiliar and often untrained for the scenes we encounter. </w:t>
      </w:r>
    </w:p>
    <w:p w14:paraId="26D7DD89" w14:textId="2F5EB8F5" w:rsidR="11DC6218" w:rsidRPr="00D75223" w:rsidRDefault="11DC6218" w:rsidP="004A4D56">
      <w:pPr>
        <w:pStyle w:val="ListParagraph"/>
        <w:shd w:val="clear" w:color="auto" w:fill="FFFFFF" w:themeFill="background1"/>
        <w:spacing w:after="0"/>
        <w:rPr>
          <w:rFonts w:ascii="Arial" w:eastAsiaTheme="minorEastAsia" w:hAnsi="Arial" w:cs="Arial"/>
          <w:color w:val="333333"/>
          <w:sz w:val="24"/>
          <w:szCs w:val="24"/>
        </w:rPr>
      </w:pPr>
      <w:r w:rsidRPr="00D75223">
        <w:rPr>
          <w:rFonts w:ascii="Arial" w:eastAsiaTheme="minorEastAsia" w:hAnsi="Arial" w:cs="Arial"/>
          <w:color w:val="333333"/>
          <w:sz w:val="24"/>
          <w:szCs w:val="24"/>
        </w:rPr>
        <w:t>As a qualified team of 4 years</w:t>
      </w:r>
      <w:r w:rsidR="2AFBA140" w:rsidRPr="00D75223">
        <w:rPr>
          <w:rFonts w:ascii="Arial" w:eastAsiaTheme="minorEastAsia" w:hAnsi="Arial" w:cs="Arial"/>
          <w:color w:val="333333"/>
          <w:sz w:val="24"/>
          <w:szCs w:val="24"/>
        </w:rPr>
        <w:t>,</w:t>
      </w:r>
      <w:r w:rsidRPr="00D75223">
        <w:rPr>
          <w:rFonts w:ascii="Arial" w:eastAsiaTheme="minorEastAsia" w:hAnsi="Arial" w:cs="Arial"/>
          <w:color w:val="333333"/>
          <w:sz w:val="24"/>
          <w:szCs w:val="24"/>
        </w:rPr>
        <w:t xml:space="preserve"> </w:t>
      </w:r>
      <w:r w:rsidR="5663F4FF" w:rsidRPr="00D75223">
        <w:rPr>
          <w:rFonts w:ascii="Arial" w:eastAsiaTheme="minorEastAsia" w:hAnsi="Arial" w:cs="Arial"/>
          <w:color w:val="333333"/>
          <w:sz w:val="24"/>
          <w:szCs w:val="24"/>
        </w:rPr>
        <w:t>LFRS</w:t>
      </w:r>
      <w:r w:rsidRPr="00D75223">
        <w:rPr>
          <w:rFonts w:ascii="Arial" w:eastAsiaTheme="minorEastAsia" w:hAnsi="Arial" w:cs="Arial"/>
          <w:color w:val="333333"/>
          <w:sz w:val="24"/>
          <w:szCs w:val="24"/>
        </w:rPr>
        <w:t xml:space="preserve"> have cleared hundreds of scenes and located 12 bodies, 10 specific to the search dog. </w:t>
      </w:r>
    </w:p>
    <w:p w14:paraId="00BF82C3" w14:textId="5F8BD57F" w:rsidR="779D727F" w:rsidRPr="00D75223" w:rsidRDefault="779D727F"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Blood Bike charity motorbikes are garaged at </w:t>
      </w:r>
      <w:r w:rsidR="3C224E2A" w:rsidRPr="00D75223">
        <w:rPr>
          <w:rFonts w:ascii="Arial" w:hAnsi="Arial" w:cs="Arial"/>
          <w:sz w:val="24"/>
          <w:szCs w:val="24"/>
        </w:rPr>
        <w:t>7 operational fire stations within the county.</w:t>
      </w:r>
    </w:p>
    <w:p w14:paraId="411B878B" w14:textId="6699665E" w:rsidR="54694E7D" w:rsidRPr="00D75223" w:rsidRDefault="4302C115" w:rsidP="004A4D56">
      <w:pPr>
        <w:pStyle w:val="ListParagraph"/>
        <w:numPr>
          <w:ilvl w:val="0"/>
          <w:numId w:val="5"/>
        </w:numPr>
        <w:rPr>
          <w:rFonts w:ascii="Arial" w:hAnsi="Arial" w:cs="Arial"/>
          <w:sz w:val="24"/>
          <w:szCs w:val="24"/>
        </w:rPr>
      </w:pPr>
      <w:r w:rsidRPr="00D75223">
        <w:rPr>
          <w:rFonts w:ascii="Arial" w:hAnsi="Arial" w:cs="Arial"/>
          <w:sz w:val="24"/>
          <w:szCs w:val="24"/>
        </w:rPr>
        <w:t>Firefighter</w:t>
      </w:r>
      <w:r w:rsidR="005C02D5">
        <w:rPr>
          <w:rFonts w:ascii="Arial" w:hAnsi="Arial" w:cs="Arial"/>
          <w:sz w:val="24"/>
          <w:szCs w:val="24"/>
        </w:rPr>
        <w:t>s</w:t>
      </w:r>
      <w:r w:rsidRPr="00D75223">
        <w:rPr>
          <w:rFonts w:ascii="Arial" w:hAnsi="Arial" w:cs="Arial"/>
          <w:sz w:val="24"/>
          <w:szCs w:val="24"/>
        </w:rPr>
        <w:t xml:space="preserve"> Charity clothes collection points are available at 22 operational fire stations.</w:t>
      </w:r>
    </w:p>
    <w:p w14:paraId="47EFF527" w14:textId="01F9C8CF" w:rsidR="3E916C79" w:rsidRPr="00D75223" w:rsidRDefault="3E916C79"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Lancashire </w:t>
      </w:r>
      <w:r w:rsidR="005C02D5">
        <w:rPr>
          <w:rFonts w:ascii="Arial" w:hAnsi="Arial" w:cs="Arial"/>
          <w:sz w:val="24"/>
          <w:szCs w:val="24"/>
        </w:rPr>
        <w:t>Police</w:t>
      </w:r>
      <w:r w:rsidRPr="00D75223">
        <w:rPr>
          <w:rFonts w:ascii="Arial" w:hAnsi="Arial" w:cs="Arial"/>
          <w:sz w:val="24"/>
          <w:szCs w:val="24"/>
        </w:rPr>
        <w:t xml:space="preserve"> have a license/lease for use and access </w:t>
      </w:r>
      <w:r w:rsidR="0F04FD19" w:rsidRPr="00D75223">
        <w:rPr>
          <w:rFonts w:ascii="Arial" w:hAnsi="Arial" w:cs="Arial"/>
          <w:sz w:val="24"/>
          <w:szCs w:val="24"/>
        </w:rPr>
        <w:t>to 2 operational fire stations.</w:t>
      </w:r>
    </w:p>
    <w:p w14:paraId="52C89D52" w14:textId="73648EAF" w:rsidR="7D48D680" w:rsidRPr="00D75223" w:rsidRDefault="7D48D680" w:rsidP="004A4D56">
      <w:pPr>
        <w:pStyle w:val="ListParagraph"/>
        <w:numPr>
          <w:ilvl w:val="0"/>
          <w:numId w:val="5"/>
        </w:numPr>
        <w:rPr>
          <w:rFonts w:ascii="Arial" w:hAnsi="Arial" w:cs="Arial"/>
          <w:sz w:val="24"/>
          <w:szCs w:val="24"/>
        </w:rPr>
      </w:pPr>
      <w:r w:rsidRPr="00D75223">
        <w:rPr>
          <w:rFonts w:ascii="Arial" w:hAnsi="Arial" w:cs="Arial"/>
          <w:sz w:val="24"/>
          <w:szCs w:val="24"/>
        </w:rPr>
        <w:t>The King</w:t>
      </w:r>
      <w:r w:rsidR="005C02D5">
        <w:rPr>
          <w:rFonts w:ascii="Arial" w:hAnsi="Arial" w:cs="Arial"/>
          <w:sz w:val="24"/>
          <w:szCs w:val="24"/>
        </w:rPr>
        <w:t>’</w:t>
      </w:r>
      <w:r w:rsidRPr="00D75223">
        <w:rPr>
          <w:rFonts w:ascii="Arial" w:hAnsi="Arial" w:cs="Arial"/>
          <w:sz w:val="24"/>
          <w:szCs w:val="24"/>
        </w:rPr>
        <w:t>s Trust 12</w:t>
      </w:r>
      <w:r w:rsidR="5F498D71" w:rsidRPr="00D75223">
        <w:rPr>
          <w:rFonts w:ascii="Arial" w:hAnsi="Arial" w:cs="Arial"/>
          <w:sz w:val="24"/>
          <w:szCs w:val="24"/>
        </w:rPr>
        <w:t>-</w:t>
      </w:r>
      <w:r w:rsidRPr="00D75223">
        <w:rPr>
          <w:rFonts w:ascii="Arial" w:hAnsi="Arial" w:cs="Arial"/>
          <w:sz w:val="24"/>
          <w:szCs w:val="24"/>
        </w:rPr>
        <w:t xml:space="preserve">week team programmes are based at 8 of </w:t>
      </w:r>
      <w:r w:rsidR="7E339EA9" w:rsidRPr="00D75223">
        <w:rPr>
          <w:rFonts w:ascii="Arial" w:hAnsi="Arial" w:cs="Arial"/>
          <w:sz w:val="24"/>
          <w:szCs w:val="24"/>
        </w:rPr>
        <w:t>our operational fire stations.</w:t>
      </w:r>
    </w:p>
    <w:p w14:paraId="6A363E1D" w14:textId="1B4A4232" w:rsidR="7E339EA9" w:rsidRPr="00D75223" w:rsidRDefault="7E339EA9"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Red Cross house their </w:t>
      </w:r>
      <w:r w:rsidR="005C02D5">
        <w:rPr>
          <w:rFonts w:ascii="Arial" w:hAnsi="Arial" w:cs="Arial"/>
          <w:sz w:val="24"/>
          <w:szCs w:val="24"/>
        </w:rPr>
        <w:t>f</w:t>
      </w:r>
      <w:r w:rsidRPr="00D75223">
        <w:rPr>
          <w:rFonts w:ascii="Arial" w:hAnsi="Arial" w:cs="Arial"/>
          <w:sz w:val="24"/>
          <w:szCs w:val="24"/>
        </w:rPr>
        <w:t xml:space="preserve">ire </w:t>
      </w:r>
      <w:r w:rsidR="005C02D5">
        <w:rPr>
          <w:rFonts w:ascii="Arial" w:hAnsi="Arial" w:cs="Arial"/>
          <w:sz w:val="24"/>
          <w:szCs w:val="24"/>
        </w:rPr>
        <w:t>v</w:t>
      </w:r>
      <w:r w:rsidRPr="00D75223">
        <w:rPr>
          <w:rFonts w:ascii="Arial" w:hAnsi="Arial" w:cs="Arial"/>
          <w:sz w:val="24"/>
          <w:szCs w:val="24"/>
        </w:rPr>
        <w:t xml:space="preserve">ictim </w:t>
      </w:r>
      <w:r w:rsidR="005C02D5">
        <w:rPr>
          <w:rFonts w:ascii="Arial" w:hAnsi="Arial" w:cs="Arial"/>
          <w:sz w:val="24"/>
          <w:szCs w:val="24"/>
        </w:rPr>
        <w:t>s</w:t>
      </w:r>
      <w:r w:rsidRPr="00D75223">
        <w:rPr>
          <w:rFonts w:ascii="Arial" w:hAnsi="Arial" w:cs="Arial"/>
          <w:sz w:val="24"/>
          <w:szCs w:val="24"/>
        </w:rPr>
        <w:t xml:space="preserve">upport </w:t>
      </w:r>
      <w:r w:rsidR="005C02D5">
        <w:rPr>
          <w:rFonts w:ascii="Arial" w:hAnsi="Arial" w:cs="Arial"/>
          <w:sz w:val="24"/>
          <w:szCs w:val="24"/>
        </w:rPr>
        <w:t>u</w:t>
      </w:r>
      <w:r w:rsidRPr="00D75223">
        <w:rPr>
          <w:rFonts w:ascii="Arial" w:hAnsi="Arial" w:cs="Arial"/>
          <w:sz w:val="24"/>
          <w:szCs w:val="24"/>
        </w:rPr>
        <w:t xml:space="preserve">nit at our </w:t>
      </w:r>
      <w:r w:rsidR="005C02D5">
        <w:rPr>
          <w:rFonts w:ascii="Arial" w:hAnsi="Arial" w:cs="Arial"/>
          <w:sz w:val="24"/>
          <w:szCs w:val="24"/>
        </w:rPr>
        <w:t>h</w:t>
      </w:r>
      <w:r w:rsidR="00516037" w:rsidRPr="00D75223">
        <w:rPr>
          <w:rFonts w:ascii="Arial" w:hAnsi="Arial" w:cs="Arial"/>
          <w:sz w:val="24"/>
          <w:szCs w:val="24"/>
        </w:rPr>
        <w:t>eadquarters</w:t>
      </w:r>
      <w:r w:rsidRPr="00D75223">
        <w:rPr>
          <w:rFonts w:ascii="Arial" w:hAnsi="Arial" w:cs="Arial"/>
          <w:sz w:val="24"/>
          <w:szCs w:val="24"/>
        </w:rPr>
        <w:t xml:space="preserve"> in </w:t>
      </w:r>
      <w:r w:rsidR="005C02D5">
        <w:rPr>
          <w:rFonts w:ascii="Arial" w:hAnsi="Arial" w:cs="Arial"/>
          <w:sz w:val="24"/>
          <w:szCs w:val="24"/>
        </w:rPr>
        <w:t>Fulwood</w:t>
      </w:r>
      <w:r w:rsidRPr="00D75223">
        <w:rPr>
          <w:rFonts w:ascii="Arial" w:hAnsi="Arial" w:cs="Arial"/>
          <w:sz w:val="24"/>
          <w:szCs w:val="24"/>
        </w:rPr>
        <w:t>.</w:t>
      </w:r>
    </w:p>
    <w:p w14:paraId="6CF47EFA" w14:textId="67DF5B3C" w:rsidR="00487F24" w:rsidRPr="00D75223" w:rsidRDefault="51FD2CEF" w:rsidP="004A4D56">
      <w:pPr>
        <w:pStyle w:val="ListParagraph"/>
        <w:numPr>
          <w:ilvl w:val="0"/>
          <w:numId w:val="5"/>
        </w:numPr>
        <w:rPr>
          <w:rFonts w:ascii="Arial" w:hAnsi="Arial" w:cs="Arial"/>
          <w:sz w:val="24"/>
          <w:szCs w:val="24"/>
        </w:rPr>
      </w:pPr>
      <w:r w:rsidRPr="00D75223">
        <w:rPr>
          <w:rFonts w:ascii="Arial" w:hAnsi="Arial" w:cs="Arial"/>
          <w:sz w:val="24"/>
          <w:szCs w:val="24"/>
        </w:rPr>
        <w:t>North West Fire Control (NWFC) – collaboration between Cumbria, Lancashire, Cheshire, and G</w:t>
      </w:r>
      <w:r w:rsidR="005C02D5">
        <w:rPr>
          <w:rFonts w:ascii="Arial" w:hAnsi="Arial" w:cs="Arial"/>
          <w:sz w:val="24"/>
          <w:szCs w:val="24"/>
        </w:rPr>
        <w:t>reater</w:t>
      </w:r>
      <w:r w:rsidRPr="00D75223">
        <w:rPr>
          <w:rFonts w:ascii="Arial" w:hAnsi="Arial" w:cs="Arial"/>
          <w:sz w:val="24"/>
          <w:szCs w:val="24"/>
        </w:rPr>
        <w:t xml:space="preserve"> Manchester </w:t>
      </w:r>
      <w:r w:rsidR="005C02D5">
        <w:rPr>
          <w:rFonts w:ascii="Arial" w:hAnsi="Arial" w:cs="Arial"/>
          <w:sz w:val="24"/>
          <w:szCs w:val="24"/>
        </w:rPr>
        <w:t>f</w:t>
      </w:r>
      <w:r w:rsidRPr="00D75223">
        <w:rPr>
          <w:rFonts w:ascii="Arial" w:hAnsi="Arial" w:cs="Arial"/>
          <w:sz w:val="24"/>
          <w:szCs w:val="24"/>
        </w:rPr>
        <w:t xml:space="preserve">ire </w:t>
      </w:r>
      <w:r w:rsidR="005C02D5">
        <w:rPr>
          <w:rFonts w:ascii="Arial" w:hAnsi="Arial" w:cs="Arial"/>
          <w:sz w:val="24"/>
          <w:szCs w:val="24"/>
        </w:rPr>
        <w:t>a</w:t>
      </w:r>
      <w:r w:rsidRPr="00D75223">
        <w:rPr>
          <w:rFonts w:ascii="Arial" w:hAnsi="Arial" w:cs="Arial"/>
          <w:sz w:val="24"/>
          <w:szCs w:val="24"/>
        </w:rPr>
        <w:t xml:space="preserve">uthorities, realising annual savings </w:t>
      </w:r>
      <w:r w:rsidR="005C02D5">
        <w:rPr>
          <w:rFonts w:ascii="Arial" w:hAnsi="Arial" w:cs="Arial"/>
          <w:sz w:val="24"/>
          <w:szCs w:val="24"/>
        </w:rPr>
        <w:t xml:space="preserve">of </w:t>
      </w:r>
      <w:r w:rsidR="2390B9E0" w:rsidRPr="00D75223">
        <w:rPr>
          <w:rFonts w:ascii="Arial" w:hAnsi="Arial" w:cs="Arial"/>
          <w:sz w:val="24"/>
          <w:szCs w:val="24"/>
        </w:rPr>
        <w:t>more than</w:t>
      </w:r>
      <w:r w:rsidRPr="00D75223">
        <w:rPr>
          <w:rFonts w:ascii="Arial" w:hAnsi="Arial" w:cs="Arial"/>
          <w:sz w:val="24"/>
          <w:szCs w:val="24"/>
        </w:rPr>
        <w:t xml:space="preserve"> £1m p.a. The coming year will see further </w:t>
      </w:r>
      <w:r w:rsidRPr="00D75223">
        <w:rPr>
          <w:rFonts w:ascii="Arial" w:hAnsi="Arial" w:cs="Arial"/>
          <w:sz w:val="24"/>
          <w:szCs w:val="24"/>
        </w:rPr>
        <w:lastRenderedPageBreak/>
        <w:t xml:space="preserve">system-based improvements being introduced collaboratively into NWFC to improve efficiency within the context of </w:t>
      </w:r>
      <w:r w:rsidR="005C02D5">
        <w:rPr>
          <w:rFonts w:ascii="Arial" w:hAnsi="Arial" w:cs="Arial"/>
          <w:sz w:val="24"/>
          <w:szCs w:val="24"/>
        </w:rPr>
        <w:t>the dynamic cover tool</w:t>
      </w:r>
      <w:r w:rsidRPr="00D75223">
        <w:rPr>
          <w:rFonts w:ascii="Arial" w:hAnsi="Arial" w:cs="Arial"/>
          <w:sz w:val="24"/>
          <w:szCs w:val="24"/>
        </w:rPr>
        <w:t xml:space="preserve"> (designed to optimise fire cover across the FRS) and a more efficient software-based solution for the handling of </w:t>
      </w:r>
      <w:r w:rsidR="005C02D5">
        <w:rPr>
          <w:rFonts w:ascii="Arial" w:hAnsi="Arial" w:cs="Arial"/>
          <w:sz w:val="24"/>
          <w:szCs w:val="24"/>
        </w:rPr>
        <w:t>f</w:t>
      </w:r>
      <w:r w:rsidRPr="00D75223">
        <w:rPr>
          <w:rFonts w:ascii="Arial" w:hAnsi="Arial" w:cs="Arial"/>
          <w:sz w:val="24"/>
          <w:szCs w:val="24"/>
        </w:rPr>
        <w:t xml:space="preserve">ire </w:t>
      </w:r>
      <w:r w:rsidR="005C02D5">
        <w:rPr>
          <w:rFonts w:ascii="Arial" w:hAnsi="Arial" w:cs="Arial"/>
          <w:sz w:val="24"/>
          <w:szCs w:val="24"/>
        </w:rPr>
        <w:t>s</w:t>
      </w:r>
      <w:r w:rsidRPr="00D75223">
        <w:rPr>
          <w:rFonts w:ascii="Arial" w:hAnsi="Arial" w:cs="Arial"/>
          <w:sz w:val="24"/>
          <w:szCs w:val="24"/>
        </w:rPr>
        <w:t xml:space="preserve">urvival </w:t>
      </w:r>
      <w:r w:rsidR="005C02D5">
        <w:rPr>
          <w:rFonts w:ascii="Arial" w:hAnsi="Arial" w:cs="Arial"/>
          <w:sz w:val="24"/>
          <w:szCs w:val="24"/>
        </w:rPr>
        <w:t>g</w:t>
      </w:r>
      <w:r w:rsidRPr="00D75223">
        <w:rPr>
          <w:rFonts w:ascii="Arial" w:hAnsi="Arial" w:cs="Arial"/>
          <w:sz w:val="24"/>
          <w:szCs w:val="24"/>
        </w:rPr>
        <w:t xml:space="preserve">uidance at complex incidents. A collaborative project to source the replacement CAD and ICCS systems within the </w:t>
      </w:r>
      <w:r w:rsidR="005C02D5">
        <w:rPr>
          <w:rFonts w:ascii="Arial" w:hAnsi="Arial" w:cs="Arial"/>
          <w:sz w:val="24"/>
          <w:szCs w:val="24"/>
        </w:rPr>
        <w:t>c</w:t>
      </w:r>
      <w:r w:rsidRPr="00D75223">
        <w:rPr>
          <w:rFonts w:ascii="Arial" w:hAnsi="Arial" w:cs="Arial"/>
          <w:sz w:val="24"/>
          <w:szCs w:val="24"/>
        </w:rPr>
        <w:t xml:space="preserve">ontrol </w:t>
      </w:r>
      <w:r w:rsidR="005C02D5">
        <w:rPr>
          <w:rFonts w:ascii="Arial" w:hAnsi="Arial" w:cs="Arial"/>
          <w:sz w:val="24"/>
          <w:szCs w:val="24"/>
        </w:rPr>
        <w:t>r</w:t>
      </w:r>
      <w:r w:rsidRPr="00D75223">
        <w:rPr>
          <w:rFonts w:ascii="Arial" w:hAnsi="Arial" w:cs="Arial"/>
          <w:sz w:val="24"/>
          <w:szCs w:val="24"/>
        </w:rPr>
        <w:t>oom also build upon the previous economies of scale delivered through the initial project.</w:t>
      </w:r>
    </w:p>
    <w:p w14:paraId="7AB82917" w14:textId="3ED0C889" w:rsidR="00487F24" w:rsidRPr="00D75223" w:rsidRDefault="6C965363"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Community First Responder </w:t>
      </w:r>
      <w:r w:rsidR="6901002A" w:rsidRPr="00D75223">
        <w:rPr>
          <w:rFonts w:ascii="Arial" w:hAnsi="Arial" w:cs="Arial"/>
          <w:sz w:val="24"/>
          <w:szCs w:val="24"/>
        </w:rPr>
        <w:t xml:space="preserve">scheme </w:t>
      </w:r>
      <w:r w:rsidR="36D3BC0E" w:rsidRPr="00D75223">
        <w:rPr>
          <w:rFonts w:ascii="Arial" w:hAnsi="Arial" w:cs="Arial"/>
          <w:sz w:val="24"/>
          <w:szCs w:val="24"/>
        </w:rPr>
        <w:t>(CFR)</w:t>
      </w:r>
      <w:r w:rsidRPr="00D75223">
        <w:rPr>
          <w:rFonts w:ascii="Arial" w:hAnsi="Arial" w:cs="Arial"/>
          <w:sz w:val="24"/>
          <w:szCs w:val="24"/>
        </w:rPr>
        <w:t xml:space="preserve"> with a group of community safety staff, and more recently a cohort of </w:t>
      </w:r>
      <w:r w:rsidR="005C02D5">
        <w:rPr>
          <w:rFonts w:ascii="Arial" w:hAnsi="Arial" w:cs="Arial"/>
          <w:sz w:val="24"/>
          <w:szCs w:val="24"/>
        </w:rPr>
        <w:t>f</w:t>
      </w:r>
      <w:r w:rsidRPr="00D75223">
        <w:rPr>
          <w:rFonts w:ascii="Arial" w:hAnsi="Arial" w:cs="Arial"/>
          <w:sz w:val="24"/>
          <w:szCs w:val="24"/>
        </w:rPr>
        <w:t xml:space="preserve">lexible </w:t>
      </w:r>
      <w:r w:rsidR="005C02D5">
        <w:rPr>
          <w:rFonts w:ascii="Arial" w:hAnsi="Arial" w:cs="Arial"/>
          <w:sz w:val="24"/>
          <w:szCs w:val="24"/>
        </w:rPr>
        <w:t>d</w:t>
      </w:r>
      <w:r w:rsidRPr="00D75223">
        <w:rPr>
          <w:rFonts w:ascii="Arial" w:hAnsi="Arial" w:cs="Arial"/>
          <w:sz w:val="24"/>
          <w:szCs w:val="24"/>
        </w:rPr>
        <w:t xml:space="preserve">uty </w:t>
      </w:r>
      <w:r w:rsidR="005C02D5">
        <w:rPr>
          <w:rFonts w:ascii="Arial" w:hAnsi="Arial" w:cs="Arial"/>
          <w:sz w:val="24"/>
          <w:szCs w:val="24"/>
        </w:rPr>
        <w:t>s</w:t>
      </w:r>
      <w:r w:rsidRPr="00D75223">
        <w:rPr>
          <w:rFonts w:ascii="Arial" w:hAnsi="Arial" w:cs="Arial"/>
          <w:sz w:val="24"/>
          <w:szCs w:val="24"/>
        </w:rPr>
        <w:t xml:space="preserve">ystem managers trained by NWAS and able to deploy to life critical medical emergencies during working hours, alongside ambulance colleagues. </w:t>
      </w:r>
      <w:r w:rsidR="005C02D5">
        <w:rPr>
          <w:rFonts w:ascii="Arial" w:hAnsi="Arial" w:cs="Arial"/>
          <w:sz w:val="24"/>
          <w:szCs w:val="24"/>
        </w:rPr>
        <w:t>T</w:t>
      </w:r>
      <w:r w:rsidRPr="00D75223">
        <w:rPr>
          <w:rFonts w:ascii="Arial" w:hAnsi="Arial" w:cs="Arial"/>
          <w:sz w:val="24"/>
          <w:szCs w:val="24"/>
        </w:rPr>
        <w:t xml:space="preserve">his has </w:t>
      </w:r>
      <w:r w:rsidR="005C02D5">
        <w:rPr>
          <w:rFonts w:ascii="Arial" w:hAnsi="Arial" w:cs="Arial"/>
          <w:sz w:val="24"/>
          <w:szCs w:val="24"/>
        </w:rPr>
        <w:t xml:space="preserve">already </w:t>
      </w:r>
      <w:r w:rsidRPr="00D75223">
        <w:rPr>
          <w:rFonts w:ascii="Arial" w:hAnsi="Arial" w:cs="Arial"/>
          <w:sz w:val="24"/>
          <w:szCs w:val="24"/>
        </w:rPr>
        <w:t>delivered life</w:t>
      </w:r>
      <w:r w:rsidR="005C02D5">
        <w:rPr>
          <w:rFonts w:ascii="Arial" w:hAnsi="Arial" w:cs="Arial"/>
          <w:sz w:val="24"/>
          <w:szCs w:val="24"/>
        </w:rPr>
        <w:t>-</w:t>
      </w:r>
      <w:r w:rsidRPr="00D75223">
        <w:rPr>
          <w:rFonts w:ascii="Arial" w:hAnsi="Arial" w:cs="Arial"/>
          <w:sz w:val="24"/>
          <w:szCs w:val="24"/>
        </w:rPr>
        <w:t>saving interventions whilst awaiting the arrival of ambulance colleagues with</w:t>
      </w:r>
      <w:r w:rsidR="6ABBC48C" w:rsidRPr="00D75223">
        <w:rPr>
          <w:rFonts w:ascii="Arial" w:hAnsi="Arial" w:cs="Arial"/>
          <w:sz w:val="24"/>
          <w:szCs w:val="24"/>
        </w:rPr>
        <w:t xml:space="preserve"> 278</w:t>
      </w:r>
      <w:r w:rsidR="0A853FC6" w:rsidRPr="00D75223">
        <w:rPr>
          <w:rFonts w:ascii="Arial" w:hAnsi="Arial" w:cs="Arial"/>
          <w:color w:val="FF0000"/>
          <w:sz w:val="24"/>
          <w:szCs w:val="24"/>
        </w:rPr>
        <w:t xml:space="preserve"> </w:t>
      </w:r>
      <w:r w:rsidRPr="00D75223">
        <w:rPr>
          <w:rFonts w:ascii="Arial" w:hAnsi="Arial" w:cs="Arial"/>
          <w:sz w:val="24"/>
          <w:szCs w:val="24"/>
        </w:rPr>
        <w:t>incidents attended during 202</w:t>
      </w:r>
      <w:r w:rsidR="38CEB763" w:rsidRPr="00D75223">
        <w:rPr>
          <w:rFonts w:ascii="Arial" w:hAnsi="Arial" w:cs="Arial"/>
          <w:sz w:val="24"/>
          <w:szCs w:val="24"/>
        </w:rPr>
        <w:t>4-</w:t>
      </w:r>
      <w:r w:rsidR="005C02D5">
        <w:rPr>
          <w:rFonts w:ascii="Arial" w:hAnsi="Arial" w:cs="Arial"/>
          <w:sz w:val="24"/>
          <w:szCs w:val="24"/>
        </w:rPr>
        <w:t>2</w:t>
      </w:r>
      <w:r w:rsidR="38CEB763" w:rsidRPr="00D75223">
        <w:rPr>
          <w:rFonts w:ascii="Arial" w:hAnsi="Arial" w:cs="Arial"/>
          <w:sz w:val="24"/>
          <w:szCs w:val="24"/>
        </w:rPr>
        <w:t>5</w:t>
      </w:r>
      <w:r w:rsidR="67AF4712" w:rsidRPr="00D75223">
        <w:rPr>
          <w:rFonts w:ascii="Arial" w:hAnsi="Arial" w:cs="Arial"/>
          <w:sz w:val="24"/>
          <w:szCs w:val="24"/>
        </w:rPr>
        <w:t xml:space="preserve">. </w:t>
      </w:r>
      <w:r w:rsidRPr="00D75223">
        <w:rPr>
          <w:rFonts w:ascii="Arial" w:hAnsi="Arial" w:cs="Arial"/>
          <w:sz w:val="24"/>
          <w:szCs w:val="24"/>
        </w:rPr>
        <w:t xml:space="preserve">According to a cost-benefit analysis conducted by the New Economy, the benefits of </w:t>
      </w:r>
      <w:r w:rsidR="32226FFF" w:rsidRPr="00D75223">
        <w:rPr>
          <w:rFonts w:ascii="Arial" w:hAnsi="Arial" w:cs="Arial"/>
          <w:sz w:val="24"/>
          <w:szCs w:val="24"/>
        </w:rPr>
        <w:t>CFR</w:t>
      </w:r>
      <w:r w:rsidRPr="00D75223">
        <w:rPr>
          <w:rFonts w:ascii="Arial" w:hAnsi="Arial" w:cs="Arial"/>
          <w:sz w:val="24"/>
          <w:szCs w:val="24"/>
        </w:rPr>
        <w:t xml:space="preserve"> far outweigh the initial investment required. The analysis estimates an overall financial return on investment of £4.41 per £1 invested.</w:t>
      </w:r>
    </w:p>
    <w:p w14:paraId="76F6D245" w14:textId="6316959F" w:rsidR="4642E0E7" w:rsidRPr="00D75223" w:rsidRDefault="356E273F" w:rsidP="004A4D56">
      <w:pPr>
        <w:pStyle w:val="ListParagraph"/>
        <w:numPr>
          <w:ilvl w:val="0"/>
          <w:numId w:val="5"/>
        </w:numPr>
        <w:rPr>
          <w:rFonts w:ascii="Arial" w:eastAsiaTheme="minorEastAsia" w:hAnsi="Arial" w:cs="Arial"/>
          <w:sz w:val="24"/>
          <w:szCs w:val="24"/>
        </w:rPr>
      </w:pPr>
      <w:r w:rsidRPr="00D75223">
        <w:rPr>
          <w:rFonts w:ascii="Arial" w:eastAsiaTheme="minorEastAsia" w:hAnsi="Arial" w:cs="Arial"/>
          <w:color w:val="333333"/>
          <w:sz w:val="24"/>
          <w:szCs w:val="24"/>
        </w:rPr>
        <w:t xml:space="preserve">The </w:t>
      </w:r>
      <w:r w:rsidR="005C02D5">
        <w:rPr>
          <w:rFonts w:ascii="Arial" w:eastAsiaTheme="minorEastAsia" w:hAnsi="Arial" w:cs="Arial"/>
          <w:color w:val="333333"/>
          <w:sz w:val="24"/>
          <w:szCs w:val="24"/>
        </w:rPr>
        <w:t>n</w:t>
      </w:r>
      <w:r w:rsidRPr="00D75223">
        <w:rPr>
          <w:rFonts w:ascii="Arial" w:eastAsiaTheme="minorEastAsia" w:hAnsi="Arial" w:cs="Arial"/>
          <w:color w:val="333333"/>
          <w:sz w:val="24"/>
          <w:szCs w:val="24"/>
        </w:rPr>
        <w:t>orth</w:t>
      </w:r>
      <w:r w:rsidR="005C02D5">
        <w:rPr>
          <w:rFonts w:ascii="Arial" w:eastAsiaTheme="minorEastAsia" w:hAnsi="Arial" w:cs="Arial"/>
          <w:color w:val="333333"/>
          <w:sz w:val="24"/>
          <w:szCs w:val="24"/>
        </w:rPr>
        <w:t xml:space="preserve"> </w:t>
      </w:r>
      <w:r w:rsidRPr="00D75223">
        <w:rPr>
          <w:rFonts w:ascii="Arial" w:eastAsiaTheme="minorEastAsia" w:hAnsi="Arial" w:cs="Arial"/>
          <w:color w:val="333333"/>
          <w:sz w:val="24"/>
          <w:szCs w:val="24"/>
        </w:rPr>
        <w:t xml:space="preserve">west regional fleet and equipment collaboration group meets quarterly through the </w:t>
      </w:r>
      <w:r w:rsidR="005C02D5">
        <w:rPr>
          <w:rFonts w:ascii="Arial" w:eastAsiaTheme="minorEastAsia" w:hAnsi="Arial" w:cs="Arial"/>
          <w:color w:val="333333"/>
          <w:sz w:val="24"/>
          <w:szCs w:val="24"/>
        </w:rPr>
        <w:t>t</w:t>
      </w:r>
      <w:r w:rsidRPr="00D75223">
        <w:rPr>
          <w:rFonts w:ascii="Arial" w:eastAsiaTheme="minorEastAsia" w:hAnsi="Arial" w:cs="Arial"/>
          <w:color w:val="333333"/>
          <w:sz w:val="24"/>
          <w:szCs w:val="24"/>
        </w:rPr>
        <w:t xml:space="preserve">echnical </w:t>
      </w:r>
      <w:r w:rsidR="005C02D5">
        <w:rPr>
          <w:rFonts w:ascii="Arial" w:eastAsiaTheme="minorEastAsia" w:hAnsi="Arial" w:cs="Arial"/>
          <w:color w:val="333333"/>
          <w:sz w:val="24"/>
          <w:szCs w:val="24"/>
        </w:rPr>
        <w:t>o</w:t>
      </w:r>
      <w:r w:rsidRPr="00D75223">
        <w:rPr>
          <w:rFonts w:ascii="Arial" w:eastAsiaTheme="minorEastAsia" w:hAnsi="Arial" w:cs="Arial"/>
          <w:color w:val="333333"/>
          <w:sz w:val="24"/>
          <w:szCs w:val="24"/>
        </w:rPr>
        <w:t xml:space="preserve">fficer </w:t>
      </w:r>
      <w:r w:rsidR="005C02D5">
        <w:rPr>
          <w:rFonts w:ascii="Arial" w:eastAsiaTheme="minorEastAsia" w:hAnsi="Arial" w:cs="Arial"/>
          <w:color w:val="333333"/>
          <w:sz w:val="24"/>
          <w:szCs w:val="24"/>
        </w:rPr>
        <w:t>g</w:t>
      </w:r>
      <w:r w:rsidRPr="00D75223">
        <w:rPr>
          <w:rFonts w:ascii="Arial" w:eastAsiaTheme="minorEastAsia" w:hAnsi="Arial" w:cs="Arial"/>
          <w:color w:val="333333"/>
          <w:sz w:val="24"/>
          <w:szCs w:val="24"/>
        </w:rPr>
        <w:t xml:space="preserve">roup (TOG), chaired by Greater Manchester Fire </w:t>
      </w:r>
      <w:r w:rsidR="005C02D5">
        <w:rPr>
          <w:rFonts w:ascii="Arial" w:eastAsiaTheme="minorEastAsia" w:hAnsi="Arial" w:cs="Arial"/>
          <w:color w:val="333333"/>
          <w:sz w:val="24"/>
          <w:szCs w:val="24"/>
        </w:rPr>
        <w:t xml:space="preserve">and Rescue </w:t>
      </w:r>
      <w:r w:rsidRPr="00D75223">
        <w:rPr>
          <w:rFonts w:ascii="Arial" w:eastAsiaTheme="minorEastAsia" w:hAnsi="Arial" w:cs="Arial"/>
          <w:color w:val="333333"/>
          <w:sz w:val="24"/>
          <w:szCs w:val="24"/>
        </w:rPr>
        <w:t>Service. This group focuses on innovation and horizon</w:t>
      </w:r>
      <w:r w:rsidR="005C02D5">
        <w:rPr>
          <w:rFonts w:ascii="Arial" w:eastAsiaTheme="minorEastAsia" w:hAnsi="Arial" w:cs="Arial"/>
          <w:color w:val="333333"/>
          <w:sz w:val="24"/>
          <w:szCs w:val="24"/>
        </w:rPr>
        <w:t>-</w:t>
      </w:r>
      <w:r w:rsidRPr="00D75223">
        <w:rPr>
          <w:rFonts w:ascii="Arial" w:eastAsiaTheme="minorEastAsia" w:hAnsi="Arial" w:cs="Arial"/>
          <w:color w:val="333333"/>
          <w:sz w:val="24"/>
          <w:szCs w:val="24"/>
        </w:rPr>
        <w:t>scanning for new developments in equipment and vehicles. By pooling resources and sharing best practices, we enhance our collective buying power within the fire sector, driving financial savings. This collaboration also distributes the workload across seven fire and rescue services, fostering shared responsibility and efficiency.</w:t>
      </w:r>
    </w:p>
    <w:p w14:paraId="07BEE439" w14:textId="77777777" w:rsidR="005C02D5" w:rsidRDefault="00487F24" w:rsidP="00845604">
      <w:pPr>
        <w:pStyle w:val="Heading2"/>
      </w:pPr>
      <w:bookmarkStart w:id="28" w:name="_Toc196988031"/>
      <w:r w:rsidRPr="00D75223">
        <w:t>National leadership</w:t>
      </w:r>
      <w:bookmarkEnd w:id="28"/>
      <w:r w:rsidRPr="00D75223">
        <w:t xml:space="preserve"> </w:t>
      </w:r>
    </w:p>
    <w:p w14:paraId="6DD52FAD" w14:textId="12784EB9" w:rsidR="00487F24" w:rsidRPr="00D75223" w:rsidRDefault="003E0012" w:rsidP="004A4D56">
      <w:pPr>
        <w:rPr>
          <w:rFonts w:ascii="Arial" w:hAnsi="Arial" w:cs="Arial"/>
          <w:sz w:val="24"/>
          <w:szCs w:val="24"/>
        </w:rPr>
      </w:pPr>
      <w:r w:rsidRPr="00D75223">
        <w:rPr>
          <w:rFonts w:ascii="Arial" w:hAnsi="Arial" w:cs="Arial"/>
          <w:sz w:val="24"/>
          <w:szCs w:val="24"/>
        </w:rPr>
        <w:t>LFRS</w:t>
      </w:r>
      <w:r w:rsidR="005C02D5">
        <w:rPr>
          <w:rFonts w:ascii="Arial" w:hAnsi="Arial" w:cs="Arial"/>
          <w:sz w:val="24"/>
          <w:szCs w:val="24"/>
        </w:rPr>
        <w:t>’s</w:t>
      </w:r>
      <w:r w:rsidRPr="00D75223">
        <w:rPr>
          <w:rFonts w:ascii="Arial" w:hAnsi="Arial" w:cs="Arial"/>
          <w:sz w:val="24"/>
          <w:szCs w:val="24"/>
        </w:rPr>
        <w:t xml:space="preserve"> </w:t>
      </w:r>
      <w:r w:rsidR="005C02D5">
        <w:rPr>
          <w:rFonts w:ascii="Arial" w:hAnsi="Arial" w:cs="Arial"/>
          <w:sz w:val="24"/>
          <w:szCs w:val="24"/>
        </w:rPr>
        <w:t>p</w:t>
      </w:r>
      <w:r w:rsidR="00487F24" w:rsidRPr="00D75223">
        <w:rPr>
          <w:rFonts w:ascii="Arial" w:hAnsi="Arial" w:cs="Arial"/>
          <w:sz w:val="24"/>
          <w:szCs w:val="24"/>
        </w:rPr>
        <w:t xml:space="preserve">rincipal </w:t>
      </w:r>
      <w:r w:rsidR="005C02D5">
        <w:rPr>
          <w:rFonts w:ascii="Arial" w:hAnsi="Arial" w:cs="Arial"/>
          <w:sz w:val="24"/>
          <w:szCs w:val="24"/>
        </w:rPr>
        <w:t>o</w:t>
      </w:r>
      <w:r w:rsidR="00487F24" w:rsidRPr="00D75223">
        <w:rPr>
          <w:rFonts w:ascii="Arial" w:hAnsi="Arial" w:cs="Arial"/>
          <w:sz w:val="24"/>
          <w:szCs w:val="24"/>
        </w:rPr>
        <w:t xml:space="preserve">fficers have significant national leadership roles, contributing to sector-wide efficiency and productivity.  </w:t>
      </w:r>
    </w:p>
    <w:p w14:paraId="5FA469C9" w14:textId="7721154F" w:rsidR="00487F24" w:rsidRPr="00D75223" w:rsidRDefault="51FD2CEF" w:rsidP="004A4D56">
      <w:pPr>
        <w:rPr>
          <w:rFonts w:ascii="Arial" w:hAnsi="Arial" w:cs="Arial"/>
          <w:sz w:val="24"/>
          <w:szCs w:val="24"/>
        </w:rPr>
      </w:pPr>
      <w:r w:rsidRPr="00D75223">
        <w:rPr>
          <w:rFonts w:ascii="Arial" w:hAnsi="Arial" w:cs="Arial"/>
          <w:sz w:val="24"/>
          <w:szCs w:val="24"/>
        </w:rPr>
        <w:t xml:space="preserve">Our </w:t>
      </w:r>
      <w:r w:rsidR="005C02D5">
        <w:rPr>
          <w:rFonts w:ascii="Arial" w:hAnsi="Arial" w:cs="Arial"/>
          <w:sz w:val="24"/>
          <w:szCs w:val="24"/>
        </w:rPr>
        <w:t>c</w:t>
      </w:r>
      <w:r w:rsidRPr="00D75223">
        <w:rPr>
          <w:rFonts w:ascii="Arial" w:hAnsi="Arial" w:cs="Arial"/>
          <w:sz w:val="24"/>
          <w:szCs w:val="24"/>
        </w:rPr>
        <w:t xml:space="preserve">hief </w:t>
      </w:r>
      <w:r w:rsidR="005C02D5">
        <w:rPr>
          <w:rFonts w:ascii="Arial" w:hAnsi="Arial" w:cs="Arial"/>
          <w:sz w:val="24"/>
          <w:szCs w:val="24"/>
        </w:rPr>
        <w:t>f</w:t>
      </w:r>
      <w:r w:rsidRPr="00D75223">
        <w:rPr>
          <w:rFonts w:ascii="Arial" w:hAnsi="Arial" w:cs="Arial"/>
          <w:sz w:val="24"/>
          <w:szCs w:val="24"/>
        </w:rPr>
        <w:t xml:space="preserve">ire </w:t>
      </w:r>
      <w:r w:rsidR="005C02D5">
        <w:rPr>
          <w:rFonts w:ascii="Arial" w:hAnsi="Arial" w:cs="Arial"/>
          <w:sz w:val="24"/>
          <w:szCs w:val="24"/>
        </w:rPr>
        <w:t>o</w:t>
      </w:r>
      <w:r w:rsidRPr="00D75223">
        <w:rPr>
          <w:rFonts w:ascii="Arial" w:hAnsi="Arial" w:cs="Arial"/>
          <w:sz w:val="24"/>
          <w:szCs w:val="24"/>
        </w:rPr>
        <w:t xml:space="preserve">fficer (CFO) is the </w:t>
      </w:r>
      <w:r w:rsidR="22AFD208" w:rsidRPr="00D75223">
        <w:rPr>
          <w:rFonts w:ascii="Arial" w:hAnsi="Arial" w:cs="Arial"/>
          <w:sz w:val="24"/>
          <w:szCs w:val="24"/>
        </w:rPr>
        <w:t xml:space="preserve">NFCC lead for </w:t>
      </w:r>
      <w:r w:rsidR="005C02D5">
        <w:rPr>
          <w:rFonts w:ascii="Arial" w:hAnsi="Arial" w:cs="Arial"/>
          <w:sz w:val="24"/>
          <w:szCs w:val="24"/>
        </w:rPr>
        <w:t>w</w:t>
      </w:r>
      <w:r w:rsidR="22AFD208" w:rsidRPr="00D75223">
        <w:rPr>
          <w:rFonts w:ascii="Arial" w:hAnsi="Arial" w:cs="Arial"/>
          <w:sz w:val="24"/>
          <w:szCs w:val="24"/>
        </w:rPr>
        <w:t>ildfire</w:t>
      </w:r>
      <w:r w:rsidR="005C02D5">
        <w:rPr>
          <w:rFonts w:ascii="Arial" w:hAnsi="Arial" w:cs="Arial"/>
          <w:sz w:val="24"/>
          <w:szCs w:val="24"/>
        </w:rPr>
        <w:t>s</w:t>
      </w:r>
      <w:r w:rsidR="22AFD208" w:rsidRPr="00D75223">
        <w:rPr>
          <w:rFonts w:ascii="Arial" w:hAnsi="Arial" w:cs="Arial"/>
          <w:sz w:val="24"/>
          <w:szCs w:val="24"/>
        </w:rPr>
        <w:t xml:space="preserve"> and during the past 12 months has develop</w:t>
      </w:r>
      <w:r w:rsidR="1307A58E" w:rsidRPr="00D75223">
        <w:rPr>
          <w:rFonts w:ascii="Arial" w:hAnsi="Arial" w:cs="Arial"/>
          <w:sz w:val="24"/>
          <w:szCs w:val="24"/>
        </w:rPr>
        <w:t>ed</w:t>
      </w:r>
      <w:r w:rsidR="22AFD208" w:rsidRPr="00D75223">
        <w:rPr>
          <w:rFonts w:ascii="Arial" w:hAnsi="Arial" w:cs="Arial"/>
          <w:sz w:val="24"/>
          <w:szCs w:val="24"/>
        </w:rPr>
        <w:t xml:space="preserve"> international knowledge exchange; work</w:t>
      </w:r>
      <w:r w:rsidR="192E6249" w:rsidRPr="00D75223">
        <w:rPr>
          <w:rFonts w:ascii="Arial" w:hAnsi="Arial" w:cs="Arial"/>
          <w:sz w:val="24"/>
          <w:szCs w:val="24"/>
        </w:rPr>
        <w:t>ed</w:t>
      </w:r>
      <w:r w:rsidR="22AFD208" w:rsidRPr="00D75223">
        <w:rPr>
          <w:rFonts w:ascii="Arial" w:hAnsi="Arial" w:cs="Arial"/>
          <w:sz w:val="24"/>
          <w:szCs w:val="24"/>
        </w:rPr>
        <w:t xml:space="preserve"> with lead government departments to develop a national wildfire framework; scope</w:t>
      </w:r>
      <w:r w:rsidR="005C02D5">
        <w:rPr>
          <w:rFonts w:ascii="Arial" w:hAnsi="Arial" w:cs="Arial"/>
          <w:sz w:val="24"/>
          <w:szCs w:val="24"/>
        </w:rPr>
        <w:t>d</w:t>
      </w:r>
      <w:r w:rsidR="22AFD208" w:rsidRPr="00D75223">
        <w:rPr>
          <w:rFonts w:ascii="Arial" w:hAnsi="Arial" w:cs="Arial"/>
          <w:sz w:val="24"/>
          <w:szCs w:val="24"/>
        </w:rPr>
        <w:t xml:space="preserve"> a cohesive national wildfire strategy for England; and successfully secured </w:t>
      </w:r>
      <w:r w:rsidR="4756A220" w:rsidRPr="00D75223">
        <w:rPr>
          <w:rFonts w:ascii="Arial" w:hAnsi="Arial" w:cs="Arial"/>
          <w:sz w:val="24"/>
          <w:szCs w:val="24"/>
        </w:rPr>
        <w:t xml:space="preserve">Home Office </w:t>
      </w:r>
      <w:r w:rsidR="22AFD208" w:rsidRPr="00D75223">
        <w:rPr>
          <w:rFonts w:ascii="Arial" w:hAnsi="Arial" w:cs="Arial"/>
          <w:sz w:val="24"/>
          <w:szCs w:val="24"/>
        </w:rPr>
        <w:t xml:space="preserve">funding to create a dedicated National Resilience </w:t>
      </w:r>
      <w:r w:rsidR="005C02D5">
        <w:rPr>
          <w:rFonts w:ascii="Arial" w:hAnsi="Arial" w:cs="Arial"/>
          <w:sz w:val="24"/>
          <w:szCs w:val="24"/>
        </w:rPr>
        <w:t>w</w:t>
      </w:r>
      <w:r w:rsidR="22AFD208" w:rsidRPr="00D75223">
        <w:rPr>
          <w:rFonts w:ascii="Arial" w:hAnsi="Arial" w:cs="Arial"/>
          <w:sz w:val="24"/>
          <w:szCs w:val="24"/>
        </w:rPr>
        <w:t>ildfire capability lead.</w:t>
      </w:r>
    </w:p>
    <w:p w14:paraId="4063108B" w14:textId="1A6275FE" w:rsidR="00487F24" w:rsidRPr="00D75223" w:rsidRDefault="00487F24" w:rsidP="004A4D56">
      <w:pPr>
        <w:rPr>
          <w:rFonts w:ascii="Arial" w:hAnsi="Arial" w:cs="Arial"/>
          <w:sz w:val="24"/>
          <w:szCs w:val="24"/>
        </w:rPr>
      </w:pPr>
      <w:r w:rsidRPr="00D75223">
        <w:rPr>
          <w:rFonts w:ascii="Arial" w:hAnsi="Arial" w:cs="Arial"/>
          <w:sz w:val="24"/>
          <w:szCs w:val="24"/>
        </w:rPr>
        <w:t xml:space="preserve">Our DCFO is the national lead for </w:t>
      </w:r>
      <w:r w:rsidR="005C02D5">
        <w:rPr>
          <w:rFonts w:ascii="Arial" w:hAnsi="Arial" w:cs="Arial"/>
          <w:sz w:val="24"/>
          <w:szCs w:val="24"/>
        </w:rPr>
        <w:t>o</w:t>
      </w:r>
      <w:r w:rsidRPr="00D75223">
        <w:rPr>
          <w:rFonts w:ascii="Arial" w:hAnsi="Arial" w:cs="Arial"/>
          <w:sz w:val="24"/>
          <w:szCs w:val="24"/>
        </w:rPr>
        <w:t>n-</w:t>
      </w:r>
      <w:r w:rsidR="005C02D5">
        <w:rPr>
          <w:rFonts w:ascii="Arial" w:hAnsi="Arial" w:cs="Arial"/>
          <w:sz w:val="24"/>
          <w:szCs w:val="24"/>
        </w:rPr>
        <w:t>c</w:t>
      </w:r>
      <w:r w:rsidRPr="00D75223">
        <w:rPr>
          <w:rFonts w:ascii="Arial" w:hAnsi="Arial" w:cs="Arial"/>
          <w:sz w:val="24"/>
          <w:szCs w:val="24"/>
        </w:rPr>
        <w:t xml:space="preserve">all, supporting national workstreams including a comprehensive data research analysis; academic evaluation to identify future sustainable solutions to this incredibly efficient duty system; and the sharing of national best practice, including analysis of different operating systems that can demonstrate more efficient and effective ways of operating. </w:t>
      </w:r>
    </w:p>
    <w:p w14:paraId="5FE8A8E5" w14:textId="095F3158" w:rsidR="381C99DB" w:rsidRPr="00D75223" w:rsidRDefault="381C99DB" w:rsidP="004A4D56">
      <w:pPr>
        <w:rPr>
          <w:rFonts w:ascii="Arial" w:hAnsi="Arial" w:cs="Arial"/>
          <w:sz w:val="24"/>
          <w:szCs w:val="24"/>
        </w:rPr>
      </w:pPr>
      <w:r w:rsidRPr="00D75223">
        <w:rPr>
          <w:rFonts w:ascii="Arial" w:hAnsi="Arial" w:cs="Arial"/>
          <w:sz w:val="24"/>
          <w:szCs w:val="24"/>
        </w:rPr>
        <w:t xml:space="preserve">In addition to the work of the </w:t>
      </w:r>
      <w:r w:rsidR="005C02D5">
        <w:rPr>
          <w:rFonts w:ascii="Arial" w:hAnsi="Arial" w:cs="Arial"/>
          <w:sz w:val="24"/>
          <w:szCs w:val="24"/>
        </w:rPr>
        <w:t>p</w:t>
      </w:r>
      <w:r w:rsidRPr="00D75223">
        <w:rPr>
          <w:rFonts w:ascii="Arial" w:hAnsi="Arial" w:cs="Arial"/>
          <w:sz w:val="24"/>
          <w:szCs w:val="24"/>
        </w:rPr>
        <w:t xml:space="preserve">rincipal </w:t>
      </w:r>
      <w:r w:rsidR="005C02D5">
        <w:rPr>
          <w:rFonts w:ascii="Arial" w:hAnsi="Arial" w:cs="Arial"/>
          <w:sz w:val="24"/>
          <w:szCs w:val="24"/>
        </w:rPr>
        <w:t>o</w:t>
      </w:r>
      <w:r w:rsidRPr="00D75223">
        <w:rPr>
          <w:rFonts w:ascii="Arial" w:hAnsi="Arial" w:cs="Arial"/>
          <w:sz w:val="24"/>
          <w:szCs w:val="24"/>
        </w:rPr>
        <w:t>fficers, staff within the Service also lead national work around canines, drones and robotics, significantly helping to improve incident response arrangements both locally, nationally and internationally</w:t>
      </w:r>
      <w:r w:rsidR="58105084" w:rsidRPr="00D75223">
        <w:rPr>
          <w:rFonts w:ascii="Arial" w:hAnsi="Arial" w:cs="Arial"/>
          <w:sz w:val="24"/>
          <w:szCs w:val="24"/>
        </w:rPr>
        <w:t>.</w:t>
      </w:r>
    </w:p>
    <w:p w14:paraId="07EED82D" w14:textId="4C665734" w:rsidR="00997325" w:rsidRPr="00D75223" w:rsidRDefault="00997325" w:rsidP="00845604">
      <w:pPr>
        <w:pStyle w:val="Heading2"/>
        <w:rPr>
          <w:color w:val="FF0000"/>
        </w:rPr>
      </w:pPr>
      <w:bookmarkStart w:id="29" w:name="_Toc196988032"/>
      <w:r w:rsidRPr="00D75223">
        <w:lastRenderedPageBreak/>
        <w:t xml:space="preserve">Assessment of </w:t>
      </w:r>
      <w:r w:rsidR="008D3B07">
        <w:t>e</w:t>
      </w:r>
      <w:r w:rsidRPr="00D75223">
        <w:t>fficiencies</w:t>
      </w:r>
      <w:bookmarkEnd w:id="29"/>
      <w:r w:rsidR="769BDC6E" w:rsidRPr="00D75223">
        <w:rPr>
          <w:bCs/>
        </w:rPr>
        <w:t xml:space="preserve"> </w:t>
      </w:r>
    </w:p>
    <w:p w14:paraId="0A054C38" w14:textId="5B7CB10A" w:rsidR="00997325" w:rsidRPr="00D75223" w:rsidRDefault="00457641" w:rsidP="004A4D56">
      <w:pPr>
        <w:rPr>
          <w:rFonts w:ascii="Arial" w:hAnsi="Arial" w:cs="Arial"/>
          <w:sz w:val="24"/>
          <w:szCs w:val="24"/>
        </w:rPr>
      </w:pPr>
      <w:r w:rsidRPr="00D75223">
        <w:rPr>
          <w:rFonts w:ascii="Arial" w:hAnsi="Arial" w:cs="Arial"/>
          <w:sz w:val="24"/>
          <w:szCs w:val="24"/>
        </w:rPr>
        <w:t xml:space="preserve">Against the </w:t>
      </w:r>
      <w:r w:rsidR="003E0012" w:rsidRPr="00D75223">
        <w:rPr>
          <w:rFonts w:ascii="Arial" w:hAnsi="Arial" w:cs="Arial"/>
          <w:sz w:val="24"/>
          <w:szCs w:val="24"/>
        </w:rPr>
        <w:t>‘</w:t>
      </w:r>
      <w:r w:rsidRPr="00D75223">
        <w:rPr>
          <w:rFonts w:ascii="Arial" w:hAnsi="Arial" w:cs="Arial"/>
          <w:sz w:val="24"/>
          <w:szCs w:val="24"/>
        </w:rPr>
        <w:t xml:space="preserve">efficiency </w:t>
      </w:r>
      <w:r w:rsidR="0095491B" w:rsidRPr="00D75223">
        <w:rPr>
          <w:rFonts w:ascii="Arial" w:hAnsi="Arial" w:cs="Arial"/>
          <w:sz w:val="24"/>
          <w:szCs w:val="24"/>
        </w:rPr>
        <w:t>savings as a percentage of not payroll budgets</w:t>
      </w:r>
      <w:r w:rsidR="003E0012" w:rsidRPr="00D75223">
        <w:rPr>
          <w:rFonts w:ascii="Arial" w:hAnsi="Arial" w:cs="Arial"/>
          <w:sz w:val="24"/>
          <w:szCs w:val="24"/>
        </w:rPr>
        <w:t>’</w:t>
      </w:r>
      <w:r w:rsidR="0095491B" w:rsidRPr="00D75223">
        <w:rPr>
          <w:rFonts w:ascii="Arial" w:hAnsi="Arial" w:cs="Arial"/>
          <w:sz w:val="24"/>
          <w:szCs w:val="24"/>
        </w:rPr>
        <w:t xml:space="preserve"> </w:t>
      </w:r>
      <w:r w:rsidRPr="00D75223">
        <w:rPr>
          <w:rFonts w:ascii="Arial" w:hAnsi="Arial" w:cs="Arial"/>
          <w:sz w:val="24"/>
          <w:szCs w:val="24"/>
        </w:rPr>
        <w:t>tar</w:t>
      </w:r>
      <w:r w:rsidR="00652678" w:rsidRPr="00D75223">
        <w:rPr>
          <w:rFonts w:ascii="Arial" w:hAnsi="Arial" w:cs="Arial"/>
          <w:sz w:val="24"/>
          <w:szCs w:val="24"/>
        </w:rPr>
        <w:t xml:space="preserve">get </w:t>
      </w:r>
      <w:r w:rsidR="0095491B" w:rsidRPr="00D75223">
        <w:rPr>
          <w:rFonts w:ascii="Arial" w:hAnsi="Arial" w:cs="Arial"/>
          <w:sz w:val="24"/>
          <w:szCs w:val="24"/>
        </w:rPr>
        <w:t xml:space="preserve">of 2%, </w:t>
      </w:r>
      <w:r w:rsidR="005C02D5">
        <w:rPr>
          <w:rFonts w:ascii="Arial" w:hAnsi="Arial" w:cs="Arial"/>
          <w:sz w:val="24"/>
          <w:szCs w:val="24"/>
        </w:rPr>
        <w:t>LFRS</w:t>
      </w:r>
      <w:r w:rsidR="00652678" w:rsidRPr="00D75223">
        <w:rPr>
          <w:rFonts w:ascii="Arial" w:hAnsi="Arial" w:cs="Arial"/>
          <w:sz w:val="24"/>
          <w:szCs w:val="24"/>
        </w:rPr>
        <w:t xml:space="preserve"> exceeded </w:t>
      </w:r>
      <w:r w:rsidR="00066AF6" w:rsidRPr="00D75223">
        <w:rPr>
          <w:rFonts w:ascii="Arial" w:hAnsi="Arial" w:cs="Arial"/>
          <w:sz w:val="24"/>
          <w:szCs w:val="24"/>
        </w:rPr>
        <w:t>this</w:t>
      </w:r>
      <w:r w:rsidR="00B17F24" w:rsidRPr="00D75223">
        <w:rPr>
          <w:rFonts w:ascii="Arial" w:hAnsi="Arial" w:cs="Arial"/>
          <w:sz w:val="24"/>
          <w:szCs w:val="24"/>
        </w:rPr>
        <w:t xml:space="preserve"> in 2024/25, </w:t>
      </w:r>
      <w:r w:rsidR="00066AF6" w:rsidRPr="00D75223">
        <w:rPr>
          <w:rFonts w:ascii="Arial" w:hAnsi="Arial" w:cs="Arial"/>
          <w:sz w:val="24"/>
          <w:szCs w:val="24"/>
        </w:rPr>
        <w:t>achieving over 7%</w:t>
      </w:r>
      <w:r w:rsidR="003E0012" w:rsidRPr="00D75223">
        <w:rPr>
          <w:rFonts w:ascii="Arial" w:hAnsi="Arial" w:cs="Arial"/>
          <w:sz w:val="24"/>
          <w:szCs w:val="24"/>
        </w:rPr>
        <w:t xml:space="preserve">, and is forecast to exceed this target in </w:t>
      </w:r>
      <w:r w:rsidR="005B64E7" w:rsidRPr="00D75223">
        <w:rPr>
          <w:rFonts w:ascii="Arial" w:hAnsi="Arial" w:cs="Arial"/>
          <w:sz w:val="24"/>
          <w:szCs w:val="24"/>
        </w:rPr>
        <w:t>2025/26</w:t>
      </w:r>
      <w:r w:rsidR="00B17F24" w:rsidRPr="00D75223">
        <w:rPr>
          <w:rFonts w:ascii="Arial" w:hAnsi="Arial" w:cs="Arial"/>
          <w:sz w:val="24"/>
          <w:szCs w:val="24"/>
        </w:rPr>
        <w:t>.</w:t>
      </w:r>
    </w:p>
    <w:p w14:paraId="0BC410AB" w14:textId="64F0F033" w:rsidR="155DF736" w:rsidRPr="00725AA3" w:rsidRDefault="155DF736" w:rsidP="00725AA3">
      <w:pPr>
        <w:pStyle w:val="Heading1"/>
      </w:pPr>
      <w:bookmarkStart w:id="30" w:name="_Toc196988033"/>
      <w:r w:rsidRPr="00725AA3">
        <w:rPr>
          <w:rStyle w:val="normaltextrun"/>
        </w:rPr>
        <w:t>Productivity</w:t>
      </w:r>
      <w:bookmarkEnd w:id="30"/>
      <w:r w:rsidRPr="00725AA3">
        <w:rPr>
          <w:rStyle w:val="normaltextrun"/>
        </w:rPr>
        <w:t xml:space="preserve"> </w:t>
      </w:r>
    </w:p>
    <w:p w14:paraId="1B54D2FB" w14:textId="7BE8A7D5" w:rsidR="000C0C35" w:rsidRPr="00725AA3" w:rsidRDefault="00997325" w:rsidP="00845604">
      <w:pPr>
        <w:pStyle w:val="Heading2"/>
        <w:rPr>
          <w:rStyle w:val="normaltextrun"/>
        </w:rPr>
      </w:pPr>
      <w:bookmarkStart w:id="31" w:name="_Toc196988034"/>
      <w:r w:rsidRPr="00725AA3">
        <w:rPr>
          <w:rStyle w:val="normaltextrun"/>
        </w:rPr>
        <w:t xml:space="preserve">Asset </w:t>
      </w:r>
      <w:r w:rsidR="008D3B07" w:rsidRPr="00725AA3">
        <w:rPr>
          <w:rStyle w:val="normaltextrun"/>
        </w:rPr>
        <w:t>m</w:t>
      </w:r>
      <w:r w:rsidRPr="00725AA3">
        <w:rPr>
          <w:rStyle w:val="normaltextrun"/>
        </w:rPr>
        <w:t xml:space="preserve">anagement and IT </w:t>
      </w:r>
      <w:r w:rsidR="008D3B07" w:rsidRPr="00725AA3">
        <w:rPr>
          <w:rStyle w:val="normaltextrun"/>
        </w:rPr>
        <w:t>i</w:t>
      </w:r>
      <w:r w:rsidRPr="00725AA3">
        <w:rPr>
          <w:rStyle w:val="normaltextrun"/>
        </w:rPr>
        <w:t>nvestment</w:t>
      </w:r>
      <w:bookmarkEnd w:id="31"/>
    </w:p>
    <w:p w14:paraId="1A8055A4" w14:textId="59A0B6F4" w:rsidR="0033708A" w:rsidRPr="00D75223" w:rsidRDefault="49F01367" w:rsidP="004A4D56">
      <w:pPr>
        <w:rPr>
          <w:rFonts w:ascii="Arial" w:hAnsi="Arial" w:cs="Arial"/>
          <w:sz w:val="24"/>
          <w:szCs w:val="24"/>
        </w:rPr>
      </w:pPr>
      <w:r w:rsidRPr="00D75223">
        <w:rPr>
          <w:rFonts w:ascii="Arial" w:hAnsi="Arial" w:cs="Arial"/>
          <w:sz w:val="24"/>
          <w:szCs w:val="24"/>
        </w:rPr>
        <w:t>We have</w:t>
      </w:r>
      <w:r w:rsidR="0033708A" w:rsidRPr="00D75223">
        <w:rPr>
          <w:rFonts w:ascii="Arial" w:hAnsi="Arial" w:cs="Arial"/>
          <w:sz w:val="24"/>
          <w:szCs w:val="24"/>
        </w:rPr>
        <w:t xml:space="preserve"> developed a Digital Strategy that outlines our 5-year trajectory to deliver improved productivity and efficiency both internally and externally. Our high-level projects and plans are progressing well:</w:t>
      </w:r>
    </w:p>
    <w:p w14:paraId="486244D3" w14:textId="267DDEF4" w:rsidR="0033708A" w:rsidRPr="00D75223" w:rsidRDefault="6B425BEF" w:rsidP="004A4D56">
      <w:pPr>
        <w:pStyle w:val="ListParagraph"/>
        <w:numPr>
          <w:ilvl w:val="0"/>
          <w:numId w:val="33"/>
        </w:numPr>
        <w:rPr>
          <w:rFonts w:ascii="Arial" w:hAnsi="Arial" w:cs="Arial"/>
        </w:rPr>
      </w:pPr>
      <w:r w:rsidRPr="00D75223">
        <w:rPr>
          <w:rFonts w:ascii="Arial" w:hAnsi="Arial" w:cs="Arial"/>
          <w:b/>
          <w:bCs/>
          <w:sz w:val="24"/>
          <w:szCs w:val="24"/>
        </w:rPr>
        <w:t>Digitalising</w:t>
      </w:r>
      <w:r w:rsidR="1B8C7EF5" w:rsidRPr="00D75223">
        <w:rPr>
          <w:rFonts w:ascii="Arial" w:hAnsi="Arial" w:cs="Arial"/>
          <w:b/>
          <w:bCs/>
          <w:sz w:val="24"/>
          <w:szCs w:val="24"/>
        </w:rPr>
        <w:t xml:space="preserve"> fire engines</w:t>
      </w:r>
      <w:r w:rsidR="1B8C7EF5" w:rsidRPr="00D75223">
        <w:rPr>
          <w:rFonts w:ascii="Arial" w:hAnsi="Arial" w:cs="Arial"/>
          <w:sz w:val="24"/>
          <w:szCs w:val="24"/>
        </w:rPr>
        <w:t xml:space="preserve"> – </w:t>
      </w:r>
      <w:r w:rsidR="00776674">
        <w:rPr>
          <w:rFonts w:ascii="Arial" w:hAnsi="Arial" w:cs="Arial"/>
          <w:sz w:val="24"/>
          <w:szCs w:val="24"/>
        </w:rPr>
        <w:t>w</w:t>
      </w:r>
      <w:r w:rsidR="1B8C7EF5" w:rsidRPr="00D75223">
        <w:rPr>
          <w:rFonts w:ascii="Arial" w:hAnsi="Arial" w:cs="Arial"/>
          <w:sz w:val="24"/>
          <w:szCs w:val="24"/>
        </w:rPr>
        <w:t xml:space="preserve">e have recently replaced all our front </w:t>
      </w:r>
      <w:r w:rsidR="00776674">
        <w:rPr>
          <w:rFonts w:ascii="Arial" w:hAnsi="Arial" w:cs="Arial"/>
          <w:sz w:val="24"/>
          <w:szCs w:val="24"/>
        </w:rPr>
        <w:t>m</w:t>
      </w:r>
      <w:r w:rsidR="1B8C7EF5" w:rsidRPr="00D75223">
        <w:rPr>
          <w:rFonts w:ascii="Arial" w:hAnsi="Arial" w:cs="Arial"/>
          <w:sz w:val="24"/>
          <w:szCs w:val="24"/>
        </w:rPr>
        <w:t xml:space="preserve">obile </w:t>
      </w:r>
      <w:r w:rsidR="00776674">
        <w:rPr>
          <w:rFonts w:ascii="Arial" w:hAnsi="Arial" w:cs="Arial"/>
          <w:sz w:val="24"/>
          <w:szCs w:val="24"/>
        </w:rPr>
        <w:t>d</w:t>
      </w:r>
      <w:r w:rsidR="1B8C7EF5" w:rsidRPr="00D75223">
        <w:rPr>
          <w:rFonts w:ascii="Arial" w:hAnsi="Arial" w:cs="Arial"/>
          <w:sz w:val="24"/>
          <w:szCs w:val="24"/>
        </w:rPr>
        <w:t xml:space="preserve">ata </w:t>
      </w:r>
      <w:r w:rsidR="00776674">
        <w:rPr>
          <w:rFonts w:ascii="Arial" w:hAnsi="Arial" w:cs="Arial"/>
          <w:sz w:val="24"/>
          <w:szCs w:val="24"/>
        </w:rPr>
        <w:t>t</w:t>
      </w:r>
      <w:r w:rsidR="1B8C7EF5" w:rsidRPr="00D75223">
        <w:rPr>
          <w:rFonts w:ascii="Arial" w:hAnsi="Arial" w:cs="Arial"/>
          <w:sz w:val="24"/>
          <w:szCs w:val="24"/>
        </w:rPr>
        <w:t xml:space="preserve">erminals (MDTs) and </w:t>
      </w:r>
      <w:r w:rsidR="1AE8EB95" w:rsidRPr="00D75223">
        <w:rPr>
          <w:rFonts w:ascii="Arial" w:hAnsi="Arial" w:cs="Arial"/>
          <w:sz w:val="24"/>
          <w:szCs w:val="24"/>
        </w:rPr>
        <w:t xml:space="preserve">have also </w:t>
      </w:r>
      <w:r w:rsidR="1B8C7EF5" w:rsidRPr="00D75223">
        <w:rPr>
          <w:rFonts w:ascii="Arial" w:hAnsi="Arial" w:cs="Arial"/>
          <w:sz w:val="24"/>
          <w:szCs w:val="24"/>
        </w:rPr>
        <w:t>roll</w:t>
      </w:r>
      <w:r w:rsidR="5925CFA2" w:rsidRPr="00D75223">
        <w:rPr>
          <w:rFonts w:ascii="Arial" w:hAnsi="Arial" w:cs="Arial"/>
          <w:sz w:val="24"/>
          <w:szCs w:val="24"/>
        </w:rPr>
        <w:t>ed</w:t>
      </w:r>
      <w:r w:rsidR="1B8C7EF5" w:rsidRPr="00D75223">
        <w:rPr>
          <w:rFonts w:ascii="Arial" w:hAnsi="Arial" w:cs="Arial"/>
          <w:sz w:val="24"/>
          <w:szCs w:val="24"/>
        </w:rPr>
        <w:t xml:space="preserve">-out rear demountable MDTs </w:t>
      </w:r>
      <w:r w:rsidR="2BAD3513" w:rsidRPr="00D75223">
        <w:rPr>
          <w:rFonts w:ascii="Arial" w:hAnsi="Arial" w:cs="Arial"/>
          <w:sz w:val="24"/>
          <w:szCs w:val="24"/>
        </w:rPr>
        <w:t>during 2024/5</w:t>
      </w:r>
      <w:r w:rsidR="1B8C7EF5" w:rsidRPr="00D75223">
        <w:rPr>
          <w:rFonts w:ascii="Arial" w:hAnsi="Arial" w:cs="Arial"/>
          <w:sz w:val="24"/>
          <w:szCs w:val="24"/>
        </w:rPr>
        <w:t xml:space="preserve">. At the same time, we have delivered a programme of upgrades of iPad devices on our fire engines, all of which increases the ability for simultaneous activity and thereby productivity. We are currently undertaking a pilot at two of our wholetime fire stations of full digitalisation of a fire engine; this includes additional work terminals and 5G wi-fi bubbles so that firefighters and officers can undertake office administration tasks and access various applications whilst out in communities and away from the station. Access is being provided to the full suite of applications as is presently accessed on fire stations (e.g. </w:t>
      </w:r>
      <w:r w:rsidR="00776674">
        <w:rPr>
          <w:rFonts w:ascii="Arial" w:hAnsi="Arial" w:cs="Arial"/>
          <w:sz w:val="24"/>
          <w:szCs w:val="24"/>
        </w:rPr>
        <w:t>home fire safety check</w:t>
      </w:r>
      <w:r w:rsidR="1B8C7EF5" w:rsidRPr="00D75223">
        <w:rPr>
          <w:rFonts w:ascii="Arial" w:hAnsi="Arial" w:cs="Arial"/>
          <w:sz w:val="24"/>
          <w:szCs w:val="24"/>
        </w:rPr>
        <w:t xml:space="preserve"> system, </w:t>
      </w:r>
      <w:r w:rsidR="00776674">
        <w:rPr>
          <w:rFonts w:ascii="Arial" w:hAnsi="Arial" w:cs="Arial"/>
          <w:sz w:val="24"/>
          <w:szCs w:val="24"/>
        </w:rPr>
        <w:t>business fire safety check ap</w:t>
      </w:r>
      <w:r w:rsidR="1B8C7EF5" w:rsidRPr="00D75223">
        <w:rPr>
          <w:rFonts w:ascii="Arial" w:hAnsi="Arial" w:cs="Arial"/>
          <w:sz w:val="24"/>
          <w:szCs w:val="24"/>
        </w:rPr>
        <w:t xml:space="preserve">p, </w:t>
      </w:r>
      <w:r w:rsidR="00776674">
        <w:rPr>
          <w:rFonts w:ascii="Arial" w:hAnsi="Arial" w:cs="Arial"/>
          <w:sz w:val="24"/>
          <w:szCs w:val="24"/>
        </w:rPr>
        <w:t>t</w:t>
      </w:r>
      <w:r w:rsidR="1B8C7EF5" w:rsidRPr="00D75223">
        <w:rPr>
          <w:rFonts w:ascii="Arial" w:hAnsi="Arial" w:cs="Arial"/>
          <w:sz w:val="24"/>
          <w:szCs w:val="24"/>
        </w:rPr>
        <w:t xml:space="preserve">raining </w:t>
      </w:r>
      <w:r w:rsidR="00776674">
        <w:rPr>
          <w:rFonts w:ascii="Arial" w:hAnsi="Arial" w:cs="Arial"/>
          <w:sz w:val="24"/>
          <w:szCs w:val="24"/>
        </w:rPr>
        <w:t>m</w:t>
      </w:r>
      <w:r w:rsidR="1B8C7EF5" w:rsidRPr="00D75223">
        <w:rPr>
          <w:rFonts w:ascii="Arial" w:hAnsi="Arial" w:cs="Arial"/>
          <w:sz w:val="24"/>
          <w:szCs w:val="24"/>
        </w:rPr>
        <w:t xml:space="preserve">anagement, </w:t>
      </w:r>
      <w:r w:rsidR="00776674">
        <w:rPr>
          <w:rFonts w:ascii="Arial" w:hAnsi="Arial" w:cs="Arial"/>
          <w:sz w:val="24"/>
          <w:szCs w:val="24"/>
        </w:rPr>
        <w:t>i</w:t>
      </w:r>
      <w:r w:rsidR="1B8C7EF5" w:rsidRPr="00D75223">
        <w:rPr>
          <w:rFonts w:ascii="Arial" w:hAnsi="Arial" w:cs="Arial"/>
          <w:sz w:val="24"/>
          <w:szCs w:val="24"/>
        </w:rPr>
        <w:t xml:space="preserve">ncident </w:t>
      </w:r>
      <w:r w:rsidR="00776674">
        <w:rPr>
          <w:rFonts w:ascii="Arial" w:hAnsi="Arial" w:cs="Arial"/>
          <w:sz w:val="24"/>
          <w:szCs w:val="24"/>
        </w:rPr>
        <w:t>r</w:t>
      </w:r>
      <w:r w:rsidR="1B8C7EF5" w:rsidRPr="00D75223">
        <w:rPr>
          <w:rFonts w:ascii="Arial" w:hAnsi="Arial" w:cs="Arial"/>
          <w:sz w:val="24"/>
          <w:szCs w:val="24"/>
        </w:rPr>
        <w:t xml:space="preserve">ecording </w:t>
      </w:r>
      <w:r w:rsidR="00776674">
        <w:rPr>
          <w:rFonts w:ascii="Arial" w:hAnsi="Arial" w:cs="Arial"/>
          <w:sz w:val="24"/>
          <w:szCs w:val="24"/>
        </w:rPr>
        <w:t>s</w:t>
      </w:r>
      <w:r w:rsidR="1B8C7EF5" w:rsidRPr="00D75223">
        <w:rPr>
          <w:rFonts w:ascii="Arial" w:hAnsi="Arial" w:cs="Arial"/>
          <w:sz w:val="24"/>
          <w:szCs w:val="24"/>
        </w:rPr>
        <w:t xml:space="preserve">ystem, </w:t>
      </w:r>
      <w:r w:rsidR="00776674">
        <w:rPr>
          <w:rFonts w:ascii="Arial" w:hAnsi="Arial" w:cs="Arial"/>
          <w:sz w:val="24"/>
          <w:szCs w:val="24"/>
        </w:rPr>
        <w:t>r</w:t>
      </w:r>
      <w:r w:rsidR="1B8C7EF5" w:rsidRPr="00D75223">
        <w:rPr>
          <w:rFonts w:ascii="Arial" w:hAnsi="Arial" w:cs="Arial"/>
          <w:sz w:val="24"/>
          <w:szCs w:val="24"/>
        </w:rPr>
        <w:t xml:space="preserve">ota </w:t>
      </w:r>
      <w:r w:rsidR="00776674">
        <w:rPr>
          <w:rFonts w:ascii="Arial" w:hAnsi="Arial" w:cs="Arial"/>
          <w:sz w:val="24"/>
          <w:szCs w:val="24"/>
        </w:rPr>
        <w:t>m</w:t>
      </w:r>
      <w:r w:rsidR="1B8C7EF5" w:rsidRPr="00D75223">
        <w:rPr>
          <w:rFonts w:ascii="Arial" w:hAnsi="Arial" w:cs="Arial"/>
          <w:sz w:val="24"/>
          <w:szCs w:val="24"/>
        </w:rPr>
        <w:t xml:space="preserve">anagement </w:t>
      </w:r>
      <w:r w:rsidR="00776674">
        <w:rPr>
          <w:rFonts w:ascii="Arial" w:hAnsi="Arial" w:cs="Arial"/>
          <w:sz w:val="24"/>
          <w:szCs w:val="24"/>
        </w:rPr>
        <w:t>s</w:t>
      </w:r>
      <w:r w:rsidR="1B8C7EF5" w:rsidRPr="00D75223">
        <w:rPr>
          <w:rFonts w:ascii="Arial" w:hAnsi="Arial" w:cs="Arial"/>
          <w:sz w:val="24"/>
          <w:szCs w:val="24"/>
        </w:rPr>
        <w:t xml:space="preserve">ystem, </w:t>
      </w:r>
      <w:r w:rsidR="00776674">
        <w:rPr>
          <w:rFonts w:ascii="Arial" w:hAnsi="Arial" w:cs="Arial"/>
          <w:sz w:val="24"/>
          <w:szCs w:val="24"/>
        </w:rPr>
        <w:t>i</w:t>
      </w:r>
      <w:r w:rsidR="1B8C7EF5" w:rsidRPr="00D75223">
        <w:rPr>
          <w:rFonts w:ascii="Arial" w:hAnsi="Arial" w:cs="Arial"/>
          <w:sz w:val="24"/>
          <w:szCs w:val="24"/>
        </w:rPr>
        <w:t xml:space="preserve">ntranet). </w:t>
      </w:r>
    </w:p>
    <w:p w14:paraId="023C5213" w14:textId="6F83ADF3" w:rsidR="0033708A" w:rsidRPr="00D75223" w:rsidRDefault="1B8C7EF5" w:rsidP="004A4D56">
      <w:pPr>
        <w:pStyle w:val="ListParagraph"/>
        <w:numPr>
          <w:ilvl w:val="0"/>
          <w:numId w:val="33"/>
        </w:numPr>
        <w:rPr>
          <w:rFonts w:ascii="Arial" w:hAnsi="Arial" w:cs="Arial"/>
        </w:rPr>
      </w:pPr>
      <w:r w:rsidRPr="00D75223">
        <w:rPr>
          <w:rFonts w:ascii="Arial" w:hAnsi="Arial" w:cs="Arial"/>
          <w:b/>
          <w:bCs/>
          <w:sz w:val="24"/>
          <w:szCs w:val="24"/>
        </w:rPr>
        <w:t>CCTV installation on Service vehicles</w:t>
      </w:r>
      <w:r w:rsidR="4F81280E" w:rsidRPr="00D75223">
        <w:rPr>
          <w:rFonts w:ascii="Arial" w:hAnsi="Arial" w:cs="Arial"/>
          <w:sz w:val="24"/>
          <w:szCs w:val="24"/>
        </w:rPr>
        <w:t xml:space="preserve"> – </w:t>
      </w:r>
      <w:r w:rsidR="00776674">
        <w:rPr>
          <w:rFonts w:ascii="Arial" w:hAnsi="Arial" w:cs="Arial"/>
          <w:sz w:val="24"/>
          <w:szCs w:val="24"/>
        </w:rPr>
        <w:t>w</w:t>
      </w:r>
      <w:r w:rsidR="4F81280E" w:rsidRPr="00D75223">
        <w:rPr>
          <w:rFonts w:ascii="Arial" w:hAnsi="Arial" w:cs="Arial"/>
          <w:sz w:val="24"/>
          <w:szCs w:val="24"/>
        </w:rPr>
        <w:t xml:space="preserve">e are continuing to install CCTV cameras on our frontline appliances and officer vehicles, with the aim </w:t>
      </w:r>
      <w:r w:rsidR="00776674">
        <w:rPr>
          <w:rFonts w:ascii="Arial" w:hAnsi="Arial" w:cs="Arial"/>
          <w:sz w:val="24"/>
          <w:szCs w:val="24"/>
        </w:rPr>
        <w:t>of</w:t>
      </w:r>
      <w:r w:rsidRPr="00D75223">
        <w:rPr>
          <w:rFonts w:ascii="Arial" w:hAnsi="Arial" w:cs="Arial"/>
          <w:sz w:val="24"/>
          <w:szCs w:val="24"/>
        </w:rPr>
        <w:t xml:space="preserve"> reduc</w:t>
      </w:r>
      <w:r w:rsidR="00776674">
        <w:rPr>
          <w:rFonts w:ascii="Arial" w:hAnsi="Arial" w:cs="Arial"/>
          <w:sz w:val="24"/>
          <w:szCs w:val="24"/>
        </w:rPr>
        <w:t>ing</w:t>
      </w:r>
      <w:r w:rsidRPr="00D75223">
        <w:rPr>
          <w:rFonts w:ascii="Arial" w:hAnsi="Arial" w:cs="Arial"/>
          <w:sz w:val="24"/>
          <w:szCs w:val="24"/>
        </w:rPr>
        <w:t xml:space="preserve"> accident and injury costs, also a deterrent for anti-social behaviour and spurious claims.  </w:t>
      </w:r>
    </w:p>
    <w:p w14:paraId="4BFBA9F6" w14:textId="5E9D6C8C" w:rsidR="0033708A" w:rsidRPr="00D75223" w:rsidRDefault="1B8C7EF5" w:rsidP="004A4D56">
      <w:pPr>
        <w:pStyle w:val="ListParagraph"/>
        <w:numPr>
          <w:ilvl w:val="0"/>
          <w:numId w:val="33"/>
        </w:numPr>
        <w:rPr>
          <w:rFonts w:ascii="Arial" w:hAnsi="Arial" w:cs="Arial"/>
        </w:rPr>
      </w:pPr>
      <w:r w:rsidRPr="00D75223">
        <w:rPr>
          <w:rFonts w:ascii="Arial" w:hAnsi="Arial" w:cs="Arial"/>
          <w:b/>
          <w:bCs/>
          <w:sz w:val="24"/>
          <w:szCs w:val="24"/>
        </w:rPr>
        <w:t xml:space="preserve">Business </w:t>
      </w:r>
      <w:r w:rsidR="00776674">
        <w:rPr>
          <w:rFonts w:ascii="Arial" w:hAnsi="Arial" w:cs="Arial"/>
          <w:b/>
          <w:bCs/>
          <w:sz w:val="24"/>
          <w:szCs w:val="24"/>
        </w:rPr>
        <w:t>i</w:t>
      </w:r>
      <w:r w:rsidRPr="00D75223">
        <w:rPr>
          <w:rFonts w:ascii="Arial" w:hAnsi="Arial" w:cs="Arial"/>
          <w:b/>
          <w:bCs/>
          <w:sz w:val="24"/>
          <w:szCs w:val="24"/>
        </w:rPr>
        <w:t>ntelligence</w:t>
      </w:r>
      <w:r w:rsidRPr="00D75223">
        <w:rPr>
          <w:rFonts w:ascii="Arial" w:hAnsi="Arial" w:cs="Arial"/>
          <w:sz w:val="24"/>
          <w:szCs w:val="24"/>
        </w:rPr>
        <w:t xml:space="preserve"> – the function is being strengthened with use of a data warehouse, new Service level </w:t>
      </w:r>
      <w:r w:rsidR="00A07276">
        <w:rPr>
          <w:rFonts w:ascii="Arial" w:hAnsi="Arial" w:cs="Arial"/>
          <w:sz w:val="24"/>
          <w:szCs w:val="24"/>
        </w:rPr>
        <w:t>k</w:t>
      </w:r>
      <w:r w:rsidRPr="00D75223">
        <w:rPr>
          <w:rFonts w:ascii="Arial" w:hAnsi="Arial" w:cs="Arial"/>
          <w:sz w:val="24"/>
          <w:szCs w:val="24"/>
        </w:rPr>
        <w:t xml:space="preserve">ey </w:t>
      </w:r>
      <w:r w:rsidR="00A07276">
        <w:rPr>
          <w:rFonts w:ascii="Arial" w:hAnsi="Arial" w:cs="Arial"/>
          <w:sz w:val="24"/>
          <w:szCs w:val="24"/>
        </w:rPr>
        <w:t>p</w:t>
      </w:r>
      <w:r w:rsidRPr="00D75223">
        <w:rPr>
          <w:rFonts w:ascii="Arial" w:hAnsi="Arial" w:cs="Arial"/>
          <w:sz w:val="24"/>
          <w:szCs w:val="24"/>
        </w:rPr>
        <w:t xml:space="preserve">erformance </w:t>
      </w:r>
      <w:r w:rsidR="00A07276">
        <w:rPr>
          <w:rFonts w:ascii="Arial" w:hAnsi="Arial" w:cs="Arial"/>
          <w:sz w:val="24"/>
          <w:szCs w:val="24"/>
        </w:rPr>
        <w:t>i</w:t>
      </w:r>
      <w:r w:rsidRPr="00D75223">
        <w:rPr>
          <w:rFonts w:ascii="Arial" w:hAnsi="Arial" w:cs="Arial"/>
          <w:sz w:val="24"/>
          <w:szCs w:val="24"/>
        </w:rPr>
        <w:t>ndicator (KPI) reporting, performance dashboards for use by managers to improve understanding of performance outcomes and inform efficient and effective targeting of resources.</w:t>
      </w:r>
      <w:r w:rsidR="44073B41" w:rsidRPr="00D75223">
        <w:rPr>
          <w:rFonts w:ascii="Arial" w:hAnsi="Arial" w:cs="Arial"/>
          <w:sz w:val="24"/>
          <w:szCs w:val="24"/>
        </w:rPr>
        <w:t xml:space="preserve"> </w:t>
      </w:r>
      <w:r w:rsidR="0D38BBF3" w:rsidRPr="00D75223">
        <w:rPr>
          <w:rFonts w:ascii="Arial" w:hAnsi="Arial" w:cs="Arial"/>
          <w:sz w:val="24"/>
          <w:szCs w:val="24"/>
        </w:rPr>
        <w:t>Digitalising</w:t>
      </w:r>
      <w:r w:rsidR="44073B41" w:rsidRPr="00D75223">
        <w:rPr>
          <w:rFonts w:ascii="Arial" w:hAnsi="Arial" w:cs="Arial"/>
          <w:sz w:val="24"/>
          <w:szCs w:val="24"/>
        </w:rPr>
        <w:t xml:space="preserve"> our approach to performance management is leading to more efficient ways of operating for our managers.</w:t>
      </w:r>
    </w:p>
    <w:p w14:paraId="183A86EF" w14:textId="7FA47726" w:rsidR="0033708A" w:rsidRPr="00D75223" w:rsidRDefault="0033708A" w:rsidP="004A4D56">
      <w:pPr>
        <w:pStyle w:val="ListParagraph"/>
        <w:numPr>
          <w:ilvl w:val="0"/>
          <w:numId w:val="33"/>
        </w:numPr>
        <w:rPr>
          <w:rFonts w:ascii="Arial" w:hAnsi="Arial" w:cs="Arial"/>
          <w:sz w:val="24"/>
          <w:szCs w:val="24"/>
        </w:rPr>
      </w:pPr>
      <w:r w:rsidRPr="00D75223">
        <w:rPr>
          <w:rFonts w:ascii="Arial" w:hAnsi="Arial" w:cs="Arial"/>
          <w:b/>
          <w:sz w:val="24"/>
          <w:szCs w:val="24"/>
        </w:rPr>
        <w:t>Training delivery</w:t>
      </w:r>
      <w:r w:rsidRPr="00D75223">
        <w:rPr>
          <w:rFonts w:ascii="Arial" w:hAnsi="Arial" w:cs="Arial"/>
          <w:sz w:val="24"/>
          <w:szCs w:val="24"/>
        </w:rPr>
        <w:t xml:space="preserve"> – the </w:t>
      </w:r>
      <w:r w:rsidR="596A8D13" w:rsidRPr="00D75223">
        <w:rPr>
          <w:rFonts w:ascii="Arial" w:hAnsi="Arial" w:cs="Arial"/>
          <w:sz w:val="24"/>
          <w:szCs w:val="24"/>
        </w:rPr>
        <w:t>full</w:t>
      </w:r>
      <w:r w:rsidRPr="00D75223">
        <w:rPr>
          <w:rFonts w:ascii="Arial" w:hAnsi="Arial" w:cs="Arial"/>
          <w:sz w:val="24"/>
          <w:szCs w:val="24"/>
        </w:rPr>
        <w:t xml:space="preserve"> implementation of </w:t>
      </w:r>
      <w:r w:rsidR="650F89AC" w:rsidRPr="00D75223">
        <w:rPr>
          <w:rFonts w:ascii="Arial" w:hAnsi="Arial" w:cs="Arial"/>
          <w:sz w:val="24"/>
          <w:szCs w:val="24"/>
        </w:rPr>
        <w:t>our</w:t>
      </w:r>
      <w:r w:rsidRPr="00D75223">
        <w:rPr>
          <w:rFonts w:ascii="Arial" w:hAnsi="Arial" w:cs="Arial"/>
          <w:sz w:val="24"/>
          <w:szCs w:val="24"/>
        </w:rPr>
        <w:t xml:space="preserve"> new </w:t>
      </w:r>
      <w:r w:rsidR="00A07276">
        <w:rPr>
          <w:rFonts w:ascii="Arial" w:hAnsi="Arial" w:cs="Arial"/>
          <w:sz w:val="24"/>
          <w:szCs w:val="24"/>
        </w:rPr>
        <w:t>l</w:t>
      </w:r>
      <w:r w:rsidRPr="00D75223">
        <w:rPr>
          <w:rFonts w:ascii="Arial" w:hAnsi="Arial" w:cs="Arial"/>
          <w:sz w:val="24"/>
          <w:szCs w:val="24"/>
        </w:rPr>
        <w:t xml:space="preserve">earning </w:t>
      </w:r>
      <w:r w:rsidR="00A07276">
        <w:rPr>
          <w:rFonts w:ascii="Arial" w:hAnsi="Arial" w:cs="Arial"/>
          <w:sz w:val="24"/>
          <w:szCs w:val="24"/>
        </w:rPr>
        <w:t>m</w:t>
      </w:r>
      <w:r w:rsidRPr="00D75223">
        <w:rPr>
          <w:rFonts w:ascii="Arial" w:hAnsi="Arial" w:cs="Arial"/>
          <w:sz w:val="24"/>
          <w:szCs w:val="24"/>
        </w:rPr>
        <w:t xml:space="preserve">anagement </w:t>
      </w:r>
      <w:r w:rsidR="00A07276">
        <w:rPr>
          <w:rFonts w:ascii="Arial" w:hAnsi="Arial" w:cs="Arial"/>
          <w:sz w:val="24"/>
          <w:szCs w:val="24"/>
        </w:rPr>
        <w:t>sy</w:t>
      </w:r>
      <w:r w:rsidRPr="00D75223">
        <w:rPr>
          <w:rFonts w:ascii="Arial" w:hAnsi="Arial" w:cs="Arial"/>
          <w:sz w:val="24"/>
          <w:szCs w:val="24"/>
        </w:rPr>
        <w:t xml:space="preserve">stem </w:t>
      </w:r>
      <w:r w:rsidR="250880C4" w:rsidRPr="00D75223">
        <w:rPr>
          <w:rFonts w:ascii="Arial" w:hAnsi="Arial" w:cs="Arial"/>
          <w:sz w:val="24"/>
          <w:szCs w:val="24"/>
        </w:rPr>
        <w:t xml:space="preserve">has </w:t>
      </w:r>
      <w:r w:rsidRPr="00D75223">
        <w:rPr>
          <w:rFonts w:ascii="Arial" w:hAnsi="Arial" w:cs="Arial"/>
          <w:sz w:val="24"/>
          <w:szCs w:val="24"/>
        </w:rPr>
        <w:t>vastly reduce</w:t>
      </w:r>
      <w:r w:rsidR="720E20F4" w:rsidRPr="00D75223">
        <w:rPr>
          <w:rFonts w:ascii="Arial" w:hAnsi="Arial" w:cs="Arial"/>
          <w:sz w:val="24"/>
          <w:szCs w:val="24"/>
        </w:rPr>
        <w:t>d</w:t>
      </w:r>
      <w:r w:rsidRPr="00D75223">
        <w:rPr>
          <w:rFonts w:ascii="Arial" w:hAnsi="Arial" w:cs="Arial"/>
          <w:sz w:val="24"/>
          <w:szCs w:val="24"/>
        </w:rPr>
        <w:t xml:space="preserve"> the administration demands for operational staff, managers, and </w:t>
      </w:r>
      <w:r w:rsidR="665F35BB" w:rsidRPr="00D75223">
        <w:rPr>
          <w:rFonts w:ascii="Arial" w:hAnsi="Arial" w:cs="Arial"/>
          <w:sz w:val="24"/>
          <w:szCs w:val="24"/>
        </w:rPr>
        <w:t>our leadership and development centre.</w:t>
      </w:r>
      <w:r w:rsidRPr="00D75223">
        <w:rPr>
          <w:rFonts w:ascii="Arial" w:hAnsi="Arial" w:cs="Arial"/>
          <w:sz w:val="24"/>
          <w:szCs w:val="24"/>
        </w:rPr>
        <w:t xml:space="preserve"> Capturing evidence of competency in a digital format </w:t>
      </w:r>
      <w:r w:rsidR="784B1925" w:rsidRPr="00D75223">
        <w:rPr>
          <w:rFonts w:ascii="Arial" w:hAnsi="Arial" w:cs="Arial"/>
          <w:sz w:val="24"/>
          <w:szCs w:val="24"/>
        </w:rPr>
        <w:t>has</w:t>
      </w:r>
      <w:r w:rsidRPr="00D75223">
        <w:rPr>
          <w:rFonts w:ascii="Arial" w:hAnsi="Arial" w:cs="Arial"/>
          <w:sz w:val="24"/>
          <w:szCs w:val="24"/>
        </w:rPr>
        <w:t xml:space="preserve"> enable</w:t>
      </w:r>
      <w:r w:rsidR="7E1C356B" w:rsidRPr="00D75223">
        <w:rPr>
          <w:rFonts w:ascii="Arial" w:hAnsi="Arial" w:cs="Arial"/>
          <w:sz w:val="24"/>
          <w:szCs w:val="24"/>
        </w:rPr>
        <w:t>d</w:t>
      </w:r>
      <w:r w:rsidRPr="00D75223">
        <w:rPr>
          <w:rFonts w:ascii="Arial" w:hAnsi="Arial" w:cs="Arial"/>
          <w:sz w:val="24"/>
          <w:szCs w:val="24"/>
        </w:rPr>
        <w:t xml:space="preserve"> development programmes to be delivered more efficiently and </w:t>
      </w:r>
      <w:r w:rsidR="54AF6C08" w:rsidRPr="00D75223">
        <w:rPr>
          <w:rFonts w:ascii="Arial" w:hAnsi="Arial" w:cs="Arial"/>
          <w:sz w:val="24"/>
          <w:szCs w:val="24"/>
        </w:rPr>
        <w:t xml:space="preserve">has </w:t>
      </w:r>
      <w:r w:rsidR="436F2DC6" w:rsidRPr="00D75223">
        <w:rPr>
          <w:rFonts w:ascii="Arial" w:hAnsi="Arial" w:cs="Arial"/>
          <w:sz w:val="24"/>
          <w:szCs w:val="24"/>
        </w:rPr>
        <w:t xml:space="preserve">released </w:t>
      </w:r>
      <w:r w:rsidRPr="00D75223">
        <w:rPr>
          <w:rFonts w:ascii="Arial" w:hAnsi="Arial" w:cs="Arial"/>
          <w:sz w:val="24"/>
          <w:szCs w:val="24"/>
        </w:rPr>
        <w:t>capacity</w:t>
      </w:r>
      <w:r w:rsidR="00A07276">
        <w:rPr>
          <w:rFonts w:ascii="Arial" w:hAnsi="Arial" w:cs="Arial"/>
          <w:sz w:val="24"/>
          <w:szCs w:val="24"/>
        </w:rPr>
        <w:t>.</w:t>
      </w:r>
      <w:r w:rsidRPr="00D75223">
        <w:rPr>
          <w:rFonts w:ascii="Arial" w:hAnsi="Arial" w:cs="Arial"/>
          <w:sz w:val="24"/>
          <w:szCs w:val="24"/>
        </w:rPr>
        <w:t xml:space="preserve"> Incident </w:t>
      </w:r>
      <w:r w:rsidR="00A07276">
        <w:rPr>
          <w:rFonts w:ascii="Arial" w:hAnsi="Arial" w:cs="Arial"/>
          <w:sz w:val="24"/>
          <w:szCs w:val="24"/>
        </w:rPr>
        <w:t>c</w:t>
      </w:r>
      <w:r w:rsidRPr="00D75223">
        <w:rPr>
          <w:rFonts w:ascii="Arial" w:hAnsi="Arial" w:cs="Arial"/>
          <w:sz w:val="24"/>
          <w:szCs w:val="24"/>
        </w:rPr>
        <w:t xml:space="preserve">ommand workshop events for </w:t>
      </w:r>
      <w:r w:rsidR="00A07276">
        <w:rPr>
          <w:rFonts w:ascii="Arial" w:hAnsi="Arial" w:cs="Arial"/>
          <w:sz w:val="24"/>
          <w:szCs w:val="24"/>
        </w:rPr>
        <w:t>on-c</w:t>
      </w:r>
      <w:r w:rsidRPr="00D75223">
        <w:rPr>
          <w:rFonts w:ascii="Arial" w:hAnsi="Arial" w:cs="Arial"/>
          <w:sz w:val="24"/>
          <w:szCs w:val="24"/>
        </w:rPr>
        <w:t xml:space="preserve">all staff are being delivered using a hybrid approach, i.e. in person at the </w:t>
      </w:r>
      <w:r w:rsidR="00A07276">
        <w:rPr>
          <w:rFonts w:ascii="Arial" w:hAnsi="Arial" w:cs="Arial"/>
          <w:sz w:val="24"/>
          <w:szCs w:val="24"/>
        </w:rPr>
        <w:t>on-c</w:t>
      </w:r>
      <w:r w:rsidRPr="00D75223">
        <w:rPr>
          <w:rFonts w:ascii="Arial" w:hAnsi="Arial" w:cs="Arial"/>
          <w:sz w:val="24"/>
          <w:szCs w:val="24"/>
        </w:rPr>
        <w:t>all station, or digitally via Microsoft Teams, reducing travel and time costs.</w:t>
      </w:r>
    </w:p>
    <w:p w14:paraId="17EFB5DE" w14:textId="2DE1CB0A" w:rsidR="0033708A" w:rsidRPr="00D75223" w:rsidRDefault="1B8C7EF5" w:rsidP="004A4D56">
      <w:pPr>
        <w:pStyle w:val="ListParagraph"/>
        <w:numPr>
          <w:ilvl w:val="0"/>
          <w:numId w:val="33"/>
        </w:numPr>
        <w:rPr>
          <w:rFonts w:ascii="Arial" w:hAnsi="Arial" w:cs="Arial"/>
          <w:sz w:val="24"/>
          <w:szCs w:val="24"/>
        </w:rPr>
      </w:pPr>
      <w:r w:rsidRPr="00D75223">
        <w:rPr>
          <w:rFonts w:ascii="Arial" w:hAnsi="Arial" w:cs="Arial"/>
          <w:b/>
          <w:bCs/>
          <w:sz w:val="24"/>
          <w:szCs w:val="24"/>
        </w:rPr>
        <w:t>Equipment and appliance checks, inventories and defects</w:t>
      </w:r>
      <w:r w:rsidRPr="00D75223">
        <w:rPr>
          <w:rFonts w:ascii="Arial" w:hAnsi="Arial" w:cs="Arial"/>
          <w:sz w:val="24"/>
          <w:szCs w:val="24"/>
        </w:rPr>
        <w:t xml:space="preserve"> - in line with the appliance digit</w:t>
      </w:r>
      <w:r w:rsidR="6B74F311" w:rsidRPr="00D75223">
        <w:rPr>
          <w:rFonts w:ascii="Arial" w:hAnsi="Arial" w:cs="Arial"/>
          <w:sz w:val="24"/>
          <w:szCs w:val="24"/>
        </w:rPr>
        <w:t>ali</w:t>
      </w:r>
      <w:r w:rsidRPr="00D75223">
        <w:rPr>
          <w:rFonts w:ascii="Arial" w:hAnsi="Arial" w:cs="Arial"/>
          <w:sz w:val="24"/>
          <w:szCs w:val="24"/>
        </w:rPr>
        <w:t xml:space="preserve">sation programme, we are currently exploring new fleet management software to remove the manual entries and improve on-station </w:t>
      </w:r>
      <w:r w:rsidRPr="00D75223">
        <w:rPr>
          <w:rFonts w:ascii="Arial" w:hAnsi="Arial" w:cs="Arial"/>
          <w:sz w:val="24"/>
          <w:szCs w:val="24"/>
        </w:rPr>
        <w:lastRenderedPageBreak/>
        <w:t xml:space="preserve">equipment and maintenance checks. This will enable visibility of equipment and vehicle inspections. The new system will be </w:t>
      </w:r>
      <w:r w:rsidR="00F94F76">
        <w:rPr>
          <w:rFonts w:ascii="Arial" w:hAnsi="Arial" w:cs="Arial"/>
          <w:sz w:val="24"/>
          <w:szCs w:val="24"/>
        </w:rPr>
        <w:t>a</w:t>
      </w:r>
      <w:r w:rsidRPr="00D75223">
        <w:rPr>
          <w:rFonts w:ascii="Arial" w:hAnsi="Arial" w:cs="Arial"/>
          <w:sz w:val="24"/>
          <w:szCs w:val="24"/>
        </w:rPr>
        <w:t>pp</w:t>
      </w:r>
      <w:r w:rsidR="00F94F76">
        <w:rPr>
          <w:rFonts w:ascii="Arial" w:hAnsi="Arial" w:cs="Arial"/>
          <w:sz w:val="24"/>
          <w:szCs w:val="24"/>
        </w:rPr>
        <w:t xml:space="preserve"> </w:t>
      </w:r>
      <w:r w:rsidRPr="00D75223">
        <w:rPr>
          <w:rFonts w:ascii="Arial" w:hAnsi="Arial" w:cs="Arial"/>
          <w:sz w:val="24"/>
          <w:szCs w:val="24"/>
        </w:rPr>
        <w:t>based, so inspections can be verified remotely and live updates posted on the system. In addition, we now operate an in-house vehicle compliance/safety checking procedure at station level. This ensures appliance safety inspections are completed on-time, keeping defect rectification to a minimum, which provides enhanced appliance availability and efficiencies.</w:t>
      </w:r>
    </w:p>
    <w:p w14:paraId="0AE9E749" w14:textId="5A68506E" w:rsidR="00997325" w:rsidRPr="00D75223" w:rsidRDefault="6275BE52" w:rsidP="004A4D56">
      <w:pPr>
        <w:pStyle w:val="ListParagraph"/>
        <w:numPr>
          <w:ilvl w:val="0"/>
          <w:numId w:val="33"/>
        </w:numPr>
        <w:rPr>
          <w:rFonts w:ascii="Arial" w:hAnsi="Arial" w:cs="Arial"/>
          <w:sz w:val="24"/>
          <w:szCs w:val="24"/>
        </w:rPr>
      </w:pPr>
      <w:r w:rsidRPr="00D75223">
        <w:rPr>
          <w:rFonts w:ascii="Arial" w:hAnsi="Arial" w:cs="Arial"/>
          <w:b/>
          <w:bCs/>
          <w:sz w:val="24"/>
          <w:szCs w:val="24"/>
        </w:rPr>
        <w:t>On</w:t>
      </w:r>
      <w:r w:rsidR="00F94F76">
        <w:rPr>
          <w:rFonts w:ascii="Arial" w:hAnsi="Arial" w:cs="Arial"/>
          <w:b/>
          <w:bCs/>
          <w:sz w:val="24"/>
          <w:szCs w:val="24"/>
        </w:rPr>
        <w:t>-c</w:t>
      </w:r>
      <w:r w:rsidRPr="00D75223">
        <w:rPr>
          <w:rFonts w:ascii="Arial" w:hAnsi="Arial" w:cs="Arial"/>
          <w:b/>
          <w:bCs/>
          <w:sz w:val="24"/>
          <w:szCs w:val="24"/>
        </w:rPr>
        <w:t xml:space="preserve">all </w:t>
      </w:r>
      <w:r w:rsidR="00F94F76">
        <w:rPr>
          <w:rFonts w:ascii="Arial" w:hAnsi="Arial" w:cs="Arial"/>
          <w:b/>
          <w:bCs/>
          <w:sz w:val="24"/>
          <w:szCs w:val="24"/>
        </w:rPr>
        <w:t>a</w:t>
      </w:r>
      <w:r w:rsidRPr="00D75223">
        <w:rPr>
          <w:rFonts w:ascii="Arial" w:hAnsi="Arial" w:cs="Arial"/>
          <w:b/>
          <w:bCs/>
          <w:sz w:val="24"/>
          <w:szCs w:val="24"/>
        </w:rPr>
        <w:t>vailability</w:t>
      </w:r>
      <w:r w:rsidR="00F94F76">
        <w:rPr>
          <w:rFonts w:ascii="Arial" w:hAnsi="Arial" w:cs="Arial"/>
          <w:b/>
          <w:bCs/>
          <w:sz w:val="24"/>
          <w:szCs w:val="24"/>
        </w:rPr>
        <w:t>,</w:t>
      </w:r>
      <w:r w:rsidRPr="00D75223">
        <w:rPr>
          <w:rFonts w:ascii="Arial" w:hAnsi="Arial" w:cs="Arial"/>
          <w:b/>
          <w:bCs/>
          <w:sz w:val="24"/>
          <w:szCs w:val="24"/>
        </w:rPr>
        <w:t xml:space="preserve"> </w:t>
      </w:r>
      <w:r w:rsidR="00F94F76">
        <w:rPr>
          <w:rFonts w:ascii="Arial" w:hAnsi="Arial" w:cs="Arial"/>
          <w:b/>
          <w:bCs/>
          <w:sz w:val="24"/>
          <w:szCs w:val="24"/>
        </w:rPr>
        <w:t>r</w:t>
      </w:r>
      <w:r w:rsidRPr="00D75223">
        <w:rPr>
          <w:rFonts w:ascii="Arial" w:hAnsi="Arial" w:cs="Arial"/>
          <w:b/>
          <w:bCs/>
          <w:sz w:val="24"/>
          <w:szCs w:val="24"/>
        </w:rPr>
        <w:t xml:space="preserve">ecruitment and </w:t>
      </w:r>
      <w:r w:rsidR="00F94F76">
        <w:rPr>
          <w:rFonts w:ascii="Arial" w:hAnsi="Arial" w:cs="Arial"/>
          <w:b/>
          <w:bCs/>
          <w:sz w:val="24"/>
          <w:szCs w:val="24"/>
        </w:rPr>
        <w:t>s</w:t>
      </w:r>
      <w:r w:rsidRPr="00D75223">
        <w:rPr>
          <w:rFonts w:ascii="Arial" w:hAnsi="Arial" w:cs="Arial"/>
          <w:b/>
          <w:bCs/>
          <w:sz w:val="24"/>
          <w:szCs w:val="24"/>
        </w:rPr>
        <w:t xml:space="preserve">kills (OARS) software – </w:t>
      </w:r>
      <w:r w:rsidRPr="00D75223">
        <w:rPr>
          <w:rFonts w:ascii="Arial" w:hAnsi="Arial" w:cs="Arial"/>
          <w:sz w:val="24"/>
          <w:szCs w:val="24"/>
        </w:rPr>
        <w:t xml:space="preserve">we have worked collaboratively with a software provider to develop bespoke software, the first of its kind across the UK fire service. This innovative software allows us to use </w:t>
      </w:r>
      <w:r w:rsidR="003B50AF" w:rsidRPr="00D75223">
        <w:rPr>
          <w:rFonts w:ascii="Arial" w:hAnsi="Arial" w:cs="Arial"/>
          <w:sz w:val="24"/>
          <w:szCs w:val="24"/>
        </w:rPr>
        <w:t>data to improve strategic workforce planning for our on-call stations</w:t>
      </w:r>
      <w:r w:rsidR="140D3B1F" w:rsidRPr="00D75223">
        <w:rPr>
          <w:rFonts w:ascii="Arial" w:hAnsi="Arial" w:cs="Arial"/>
          <w:sz w:val="24"/>
          <w:szCs w:val="24"/>
        </w:rPr>
        <w:t xml:space="preserve">. The software is designed to optimise </w:t>
      </w:r>
      <w:r w:rsidR="00F94F76">
        <w:rPr>
          <w:rFonts w:ascii="Arial" w:hAnsi="Arial" w:cs="Arial"/>
          <w:sz w:val="24"/>
          <w:szCs w:val="24"/>
        </w:rPr>
        <w:t>o</w:t>
      </w:r>
      <w:r w:rsidR="140D3B1F" w:rsidRPr="00D75223">
        <w:rPr>
          <w:rFonts w:ascii="Arial" w:hAnsi="Arial" w:cs="Arial"/>
          <w:sz w:val="24"/>
          <w:szCs w:val="24"/>
        </w:rPr>
        <w:t xml:space="preserve">n-call </w:t>
      </w:r>
      <w:r w:rsidR="00F94F76">
        <w:rPr>
          <w:rFonts w:ascii="Arial" w:hAnsi="Arial" w:cs="Arial"/>
          <w:sz w:val="24"/>
          <w:szCs w:val="24"/>
        </w:rPr>
        <w:t>a</w:t>
      </w:r>
      <w:r w:rsidR="140D3B1F" w:rsidRPr="00D75223">
        <w:rPr>
          <w:rFonts w:ascii="Arial" w:hAnsi="Arial" w:cs="Arial"/>
          <w:sz w:val="24"/>
          <w:szCs w:val="24"/>
        </w:rPr>
        <w:t xml:space="preserve">vailability, </w:t>
      </w:r>
      <w:r w:rsidR="00F94F76">
        <w:rPr>
          <w:rFonts w:ascii="Arial" w:hAnsi="Arial" w:cs="Arial"/>
          <w:sz w:val="24"/>
          <w:szCs w:val="24"/>
        </w:rPr>
        <w:t>r</w:t>
      </w:r>
      <w:r w:rsidR="140D3B1F" w:rsidRPr="00D75223">
        <w:rPr>
          <w:rFonts w:ascii="Arial" w:hAnsi="Arial" w:cs="Arial"/>
          <w:sz w:val="24"/>
          <w:szCs w:val="24"/>
        </w:rPr>
        <w:t xml:space="preserve">ecruitment, and </w:t>
      </w:r>
      <w:r w:rsidR="00F94F76">
        <w:rPr>
          <w:rFonts w:ascii="Arial" w:hAnsi="Arial" w:cs="Arial"/>
          <w:sz w:val="24"/>
          <w:szCs w:val="24"/>
        </w:rPr>
        <w:t>s</w:t>
      </w:r>
      <w:r w:rsidR="140D3B1F" w:rsidRPr="00D75223">
        <w:rPr>
          <w:rFonts w:ascii="Arial" w:hAnsi="Arial" w:cs="Arial"/>
          <w:sz w:val="24"/>
          <w:szCs w:val="24"/>
        </w:rPr>
        <w:t>kills utilisation, including understanding expected availability and incident demand. It enables us to use data more effectively to address critical challenges in recruitment, diversity, and workforce planning, particularly in the light of shortages of emergency response drivers and incident commanders, and a growing recruitment and retention challenge both locally</w:t>
      </w:r>
      <w:r w:rsidR="69B62208" w:rsidRPr="00D75223">
        <w:rPr>
          <w:rFonts w:ascii="Arial" w:hAnsi="Arial" w:cs="Arial"/>
          <w:sz w:val="24"/>
          <w:szCs w:val="24"/>
        </w:rPr>
        <w:t>, and nationally. Since its inception we have seen a positive increase in on-call availability and used the software effectively to target potential incident commanders, seeing a 275% incr</w:t>
      </w:r>
      <w:r w:rsidR="0104BF74" w:rsidRPr="00D75223">
        <w:rPr>
          <w:rFonts w:ascii="Arial" w:hAnsi="Arial" w:cs="Arial"/>
          <w:sz w:val="24"/>
          <w:szCs w:val="24"/>
        </w:rPr>
        <w:t>ease in those coming forward</w:t>
      </w:r>
      <w:r w:rsidR="69B62208" w:rsidRPr="00D75223">
        <w:rPr>
          <w:rFonts w:ascii="Arial" w:hAnsi="Arial" w:cs="Arial"/>
          <w:sz w:val="24"/>
          <w:szCs w:val="24"/>
        </w:rPr>
        <w:t xml:space="preserve"> </w:t>
      </w:r>
      <w:r w:rsidR="05AAB018" w:rsidRPr="00D75223">
        <w:rPr>
          <w:rFonts w:ascii="Arial" w:hAnsi="Arial" w:cs="Arial"/>
          <w:sz w:val="24"/>
          <w:szCs w:val="24"/>
        </w:rPr>
        <w:t>because of targeted conversations. During 2025/6 we will continue to use the software to i</w:t>
      </w:r>
      <w:r w:rsidR="20057707" w:rsidRPr="00D75223">
        <w:rPr>
          <w:rFonts w:ascii="Arial" w:hAnsi="Arial" w:cs="Arial"/>
          <w:sz w:val="24"/>
          <w:szCs w:val="24"/>
        </w:rPr>
        <w:t>n</w:t>
      </w:r>
      <w:r w:rsidR="05AAB018" w:rsidRPr="00D75223">
        <w:rPr>
          <w:rFonts w:ascii="Arial" w:hAnsi="Arial" w:cs="Arial"/>
          <w:sz w:val="24"/>
          <w:szCs w:val="24"/>
        </w:rPr>
        <w:t>form strategic policy decisions in re</w:t>
      </w:r>
      <w:r w:rsidR="0B1C4BB7" w:rsidRPr="00D75223">
        <w:rPr>
          <w:rFonts w:ascii="Arial" w:hAnsi="Arial" w:cs="Arial"/>
          <w:sz w:val="24"/>
          <w:szCs w:val="24"/>
        </w:rPr>
        <w:t xml:space="preserve">lation to on-call. </w:t>
      </w:r>
    </w:p>
    <w:p w14:paraId="717DE48D" w14:textId="154F5B5B" w:rsidR="12BFEB68" w:rsidRPr="00D75223" w:rsidRDefault="00BE5432" w:rsidP="004A4D56">
      <w:pPr>
        <w:pStyle w:val="ListParagraph"/>
        <w:numPr>
          <w:ilvl w:val="0"/>
          <w:numId w:val="33"/>
        </w:numPr>
        <w:rPr>
          <w:rFonts w:ascii="Arial" w:hAnsi="Arial" w:cs="Arial"/>
          <w:b/>
          <w:sz w:val="24"/>
          <w:szCs w:val="24"/>
        </w:rPr>
      </w:pPr>
      <w:r w:rsidRPr="00D75223">
        <w:rPr>
          <w:rFonts w:ascii="Arial" w:hAnsi="Arial" w:cs="Arial"/>
          <w:b/>
          <w:sz w:val="24"/>
          <w:szCs w:val="24"/>
        </w:rPr>
        <w:t xml:space="preserve">Site </w:t>
      </w:r>
      <w:r w:rsidR="00F94F76">
        <w:rPr>
          <w:rFonts w:ascii="Arial" w:hAnsi="Arial" w:cs="Arial"/>
          <w:b/>
          <w:sz w:val="24"/>
          <w:szCs w:val="24"/>
        </w:rPr>
        <w:t>s</w:t>
      </w:r>
      <w:r w:rsidRPr="00D75223">
        <w:rPr>
          <w:rFonts w:ascii="Arial" w:hAnsi="Arial" w:cs="Arial"/>
          <w:b/>
          <w:sz w:val="24"/>
          <w:szCs w:val="24"/>
        </w:rPr>
        <w:t xml:space="preserve">pecific </w:t>
      </w:r>
      <w:r w:rsidR="00F94F76">
        <w:rPr>
          <w:rFonts w:ascii="Arial" w:hAnsi="Arial" w:cs="Arial"/>
          <w:b/>
          <w:sz w:val="24"/>
          <w:szCs w:val="24"/>
        </w:rPr>
        <w:t>r</w:t>
      </w:r>
      <w:r w:rsidRPr="00D75223">
        <w:rPr>
          <w:rFonts w:ascii="Arial" w:hAnsi="Arial" w:cs="Arial"/>
          <w:b/>
          <w:sz w:val="24"/>
          <w:szCs w:val="24"/>
        </w:rPr>
        <w:t xml:space="preserve">isk </w:t>
      </w:r>
      <w:r w:rsidR="00F94F76">
        <w:rPr>
          <w:rFonts w:ascii="Arial" w:hAnsi="Arial" w:cs="Arial"/>
          <w:b/>
          <w:sz w:val="24"/>
          <w:szCs w:val="24"/>
        </w:rPr>
        <w:t>i</w:t>
      </w:r>
      <w:r w:rsidRPr="00D75223">
        <w:rPr>
          <w:rFonts w:ascii="Arial" w:hAnsi="Arial" w:cs="Arial"/>
          <w:b/>
          <w:sz w:val="24"/>
          <w:szCs w:val="24"/>
        </w:rPr>
        <w:t xml:space="preserve">nformation (SSRI) </w:t>
      </w:r>
      <w:r w:rsidR="00F94F76">
        <w:rPr>
          <w:rFonts w:ascii="Arial" w:hAnsi="Arial" w:cs="Arial"/>
          <w:b/>
          <w:sz w:val="24"/>
          <w:szCs w:val="24"/>
        </w:rPr>
        <w:t>r</w:t>
      </w:r>
      <w:r w:rsidR="12BFEB68" w:rsidRPr="00D75223">
        <w:rPr>
          <w:rFonts w:ascii="Arial" w:hAnsi="Arial" w:cs="Arial"/>
          <w:b/>
          <w:sz w:val="24"/>
          <w:szCs w:val="24"/>
        </w:rPr>
        <w:t xml:space="preserve">isk </w:t>
      </w:r>
      <w:r w:rsidR="00F94F76">
        <w:rPr>
          <w:rFonts w:ascii="Arial" w:hAnsi="Arial" w:cs="Arial"/>
          <w:b/>
          <w:sz w:val="24"/>
          <w:szCs w:val="24"/>
        </w:rPr>
        <w:t>s</w:t>
      </w:r>
      <w:r w:rsidR="12BFEB68" w:rsidRPr="00D75223">
        <w:rPr>
          <w:rFonts w:ascii="Arial" w:hAnsi="Arial" w:cs="Arial"/>
          <w:b/>
          <w:sz w:val="24"/>
          <w:szCs w:val="24"/>
        </w:rPr>
        <w:t xml:space="preserve">coring </w:t>
      </w:r>
      <w:r w:rsidR="00F94F76">
        <w:rPr>
          <w:rFonts w:ascii="Arial" w:hAnsi="Arial" w:cs="Arial"/>
          <w:b/>
          <w:sz w:val="24"/>
          <w:szCs w:val="24"/>
        </w:rPr>
        <w:t>c</w:t>
      </w:r>
      <w:r w:rsidR="12BFEB68" w:rsidRPr="00D75223">
        <w:rPr>
          <w:rFonts w:ascii="Arial" w:hAnsi="Arial" w:cs="Arial"/>
          <w:b/>
          <w:sz w:val="24"/>
          <w:szCs w:val="24"/>
        </w:rPr>
        <w:t>alculator</w:t>
      </w:r>
    </w:p>
    <w:p w14:paraId="2DD0055A" w14:textId="509E497F" w:rsidR="3C3BBE9D" w:rsidRPr="00D75223" w:rsidRDefault="12BFEB68" w:rsidP="004A4D56">
      <w:pPr>
        <w:pStyle w:val="ListParagraph"/>
        <w:rPr>
          <w:rFonts w:ascii="Arial" w:hAnsi="Arial" w:cs="Arial"/>
          <w:sz w:val="24"/>
          <w:szCs w:val="24"/>
        </w:rPr>
      </w:pPr>
      <w:r w:rsidRPr="00D75223">
        <w:rPr>
          <w:rFonts w:ascii="Arial" w:hAnsi="Arial" w:cs="Arial"/>
          <w:sz w:val="24"/>
          <w:szCs w:val="24"/>
        </w:rPr>
        <w:t>We have created a risk scoring calculator, which makes the scoring and subsequent level of SSRIs far more accurate and</w:t>
      </w:r>
      <w:r w:rsidR="2F020B01" w:rsidRPr="00D75223">
        <w:rPr>
          <w:rFonts w:ascii="Arial" w:hAnsi="Arial" w:cs="Arial"/>
          <w:sz w:val="24"/>
          <w:szCs w:val="24"/>
        </w:rPr>
        <w:t xml:space="preserve"> objective. The</w:t>
      </w:r>
      <w:r w:rsidR="0C364533" w:rsidRPr="00D75223">
        <w:rPr>
          <w:rFonts w:ascii="Arial" w:hAnsi="Arial" w:cs="Arial"/>
          <w:sz w:val="24"/>
          <w:szCs w:val="24"/>
        </w:rPr>
        <w:t>re</w:t>
      </w:r>
      <w:r w:rsidR="60CD9851" w:rsidRPr="00D75223">
        <w:rPr>
          <w:rFonts w:ascii="Arial" w:hAnsi="Arial" w:cs="Arial"/>
          <w:sz w:val="24"/>
          <w:szCs w:val="24"/>
        </w:rPr>
        <w:t xml:space="preserve"> are several benefits to this concept</w:t>
      </w:r>
      <w:r w:rsidR="00F94F76">
        <w:rPr>
          <w:rFonts w:ascii="Arial" w:hAnsi="Arial" w:cs="Arial"/>
          <w:sz w:val="24"/>
          <w:szCs w:val="24"/>
        </w:rPr>
        <w:t>. Bu</w:t>
      </w:r>
      <w:r w:rsidR="60CD9851" w:rsidRPr="00D75223">
        <w:rPr>
          <w:rFonts w:ascii="Arial" w:hAnsi="Arial" w:cs="Arial"/>
          <w:sz w:val="24"/>
          <w:szCs w:val="24"/>
        </w:rPr>
        <w:t>ilding</w:t>
      </w:r>
      <w:r w:rsidR="6467FE79" w:rsidRPr="00D75223">
        <w:rPr>
          <w:rFonts w:ascii="Arial" w:hAnsi="Arial" w:cs="Arial"/>
          <w:sz w:val="24"/>
          <w:szCs w:val="24"/>
        </w:rPr>
        <w:t>s</w:t>
      </w:r>
      <w:r w:rsidR="60CD9851" w:rsidRPr="00D75223">
        <w:rPr>
          <w:rFonts w:ascii="Arial" w:hAnsi="Arial" w:cs="Arial"/>
          <w:sz w:val="24"/>
          <w:szCs w:val="24"/>
        </w:rPr>
        <w:t xml:space="preserve"> will only require an SSRI and subsequent review</w:t>
      </w:r>
      <w:r w:rsidR="559CBAD8" w:rsidRPr="00D75223">
        <w:rPr>
          <w:rFonts w:ascii="Arial" w:hAnsi="Arial" w:cs="Arial"/>
          <w:sz w:val="24"/>
          <w:szCs w:val="24"/>
        </w:rPr>
        <w:t xml:space="preserve"> if it is deemed necessary by the accurate score</w:t>
      </w:r>
      <w:r w:rsidR="02E0EACC" w:rsidRPr="00D75223">
        <w:rPr>
          <w:rFonts w:ascii="Arial" w:hAnsi="Arial" w:cs="Arial"/>
          <w:sz w:val="24"/>
          <w:szCs w:val="24"/>
        </w:rPr>
        <w:t xml:space="preserve"> provided</w:t>
      </w:r>
      <w:r w:rsidR="559CBAD8" w:rsidRPr="00D75223">
        <w:rPr>
          <w:rFonts w:ascii="Arial" w:hAnsi="Arial" w:cs="Arial"/>
          <w:sz w:val="24"/>
          <w:szCs w:val="24"/>
        </w:rPr>
        <w:t>. This has seen a reduction in the number of SSRI and their levels</w:t>
      </w:r>
      <w:r w:rsidR="20D2FA8C" w:rsidRPr="00D75223">
        <w:rPr>
          <w:rFonts w:ascii="Arial" w:hAnsi="Arial" w:cs="Arial"/>
          <w:sz w:val="24"/>
          <w:szCs w:val="24"/>
        </w:rPr>
        <w:t xml:space="preserve">. This </w:t>
      </w:r>
      <w:r w:rsidR="534C8E91" w:rsidRPr="00D75223">
        <w:rPr>
          <w:rFonts w:ascii="Arial" w:hAnsi="Arial" w:cs="Arial"/>
          <w:sz w:val="24"/>
          <w:szCs w:val="24"/>
        </w:rPr>
        <w:t>subsequently</w:t>
      </w:r>
      <w:r w:rsidR="559CBAD8" w:rsidRPr="00D75223">
        <w:rPr>
          <w:rFonts w:ascii="Arial" w:hAnsi="Arial" w:cs="Arial"/>
          <w:sz w:val="24"/>
          <w:szCs w:val="24"/>
        </w:rPr>
        <w:t xml:space="preserve"> </w:t>
      </w:r>
      <w:r w:rsidR="19CBA3D4" w:rsidRPr="00D75223">
        <w:rPr>
          <w:rFonts w:ascii="Arial" w:hAnsi="Arial" w:cs="Arial"/>
          <w:sz w:val="24"/>
          <w:szCs w:val="24"/>
        </w:rPr>
        <w:t>reduces the need for</w:t>
      </w:r>
      <w:r w:rsidR="559CBAD8" w:rsidRPr="00D75223">
        <w:rPr>
          <w:rFonts w:ascii="Arial" w:hAnsi="Arial" w:cs="Arial"/>
          <w:sz w:val="24"/>
          <w:szCs w:val="24"/>
        </w:rPr>
        <w:t xml:space="preserve"> </w:t>
      </w:r>
      <w:r w:rsidR="49036016" w:rsidRPr="00D75223">
        <w:rPr>
          <w:rFonts w:ascii="Arial" w:hAnsi="Arial" w:cs="Arial"/>
          <w:sz w:val="24"/>
          <w:szCs w:val="24"/>
        </w:rPr>
        <w:t>unproductive</w:t>
      </w:r>
      <w:r w:rsidR="559CBAD8" w:rsidRPr="00D75223">
        <w:rPr>
          <w:rFonts w:ascii="Arial" w:hAnsi="Arial" w:cs="Arial"/>
          <w:sz w:val="24"/>
          <w:szCs w:val="24"/>
        </w:rPr>
        <w:t xml:space="preserve"> visits to premises, allowing this time to go</w:t>
      </w:r>
      <w:r w:rsidR="268FC163" w:rsidRPr="00D75223">
        <w:rPr>
          <w:rFonts w:ascii="Arial" w:hAnsi="Arial" w:cs="Arial"/>
          <w:sz w:val="24"/>
          <w:szCs w:val="24"/>
        </w:rPr>
        <w:t xml:space="preserve"> </w:t>
      </w:r>
      <w:r w:rsidR="00F94F76">
        <w:rPr>
          <w:rFonts w:ascii="Arial" w:hAnsi="Arial" w:cs="Arial"/>
          <w:sz w:val="24"/>
          <w:szCs w:val="24"/>
        </w:rPr>
        <w:t>towards</w:t>
      </w:r>
      <w:r w:rsidR="268FC163" w:rsidRPr="00D75223">
        <w:rPr>
          <w:rFonts w:ascii="Arial" w:hAnsi="Arial" w:cs="Arial"/>
          <w:sz w:val="24"/>
          <w:szCs w:val="24"/>
        </w:rPr>
        <w:t xml:space="preserve"> improving risk data at </w:t>
      </w:r>
      <w:r w:rsidR="00F6CFFF" w:rsidRPr="00D75223">
        <w:rPr>
          <w:rFonts w:ascii="Arial" w:hAnsi="Arial" w:cs="Arial"/>
          <w:sz w:val="24"/>
          <w:szCs w:val="24"/>
        </w:rPr>
        <w:t>high-risk</w:t>
      </w:r>
      <w:r w:rsidR="268FC163" w:rsidRPr="00D75223">
        <w:rPr>
          <w:rFonts w:ascii="Arial" w:hAnsi="Arial" w:cs="Arial"/>
          <w:sz w:val="24"/>
          <w:szCs w:val="24"/>
        </w:rPr>
        <w:t xml:space="preserve"> premises and </w:t>
      </w:r>
      <w:r w:rsidR="778331F8" w:rsidRPr="00D75223">
        <w:rPr>
          <w:rFonts w:ascii="Arial" w:hAnsi="Arial" w:cs="Arial"/>
          <w:sz w:val="24"/>
          <w:szCs w:val="24"/>
        </w:rPr>
        <w:t>ensuring</w:t>
      </w:r>
      <w:r w:rsidR="268FC163" w:rsidRPr="00D75223">
        <w:rPr>
          <w:rFonts w:ascii="Arial" w:hAnsi="Arial" w:cs="Arial"/>
          <w:sz w:val="24"/>
          <w:szCs w:val="24"/>
        </w:rPr>
        <w:t xml:space="preserve"> the crews are prepared to attend an </w:t>
      </w:r>
      <w:r w:rsidR="56B56584" w:rsidRPr="00D75223">
        <w:rPr>
          <w:rFonts w:ascii="Arial" w:hAnsi="Arial" w:cs="Arial"/>
          <w:sz w:val="24"/>
          <w:szCs w:val="24"/>
        </w:rPr>
        <w:t>incident</w:t>
      </w:r>
      <w:r w:rsidR="268FC163" w:rsidRPr="00D75223">
        <w:rPr>
          <w:rFonts w:ascii="Arial" w:hAnsi="Arial" w:cs="Arial"/>
          <w:sz w:val="24"/>
          <w:szCs w:val="24"/>
        </w:rPr>
        <w:t xml:space="preserve"> there, by training an</w:t>
      </w:r>
      <w:r w:rsidR="56F8865F" w:rsidRPr="00D75223">
        <w:rPr>
          <w:rFonts w:ascii="Arial" w:hAnsi="Arial" w:cs="Arial"/>
          <w:sz w:val="24"/>
          <w:szCs w:val="24"/>
        </w:rPr>
        <w:t>d</w:t>
      </w:r>
      <w:r w:rsidR="268FC163" w:rsidRPr="00D75223">
        <w:rPr>
          <w:rFonts w:ascii="Arial" w:hAnsi="Arial" w:cs="Arial"/>
          <w:sz w:val="24"/>
          <w:szCs w:val="24"/>
        </w:rPr>
        <w:t xml:space="preserve"> </w:t>
      </w:r>
      <w:r w:rsidR="55615A4E" w:rsidRPr="00D75223">
        <w:rPr>
          <w:rFonts w:ascii="Arial" w:hAnsi="Arial" w:cs="Arial"/>
          <w:sz w:val="24"/>
          <w:szCs w:val="24"/>
        </w:rPr>
        <w:t>familiarising</w:t>
      </w:r>
      <w:r w:rsidR="268FC163" w:rsidRPr="00D75223">
        <w:rPr>
          <w:rFonts w:ascii="Arial" w:hAnsi="Arial" w:cs="Arial"/>
          <w:sz w:val="24"/>
          <w:szCs w:val="24"/>
        </w:rPr>
        <w:t xml:space="preserve">.  </w:t>
      </w:r>
      <w:r w:rsidR="3CDFC0FD" w:rsidRPr="00D75223">
        <w:rPr>
          <w:rFonts w:ascii="Arial" w:hAnsi="Arial" w:cs="Arial"/>
          <w:sz w:val="24"/>
          <w:szCs w:val="24"/>
        </w:rPr>
        <w:t xml:space="preserve">The </w:t>
      </w:r>
      <w:r w:rsidR="5B5D918E" w:rsidRPr="00D75223">
        <w:rPr>
          <w:rFonts w:ascii="Arial" w:hAnsi="Arial" w:cs="Arial"/>
          <w:sz w:val="24"/>
          <w:szCs w:val="24"/>
        </w:rPr>
        <w:t>calculator</w:t>
      </w:r>
      <w:r w:rsidR="3CDFC0FD" w:rsidRPr="00D75223">
        <w:rPr>
          <w:rFonts w:ascii="Arial" w:hAnsi="Arial" w:cs="Arial"/>
          <w:sz w:val="24"/>
          <w:szCs w:val="24"/>
        </w:rPr>
        <w:t xml:space="preserve"> also allows for lower risk premises to be reviewed </w:t>
      </w:r>
      <w:r w:rsidR="00E86F95" w:rsidRPr="00D75223">
        <w:rPr>
          <w:rFonts w:ascii="Arial" w:hAnsi="Arial" w:cs="Arial"/>
          <w:sz w:val="24"/>
          <w:szCs w:val="24"/>
        </w:rPr>
        <w:t>initially</w:t>
      </w:r>
      <w:r w:rsidR="3CDFC0FD" w:rsidRPr="00D75223">
        <w:rPr>
          <w:rFonts w:ascii="Arial" w:hAnsi="Arial" w:cs="Arial"/>
          <w:sz w:val="24"/>
          <w:szCs w:val="24"/>
        </w:rPr>
        <w:t xml:space="preserve"> over the phone with the responsible person. This </w:t>
      </w:r>
      <w:r w:rsidR="44216005" w:rsidRPr="00D75223">
        <w:rPr>
          <w:rFonts w:ascii="Arial" w:hAnsi="Arial" w:cs="Arial"/>
          <w:sz w:val="24"/>
          <w:szCs w:val="24"/>
        </w:rPr>
        <w:t>reduces</w:t>
      </w:r>
      <w:r w:rsidR="3CDFC0FD" w:rsidRPr="00D75223">
        <w:rPr>
          <w:rFonts w:ascii="Arial" w:hAnsi="Arial" w:cs="Arial"/>
          <w:sz w:val="24"/>
          <w:szCs w:val="24"/>
        </w:rPr>
        <w:t xml:space="preserve"> time lost from travelling</w:t>
      </w:r>
      <w:r w:rsidR="0660DA45" w:rsidRPr="00D75223">
        <w:rPr>
          <w:rFonts w:ascii="Arial" w:hAnsi="Arial" w:cs="Arial"/>
          <w:sz w:val="24"/>
          <w:szCs w:val="24"/>
        </w:rPr>
        <w:t xml:space="preserve"> and the subsequent cost of fuel and benefits to the environment.</w:t>
      </w:r>
      <w:r w:rsidR="00F94F76">
        <w:rPr>
          <w:rFonts w:ascii="Arial" w:hAnsi="Arial" w:cs="Arial"/>
          <w:sz w:val="24"/>
          <w:szCs w:val="24"/>
        </w:rPr>
        <w:t xml:space="preserve"> </w:t>
      </w:r>
      <w:r w:rsidR="3C3BBE9D" w:rsidRPr="00D75223">
        <w:rPr>
          <w:rFonts w:ascii="Arial" w:hAnsi="Arial" w:cs="Arial"/>
          <w:sz w:val="24"/>
          <w:szCs w:val="24"/>
        </w:rPr>
        <w:t xml:space="preserve">The calculator uses the current PORIS </w:t>
      </w:r>
      <w:r w:rsidR="00E86F95" w:rsidRPr="00D75223">
        <w:rPr>
          <w:rFonts w:ascii="Arial" w:hAnsi="Arial" w:cs="Arial"/>
          <w:sz w:val="24"/>
          <w:szCs w:val="24"/>
        </w:rPr>
        <w:t>methodology but</w:t>
      </w:r>
      <w:r w:rsidR="3C3BBE9D" w:rsidRPr="00D75223">
        <w:rPr>
          <w:rFonts w:ascii="Arial" w:hAnsi="Arial" w:cs="Arial"/>
          <w:sz w:val="24"/>
          <w:szCs w:val="24"/>
        </w:rPr>
        <w:t xml:space="preserve"> includes data from NFCC and our </w:t>
      </w:r>
      <w:r w:rsidR="00F94F76">
        <w:rPr>
          <w:rFonts w:ascii="Arial" w:hAnsi="Arial" w:cs="Arial"/>
          <w:sz w:val="24"/>
          <w:szCs w:val="24"/>
        </w:rPr>
        <w:t>r</w:t>
      </w:r>
      <w:r w:rsidR="3C3BBE9D" w:rsidRPr="00D75223">
        <w:rPr>
          <w:rFonts w:ascii="Arial" w:hAnsi="Arial" w:cs="Arial"/>
          <w:sz w:val="24"/>
          <w:szCs w:val="24"/>
        </w:rPr>
        <w:t xml:space="preserve">isk </w:t>
      </w:r>
      <w:r w:rsidR="00F94F76">
        <w:rPr>
          <w:rFonts w:ascii="Arial" w:hAnsi="Arial" w:cs="Arial"/>
          <w:sz w:val="24"/>
          <w:szCs w:val="24"/>
        </w:rPr>
        <w:t>b</w:t>
      </w:r>
      <w:r w:rsidR="3C3BBE9D" w:rsidRPr="00D75223">
        <w:rPr>
          <w:rFonts w:ascii="Arial" w:hAnsi="Arial" w:cs="Arial"/>
          <w:sz w:val="24"/>
          <w:szCs w:val="24"/>
        </w:rPr>
        <w:t xml:space="preserve">ased </w:t>
      </w:r>
      <w:r w:rsidR="00F94F76">
        <w:rPr>
          <w:rFonts w:ascii="Arial" w:hAnsi="Arial" w:cs="Arial"/>
          <w:sz w:val="24"/>
          <w:szCs w:val="24"/>
        </w:rPr>
        <w:t>i</w:t>
      </w:r>
      <w:r w:rsidR="3C3BBE9D" w:rsidRPr="00D75223">
        <w:rPr>
          <w:rFonts w:ascii="Arial" w:hAnsi="Arial" w:cs="Arial"/>
          <w:sz w:val="24"/>
          <w:szCs w:val="24"/>
        </w:rPr>
        <w:t xml:space="preserve">ntervention </w:t>
      </w:r>
      <w:r w:rsidR="00F94F76">
        <w:rPr>
          <w:rFonts w:ascii="Arial" w:hAnsi="Arial" w:cs="Arial"/>
          <w:sz w:val="24"/>
          <w:szCs w:val="24"/>
        </w:rPr>
        <w:t>p</w:t>
      </w:r>
      <w:r w:rsidR="3C3BBE9D" w:rsidRPr="00D75223">
        <w:rPr>
          <w:rFonts w:ascii="Arial" w:hAnsi="Arial" w:cs="Arial"/>
          <w:sz w:val="24"/>
          <w:szCs w:val="24"/>
        </w:rPr>
        <w:t>rogramme</w:t>
      </w:r>
      <w:r w:rsidR="7BF80E98" w:rsidRPr="00D75223">
        <w:rPr>
          <w:rFonts w:ascii="Arial" w:hAnsi="Arial" w:cs="Arial"/>
          <w:sz w:val="24"/>
          <w:szCs w:val="24"/>
        </w:rPr>
        <w:t xml:space="preserve"> to increase the accuracy of the score by </w:t>
      </w:r>
      <w:r w:rsidR="00E86F95" w:rsidRPr="00D75223">
        <w:rPr>
          <w:rFonts w:ascii="Arial" w:hAnsi="Arial" w:cs="Arial"/>
          <w:sz w:val="24"/>
          <w:szCs w:val="24"/>
        </w:rPr>
        <w:t>considering</w:t>
      </w:r>
      <w:r w:rsidR="7BF80E98" w:rsidRPr="00D75223">
        <w:rPr>
          <w:rFonts w:ascii="Arial" w:hAnsi="Arial" w:cs="Arial"/>
          <w:sz w:val="24"/>
          <w:szCs w:val="24"/>
        </w:rPr>
        <w:t xml:space="preserve"> other factors.</w:t>
      </w:r>
    </w:p>
    <w:p w14:paraId="7A61EA52" w14:textId="3677DDE4" w:rsidR="00997325" w:rsidRPr="00D75223" w:rsidRDefault="6E93B07F" w:rsidP="00845604">
      <w:pPr>
        <w:pStyle w:val="Heading2"/>
        <w:rPr>
          <w:rStyle w:val="normaltextrun"/>
          <w:rFonts w:eastAsiaTheme="minorEastAsia" w:cs="Arial"/>
          <w:b/>
          <w:sz w:val="24"/>
          <w:szCs w:val="24"/>
        </w:rPr>
      </w:pPr>
      <w:bookmarkStart w:id="32" w:name="_Toc196988035"/>
      <w:r w:rsidRPr="00D75223">
        <w:rPr>
          <w:rStyle w:val="normaltextrun"/>
          <w:rFonts w:eastAsiaTheme="minorEastAsia" w:cs="Arial"/>
          <w:b/>
          <w:sz w:val="24"/>
          <w:szCs w:val="24"/>
        </w:rPr>
        <w:t>Resourcing</w:t>
      </w:r>
      <w:bookmarkEnd w:id="32"/>
    </w:p>
    <w:p w14:paraId="545B741F" w14:textId="731EAB62" w:rsidR="00023B92" w:rsidRPr="00D75223" w:rsidRDefault="00023B92" w:rsidP="004A4D56">
      <w:pPr>
        <w:rPr>
          <w:rFonts w:ascii="Arial" w:hAnsi="Arial" w:cs="Arial"/>
          <w:sz w:val="24"/>
          <w:szCs w:val="24"/>
          <w:highlight w:val="yellow"/>
        </w:rPr>
      </w:pPr>
      <w:r w:rsidRPr="00D75223">
        <w:rPr>
          <w:rFonts w:ascii="Arial" w:hAnsi="Arial" w:cs="Arial"/>
          <w:sz w:val="24"/>
          <w:szCs w:val="24"/>
        </w:rPr>
        <w:t>As detailed in our 202</w:t>
      </w:r>
      <w:r w:rsidR="0EB6B96F" w:rsidRPr="00D75223">
        <w:rPr>
          <w:rFonts w:ascii="Arial" w:hAnsi="Arial" w:cs="Arial"/>
          <w:sz w:val="24"/>
          <w:szCs w:val="24"/>
        </w:rPr>
        <w:t>4</w:t>
      </w:r>
      <w:r w:rsidRPr="00D75223">
        <w:rPr>
          <w:rFonts w:ascii="Arial" w:hAnsi="Arial" w:cs="Arial"/>
          <w:sz w:val="24"/>
          <w:szCs w:val="24"/>
        </w:rPr>
        <w:t>/2</w:t>
      </w:r>
      <w:r w:rsidR="6E11BF08" w:rsidRPr="00D75223">
        <w:rPr>
          <w:rFonts w:ascii="Arial" w:hAnsi="Arial" w:cs="Arial"/>
          <w:sz w:val="24"/>
          <w:szCs w:val="24"/>
        </w:rPr>
        <w:t>5</w:t>
      </w:r>
      <w:r w:rsidRPr="00D75223">
        <w:rPr>
          <w:rFonts w:ascii="Arial" w:hAnsi="Arial" w:cs="Arial"/>
          <w:sz w:val="24"/>
          <w:szCs w:val="24"/>
        </w:rPr>
        <w:t xml:space="preserve"> </w:t>
      </w:r>
      <w:r w:rsidR="00F94F76">
        <w:rPr>
          <w:rFonts w:ascii="Arial" w:hAnsi="Arial" w:cs="Arial"/>
          <w:sz w:val="24"/>
          <w:szCs w:val="24"/>
        </w:rPr>
        <w:t>p</w:t>
      </w:r>
      <w:r w:rsidRPr="00D75223">
        <w:rPr>
          <w:rFonts w:ascii="Arial" w:hAnsi="Arial" w:cs="Arial"/>
          <w:sz w:val="24"/>
          <w:szCs w:val="24"/>
        </w:rPr>
        <w:t xml:space="preserve">lan, </w:t>
      </w:r>
      <w:r w:rsidR="79097716" w:rsidRPr="00D75223">
        <w:rPr>
          <w:rFonts w:ascii="Arial" w:hAnsi="Arial" w:cs="Arial"/>
          <w:sz w:val="24"/>
          <w:szCs w:val="24"/>
        </w:rPr>
        <w:t>our</w:t>
      </w:r>
      <w:r w:rsidRPr="00D75223">
        <w:rPr>
          <w:rFonts w:ascii="Arial" w:hAnsi="Arial" w:cs="Arial"/>
          <w:sz w:val="24"/>
          <w:szCs w:val="24"/>
        </w:rPr>
        <w:t xml:space="preserve"> productivity improvements were largely framed around the volumes of </w:t>
      </w:r>
      <w:r w:rsidR="00F94F76">
        <w:rPr>
          <w:rFonts w:ascii="Arial" w:hAnsi="Arial" w:cs="Arial"/>
          <w:sz w:val="24"/>
          <w:szCs w:val="24"/>
        </w:rPr>
        <w:t>h</w:t>
      </w:r>
      <w:r w:rsidRPr="00D75223">
        <w:rPr>
          <w:rFonts w:ascii="Arial" w:hAnsi="Arial" w:cs="Arial"/>
          <w:sz w:val="24"/>
          <w:szCs w:val="24"/>
        </w:rPr>
        <w:t xml:space="preserve">ome </w:t>
      </w:r>
      <w:r w:rsidR="00F94F76">
        <w:rPr>
          <w:rFonts w:ascii="Arial" w:hAnsi="Arial" w:cs="Arial"/>
          <w:sz w:val="24"/>
          <w:szCs w:val="24"/>
        </w:rPr>
        <w:t>f</w:t>
      </w:r>
      <w:r w:rsidRPr="00D75223">
        <w:rPr>
          <w:rFonts w:ascii="Arial" w:hAnsi="Arial" w:cs="Arial"/>
          <w:sz w:val="24"/>
          <w:szCs w:val="24"/>
        </w:rPr>
        <w:t xml:space="preserve">ire </w:t>
      </w:r>
      <w:r w:rsidR="00F94F76">
        <w:rPr>
          <w:rFonts w:ascii="Arial" w:hAnsi="Arial" w:cs="Arial"/>
          <w:sz w:val="24"/>
          <w:szCs w:val="24"/>
        </w:rPr>
        <w:t>s</w:t>
      </w:r>
      <w:r w:rsidRPr="00D75223">
        <w:rPr>
          <w:rFonts w:ascii="Arial" w:hAnsi="Arial" w:cs="Arial"/>
          <w:sz w:val="24"/>
          <w:szCs w:val="24"/>
        </w:rPr>
        <w:t xml:space="preserve">afety </w:t>
      </w:r>
      <w:r w:rsidR="00F94F76">
        <w:rPr>
          <w:rFonts w:ascii="Arial" w:hAnsi="Arial" w:cs="Arial"/>
          <w:sz w:val="24"/>
          <w:szCs w:val="24"/>
        </w:rPr>
        <w:t>c</w:t>
      </w:r>
      <w:r w:rsidRPr="00D75223">
        <w:rPr>
          <w:rFonts w:ascii="Arial" w:hAnsi="Arial" w:cs="Arial"/>
          <w:sz w:val="24"/>
          <w:szCs w:val="24"/>
        </w:rPr>
        <w:t xml:space="preserve">hecks (HFSC) and </w:t>
      </w:r>
      <w:r w:rsidR="00F94F76">
        <w:rPr>
          <w:rFonts w:ascii="Arial" w:hAnsi="Arial" w:cs="Arial"/>
          <w:sz w:val="24"/>
          <w:szCs w:val="24"/>
        </w:rPr>
        <w:t>b</w:t>
      </w:r>
      <w:r w:rsidRPr="00D75223">
        <w:rPr>
          <w:rFonts w:ascii="Arial" w:hAnsi="Arial" w:cs="Arial"/>
          <w:sz w:val="24"/>
          <w:szCs w:val="24"/>
        </w:rPr>
        <w:t xml:space="preserve">usiness </w:t>
      </w:r>
      <w:r w:rsidR="00F94F76">
        <w:rPr>
          <w:rFonts w:ascii="Arial" w:hAnsi="Arial" w:cs="Arial"/>
          <w:sz w:val="24"/>
          <w:szCs w:val="24"/>
        </w:rPr>
        <w:t>f</w:t>
      </w:r>
      <w:r w:rsidRPr="00D75223">
        <w:rPr>
          <w:rFonts w:ascii="Arial" w:hAnsi="Arial" w:cs="Arial"/>
          <w:sz w:val="24"/>
          <w:szCs w:val="24"/>
        </w:rPr>
        <w:t xml:space="preserve">ire </w:t>
      </w:r>
      <w:r w:rsidR="00F94F76">
        <w:rPr>
          <w:rFonts w:ascii="Arial" w:hAnsi="Arial" w:cs="Arial"/>
          <w:sz w:val="24"/>
          <w:szCs w:val="24"/>
        </w:rPr>
        <w:t>s</w:t>
      </w:r>
      <w:r w:rsidRPr="00D75223">
        <w:rPr>
          <w:rFonts w:ascii="Arial" w:hAnsi="Arial" w:cs="Arial"/>
          <w:sz w:val="24"/>
          <w:szCs w:val="24"/>
        </w:rPr>
        <w:t xml:space="preserve">afety </w:t>
      </w:r>
      <w:r w:rsidR="00F94F76">
        <w:rPr>
          <w:rFonts w:ascii="Arial" w:hAnsi="Arial" w:cs="Arial"/>
          <w:sz w:val="24"/>
          <w:szCs w:val="24"/>
        </w:rPr>
        <w:t>c</w:t>
      </w:r>
      <w:r w:rsidRPr="00D75223">
        <w:rPr>
          <w:rFonts w:ascii="Arial" w:hAnsi="Arial" w:cs="Arial"/>
          <w:sz w:val="24"/>
          <w:szCs w:val="24"/>
        </w:rPr>
        <w:t>hecks (BFSC) delivered, alongside completion of training and increases in operational activity linked to new work areas in support of other agencies. It is anticipated that such productivity increases will lead to safer communities and improved business safety across the county.</w:t>
      </w:r>
    </w:p>
    <w:p w14:paraId="7F25C70A" w14:textId="64EBC79F" w:rsidR="002672C5" w:rsidRPr="00D75223" w:rsidRDefault="25CA4626" w:rsidP="004A4D56">
      <w:pPr>
        <w:rPr>
          <w:rFonts w:ascii="Arial" w:hAnsi="Arial" w:cs="Arial"/>
          <w:sz w:val="24"/>
          <w:szCs w:val="24"/>
        </w:rPr>
      </w:pPr>
      <w:r w:rsidRPr="00D75223">
        <w:rPr>
          <w:rFonts w:ascii="Arial" w:hAnsi="Arial" w:cs="Arial"/>
          <w:sz w:val="24"/>
          <w:szCs w:val="24"/>
        </w:rPr>
        <w:lastRenderedPageBreak/>
        <w:t xml:space="preserve">Through the development of bespoke mobile </w:t>
      </w:r>
      <w:r w:rsidR="00F94F76">
        <w:rPr>
          <w:rFonts w:ascii="Arial" w:hAnsi="Arial" w:cs="Arial"/>
          <w:sz w:val="24"/>
          <w:szCs w:val="24"/>
        </w:rPr>
        <w:t>ap</w:t>
      </w:r>
      <w:r w:rsidRPr="00D75223">
        <w:rPr>
          <w:rFonts w:ascii="Arial" w:hAnsi="Arial" w:cs="Arial"/>
          <w:sz w:val="24"/>
          <w:szCs w:val="24"/>
        </w:rPr>
        <w:t xml:space="preserve">ps (debrief </w:t>
      </w:r>
      <w:r w:rsidR="00F94F76">
        <w:rPr>
          <w:rFonts w:ascii="Arial" w:hAnsi="Arial" w:cs="Arial"/>
          <w:sz w:val="24"/>
          <w:szCs w:val="24"/>
        </w:rPr>
        <w:t>a</w:t>
      </w:r>
      <w:r w:rsidRPr="00D75223">
        <w:rPr>
          <w:rFonts w:ascii="Arial" w:hAnsi="Arial" w:cs="Arial"/>
          <w:sz w:val="24"/>
          <w:szCs w:val="24"/>
        </w:rPr>
        <w:t>pp</w:t>
      </w:r>
      <w:r w:rsidR="33302B80" w:rsidRPr="00D75223">
        <w:rPr>
          <w:rFonts w:ascii="Arial" w:hAnsi="Arial" w:cs="Arial"/>
          <w:sz w:val="24"/>
          <w:szCs w:val="24"/>
        </w:rPr>
        <w:t xml:space="preserve">, HFSC </w:t>
      </w:r>
      <w:r w:rsidR="00F94F76">
        <w:rPr>
          <w:rFonts w:ascii="Arial" w:hAnsi="Arial" w:cs="Arial"/>
          <w:sz w:val="24"/>
          <w:szCs w:val="24"/>
        </w:rPr>
        <w:t>a</w:t>
      </w:r>
      <w:r w:rsidR="33302B80" w:rsidRPr="00D75223">
        <w:rPr>
          <w:rFonts w:ascii="Arial" w:hAnsi="Arial" w:cs="Arial"/>
          <w:sz w:val="24"/>
          <w:szCs w:val="24"/>
        </w:rPr>
        <w:t xml:space="preserve">pp, BFSC </w:t>
      </w:r>
      <w:r w:rsidR="00F94F76">
        <w:rPr>
          <w:rFonts w:ascii="Arial" w:hAnsi="Arial" w:cs="Arial"/>
          <w:sz w:val="24"/>
          <w:szCs w:val="24"/>
        </w:rPr>
        <w:t>a</w:t>
      </w:r>
      <w:r w:rsidR="33302B80" w:rsidRPr="00D75223">
        <w:rPr>
          <w:rFonts w:ascii="Arial" w:hAnsi="Arial" w:cs="Arial"/>
          <w:sz w:val="24"/>
          <w:szCs w:val="24"/>
        </w:rPr>
        <w:t xml:space="preserve">pp) and the </w:t>
      </w:r>
      <w:r w:rsidR="1F120A39" w:rsidRPr="00D75223">
        <w:rPr>
          <w:rFonts w:ascii="Arial" w:hAnsi="Arial" w:cs="Arial"/>
          <w:sz w:val="24"/>
          <w:szCs w:val="24"/>
        </w:rPr>
        <w:t>digitalisation</w:t>
      </w:r>
      <w:r w:rsidR="33302B80" w:rsidRPr="00D75223">
        <w:rPr>
          <w:rFonts w:ascii="Arial" w:hAnsi="Arial" w:cs="Arial"/>
          <w:sz w:val="24"/>
          <w:szCs w:val="24"/>
        </w:rPr>
        <w:t xml:space="preserve"> of our </w:t>
      </w:r>
      <w:r w:rsidR="00F94F76">
        <w:rPr>
          <w:rFonts w:ascii="Arial" w:hAnsi="Arial" w:cs="Arial"/>
          <w:sz w:val="24"/>
          <w:szCs w:val="24"/>
        </w:rPr>
        <w:t>f</w:t>
      </w:r>
      <w:r w:rsidR="33302B80" w:rsidRPr="00D75223">
        <w:rPr>
          <w:rFonts w:ascii="Arial" w:hAnsi="Arial" w:cs="Arial"/>
          <w:sz w:val="24"/>
          <w:szCs w:val="24"/>
        </w:rPr>
        <w:t xml:space="preserve">ire </w:t>
      </w:r>
      <w:r w:rsidR="00F94F76">
        <w:rPr>
          <w:rFonts w:ascii="Arial" w:hAnsi="Arial" w:cs="Arial"/>
          <w:sz w:val="24"/>
          <w:szCs w:val="24"/>
        </w:rPr>
        <w:t>engines</w:t>
      </w:r>
      <w:r w:rsidR="33302B80" w:rsidRPr="00D75223">
        <w:rPr>
          <w:rFonts w:ascii="Arial" w:hAnsi="Arial" w:cs="Arial"/>
          <w:sz w:val="24"/>
          <w:szCs w:val="24"/>
        </w:rPr>
        <w:t xml:space="preserve">, crews </w:t>
      </w:r>
      <w:r w:rsidR="4D727032" w:rsidRPr="00D75223">
        <w:rPr>
          <w:rFonts w:ascii="Arial" w:hAnsi="Arial" w:cs="Arial"/>
          <w:sz w:val="24"/>
          <w:szCs w:val="24"/>
        </w:rPr>
        <w:t>can</w:t>
      </w:r>
      <w:r w:rsidR="33302B80" w:rsidRPr="00D75223">
        <w:rPr>
          <w:rFonts w:ascii="Arial" w:hAnsi="Arial" w:cs="Arial"/>
          <w:sz w:val="24"/>
          <w:szCs w:val="24"/>
        </w:rPr>
        <w:t xml:space="preserve"> spend more productive time in communities. In</w:t>
      </w:r>
      <w:r w:rsidR="0DE90311" w:rsidRPr="00D75223">
        <w:rPr>
          <w:rFonts w:ascii="Arial" w:hAnsi="Arial" w:cs="Arial"/>
          <w:sz w:val="24"/>
          <w:szCs w:val="24"/>
        </w:rPr>
        <w:t xml:space="preserve"> the last 12 months</w:t>
      </w:r>
      <w:r w:rsidR="00F94F76">
        <w:rPr>
          <w:rFonts w:ascii="Arial" w:hAnsi="Arial" w:cs="Arial"/>
          <w:sz w:val="24"/>
          <w:szCs w:val="24"/>
        </w:rPr>
        <w:t>, we have</w:t>
      </w:r>
      <w:r w:rsidR="0DE90311" w:rsidRPr="00D75223">
        <w:rPr>
          <w:rFonts w:ascii="Arial" w:hAnsi="Arial" w:cs="Arial"/>
          <w:sz w:val="24"/>
          <w:szCs w:val="24"/>
        </w:rPr>
        <w:t xml:space="preserve"> seen output gains in aspects of </w:t>
      </w:r>
      <w:r w:rsidR="00F94F76">
        <w:rPr>
          <w:rFonts w:ascii="Arial" w:hAnsi="Arial" w:cs="Arial"/>
          <w:sz w:val="24"/>
          <w:szCs w:val="24"/>
        </w:rPr>
        <w:t>p</w:t>
      </w:r>
      <w:r w:rsidR="0DE90311" w:rsidRPr="00D75223">
        <w:rPr>
          <w:rFonts w:ascii="Arial" w:hAnsi="Arial" w:cs="Arial"/>
          <w:sz w:val="24"/>
          <w:szCs w:val="24"/>
        </w:rPr>
        <w:t xml:space="preserve">revention and </w:t>
      </w:r>
      <w:r w:rsidR="00F94F76">
        <w:rPr>
          <w:rFonts w:ascii="Arial" w:hAnsi="Arial" w:cs="Arial"/>
          <w:sz w:val="24"/>
          <w:szCs w:val="24"/>
        </w:rPr>
        <w:t>p</w:t>
      </w:r>
      <w:r w:rsidR="0DE90311" w:rsidRPr="00D75223">
        <w:rPr>
          <w:rFonts w:ascii="Arial" w:hAnsi="Arial" w:cs="Arial"/>
          <w:sz w:val="24"/>
          <w:szCs w:val="24"/>
        </w:rPr>
        <w:t xml:space="preserve">rotection activity. Tangible outputs </w:t>
      </w:r>
      <w:r w:rsidR="0BC7D340" w:rsidRPr="00D75223">
        <w:rPr>
          <w:rFonts w:ascii="Arial" w:hAnsi="Arial" w:cs="Arial"/>
          <w:sz w:val="24"/>
          <w:szCs w:val="24"/>
        </w:rPr>
        <w:t xml:space="preserve">delivered in 2023/24 showed 21,040 </w:t>
      </w:r>
      <w:r w:rsidR="00F94F76">
        <w:rPr>
          <w:rFonts w:ascii="Arial" w:hAnsi="Arial" w:cs="Arial"/>
          <w:sz w:val="24"/>
          <w:szCs w:val="24"/>
        </w:rPr>
        <w:t>HFSCs</w:t>
      </w:r>
      <w:r w:rsidR="0BC7D340" w:rsidRPr="00D75223">
        <w:rPr>
          <w:rFonts w:ascii="Arial" w:hAnsi="Arial" w:cs="Arial"/>
          <w:sz w:val="24"/>
          <w:szCs w:val="24"/>
        </w:rPr>
        <w:t xml:space="preserve"> completed within the home and 3,348 </w:t>
      </w:r>
      <w:r w:rsidR="00F94F76">
        <w:rPr>
          <w:rFonts w:ascii="Arial" w:hAnsi="Arial" w:cs="Arial"/>
          <w:sz w:val="24"/>
          <w:szCs w:val="24"/>
        </w:rPr>
        <w:t>BFSCs</w:t>
      </w:r>
      <w:r w:rsidR="0BC7D340" w:rsidRPr="00D75223">
        <w:rPr>
          <w:rFonts w:ascii="Arial" w:hAnsi="Arial" w:cs="Arial"/>
          <w:sz w:val="24"/>
          <w:szCs w:val="24"/>
        </w:rPr>
        <w:t>. In 2024/25</w:t>
      </w:r>
      <w:r w:rsidR="573878AB" w:rsidRPr="00D75223">
        <w:rPr>
          <w:rFonts w:ascii="Arial" w:hAnsi="Arial" w:cs="Arial"/>
          <w:sz w:val="24"/>
          <w:szCs w:val="24"/>
        </w:rPr>
        <w:t xml:space="preserve"> this increased to 21,517 </w:t>
      </w:r>
      <w:r w:rsidR="00F94F76">
        <w:rPr>
          <w:rFonts w:ascii="Arial" w:hAnsi="Arial" w:cs="Arial"/>
          <w:sz w:val="24"/>
          <w:szCs w:val="24"/>
        </w:rPr>
        <w:t>HFSCs</w:t>
      </w:r>
      <w:r w:rsidR="573878AB" w:rsidRPr="00D75223">
        <w:rPr>
          <w:rFonts w:ascii="Arial" w:hAnsi="Arial" w:cs="Arial"/>
          <w:sz w:val="24"/>
          <w:szCs w:val="24"/>
        </w:rPr>
        <w:t xml:space="preserve"> and 3</w:t>
      </w:r>
      <w:r w:rsidR="00F94F76">
        <w:rPr>
          <w:rFonts w:ascii="Arial" w:hAnsi="Arial" w:cs="Arial"/>
          <w:sz w:val="24"/>
          <w:szCs w:val="24"/>
        </w:rPr>
        <w:t>,</w:t>
      </w:r>
      <w:r w:rsidR="573878AB" w:rsidRPr="00D75223">
        <w:rPr>
          <w:rFonts w:ascii="Arial" w:hAnsi="Arial" w:cs="Arial"/>
          <w:sz w:val="24"/>
          <w:szCs w:val="24"/>
        </w:rPr>
        <w:t xml:space="preserve">637 </w:t>
      </w:r>
      <w:r w:rsidR="00F94F76">
        <w:rPr>
          <w:rFonts w:ascii="Arial" w:hAnsi="Arial" w:cs="Arial"/>
          <w:sz w:val="24"/>
          <w:szCs w:val="24"/>
        </w:rPr>
        <w:t>BFSCs</w:t>
      </w:r>
      <w:r w:rsidR="0222765A" w:rsidRPr="00D75223">
        <w:rPr>
          <w:rFonts w:ascii="Arial" w:hAnsi="Arial" w:cs="Arial"/>
          <w:sz w:val="24"/>
          <w:szCs w:val="24"/>
        </w:rPr>
        <w:t>;</w:t>
      </w:r>
      <w:r w:rsidR="573878AB" w:rsidRPr="00D75223">
        <w:rPr>
          <w:rFonts w:ascii="Arial" w:hAnsi="Arial" w:cs="Arial"/>
          <w:sz w:val="24"/>
          <w:szCs w:val="24"/>
        </w:rPr>
        <w:t xml:space="preserve"> </w:t>
      </w:r>
      <w:r w:rsidR="0222765A" w:rsidRPr="00D75223">
        <w:rPr>
          <w:rFonts w:ascii="Arial" w:hAnsi="Arial" w:cs="Arial"/>
          <w:sz w:val="24"/>
          <w:szCs w:val="24"/>
        </w:rPr>
        <w:t xml:space="preserve">a 2.27% and 8.7% increase on 2023/24 respectively. </w:t>
      </w:r>
    </w:p>
    <w:p w14:paraId="13558EFE" w14:textId="411FF2DA" w:rsidR="00023B92" w:rsidRPr="00D75223" w:rsidRDefault="2BCCE45C" w:rsidP="004A4D56">
      <w:pPr>
        <w:rPr>
          <w:rFonts w:ascii="Arial" w:eastAsia="Calibri" w:hAnsi="Arial" w:cs="Arial"/>
          <w:color w:val="FF0000"/>
          <w:sz w:val="24"/>
          <w:szCs w:val="24"/>
        </w:rPr>
      </w:pPr>
      <w:r w:rsidRPr="00D75223">
        <w:rPr>
          <w:rFonts w:ascii="Arial" w:eastAsia="Calibri" w:hAnsi="Arial" w:cs="Arial"/>
          <w:sz w:val="24"/>
          <w:szCs w:val="24"/>
        </w:rPr>
        <w:t>Building on our business fire safety check service, b</w:t>
      </w:r>
      <w:r w:rsidR="2666123E" w:rsidRPr="00D75223">
        <w:rPr>
          <w:rFonts w:ascii="Arial" w:eastAsia="Calibri" w:hAnsi="Arial" w:cs="Arial"/>
          <w:sz w:val="24"/>
          <w:szCs w:val="24"/>
        </w:rPr>
        <w:t>uilt</w:t>
      </w:r>
      <w:r w:rsidR="0AF8CB3A" w:rsidRPr="00D75223">
        <w:rPr>
          <w:rFonts w:ascii="Arial" w:eastAsia="Calibri" w:hAnsi="Arial" w:cs="Arial"/>
          <w:sz w:val="24"/>
          <w:szCs w:val="24"/>
        </w:rPr>
        <w:t xml:space="preserve"> environment training has been provided to all community safety advisors for them to identify areas of non-compliance with the fire safety order. This training provides community safety staff with the knowledge to</w:t>
      </w:r>
      <w:r w:rsidR="6F091DBE" w:rsidRPr="00D75223">
        <w:rPr>
          <w:rFonts w:ascii="Arial" w:eastAsia="Calibri" w:hAnsi="Arial" w:cs="Arial"/>
          <w:sz w:val="24"/>
          <w:szCs w:val="24"/>
        </w:rPr>
        <w:t xml:space="preserve"> support residents living in multiple occupation homes along with </w:t>
      </w:r>
      <w:r w:rsidR="00F94F76">
        <w:rPr>
          <w:rFonts w:ascii="Arial" w:eastAsia="Calibri" w:hAnsi="Arial" w:cs="Arial"/>
          <w:sz w:val="24"/>
          <w:szCs w:val="24"/>
        </w:rPr>
        <w:t xml:space="preserve">occasions </w:t>
      </w:r>
      <w:r w:rsidR="6F091DBE" w:rsidRPr="00D75223">
        <w:rPr>
          <w:rFonts w:ascii="Arial" w:eastAsia="Calibri" w:hAnsi="Arial" w:cs="Arial"/>
          <w:sz w:val="24"/>
          <w:szCs w:val="24"/>
        </w:rPr>
        <w:t xml:space="preserve">when onward referral is appropriate to our </w:t>
      </w:r>
      <w:r w:rsidR="00F94F76">
        <w:rPr>
          <w:rFonts w:ascii="Arial" w:eastAsia="Calibri" w:hAnsi="Arial" w:cs="Arial"/>
          <w:sz w:val="24"/>
          <w:szCs w:val="24"/>
        </w:rPr>
        <w:t>p</w:t>
      </w:r>
      <w:r w:rsidR="6F091DBE" w:rsidRPr="00D75223">
        <w:rPr>
          <w:rFonts w:ascii="Arial" w:eastAsia="Calibri" w:hAnsi="Arial" w:cs="Arial"/>
          <w:sz w:val="24"/>
          <w:szCs w:val="24"/>
        </w:rPr>
        <w:t xml:space="preserve">rotection department. </w:t>
      </w:r>
      <w:r w:rsidR="52D81EB0" w:rsidRPr="00D75223">
        <w:rPr>
          <w:rFonts w:ascii="Arial" w:eastAsia="Calibri" w:hAnsi="Arial" w:cs="Arial"/>
          <w:sz w:val="24"/>
          <w:szCs w:val="24"/>
        </w:rPr>
        <w:t>Over the past 12 months, the Service has work</w:t>
      </w:r>
      <w:r w:rsidR="07BFF3BE" w:rsidRPr="00D75223">
        <w:rPr>
          <w:rFonts w:ascii="Arial" w:eastAsia="Calibri" w:hAnsi="Arial" w:cs="Arial"/>
          <w:sz w:val="24"/>
          <w:szCs w:val="24"/>
        </w:rPr>
        <w:t>ed</w:t>
      </w:r>
      <w:r w:rsidR="52D81EB0" w:rsidRPr="00D75223">
        <w:rPr>
          <w:rFonts w:ascii="Arial" w:eastAsia="Calibri" w:hAnsi="Arial" w:cs="Arial"/>
          <w:sz w:val="24"/>
          <w:szCs w:val="24"/>
        </w:rPr>
        <w:t xml:space="preserve"> on several significant fire safety breach cases, helping to secure sentences amounting to </w:t>
      </w:r>
      <w:r w:rsidR="48388DFE" w:rsidRPr="00D75223">
        <w:rPr>
          <w:rFonts w:ascii="Arial" w:eastAsia="Calibri" w:hAnsi="Arial" w:cs="Arial"/>
          <w:sz w:val="24"/>
          <w:szCs w:val="24"/>
        </w:rPr>
        <w:t xml:space="preserve">14 months suspended sentences, 420 hours </w:t>
      </w:r>
      <w:r w:rsidR="769AF3E7" w:rsidRPr="00D75223">
        <w:rPr>
          <w:rFonts w:ascii="Arial" w:eastAsia="Calibri" w:hAnsi="Arial" w:cs="Arial"/>
          <w:sz w:val="24"/>
          <w:szCs w:val="24"/>
        </w:rPr>
        <w:t>community</w:t>
      </w:r>
      <w:r w:rsidR="48388DFE" w:rsidRPr="00D75223">
        <w:rPr>
          <w:rFonts w:ascii="Arial" w:eastAsia="Calibri" w:hAnsi="Arial" w:cs="Arial"/>
          <w:sz w:val="24"/>
          <w:szCs w:val="24"/>
        </w:rPr>
        <w:t xml:space="preserve"> service</w:t>
      </w:r>
      <w:r w:rsidR="00F94F76">
        <w:rPr>
          <w:rFonts w:ascii="Arial" w:eastAsia="Calibri" w:hAnsi="Arial" w:cs="Arial"/>
          <w:sz w:val="24"/>
          <w:szCs w:val="24"/>
        </w:rPr>
        <w:t>,</w:t>
      </w:r>
      <w:r w:rsidR="48388DFE" w:rsidRPr="00D75223">
        <w:rPr>
          <w:rFonts w:ascii="Arial" w:eastAsia="Calibri" w:hAnsi="Arial" w:cs="Arial"/>
          <w:sz w:val="24"/>
          <w:szCs w:val="24"/>
        </w:rPr>
        <w:t xml:space="preserve"> 20 days rehabilitation</w:t>
      </w:r>
      <w:r w:rsidR="00F94F76">
        <w:rPr>
          <w:rFonts w:ascii="Arial" w:eastAsia="Calibri" w:hAnsi="Arial" w:cs="Arial"/>
          <w:sz w:val="24"/>
          <w:szCs w:val="24"/>
        </w:rPr>
        <w:t xml:space="preserve">, </w:t>
      </w:r>
      <w:r w:rsidR="48388DFE" w:rsidRPr="00D75223">
        <w:rPr>
          <w:rFonts w:ascii="Arial" w:eastAsia="Calibri" w:hAnsi="Arial" w:cs="Arial"/>
          <w:sz w:val="24"/>
          <w:szCs w:val="24"/>
        </w:rPr>
        <w:t>£142,500</w:t>
      </w:r>
      <w:r w:rsidR="52D81EB0" w:rsidRPr="00D75223">
        <w:rPr>
          <w:rFonts w:ascii="Arial" w:eastAsia="Calibri" w:hAnsi="Arial" w:cs="Arial"/>
          <w:sz w:val="24"/>
          <w:szCs w:val="24"/>
        </w:rPr>
        <w:t xml:space="preserve"> fines a</w:t>
      </w:r>
      <w:r w:rsidR="12A33D13" w:rsidRPr="00D75223">
        <w:rPr>
          <w:rFonts w:ascii="Arial" w:eastAsia="Calibri" w:hAnsi="Arial" w:cs="Arial"/>
          <w:sz w:val="24"/>
          <w:szCs w:val="24"/>
        </w:rPr>
        <w:t xml:space="preserve">nd cost recovery amounting to </w:t>
      </w:r>
      <w:r w:rsidR="48388DFE" w:rsidRPr="00D75223">
        <w:rPr>
          <w:rFonts w:ascii="Arial" w:eastAsia="Calibri" w:hAnsi="Arial" w:cs="Arial"/>
          <w:sz w:val="24"/>
          <w:szCs w:val="24"/>
        </w:rPr>
        <w:t xml:space="preserve">£44,225. </w:t>
      </w:r>
    </w:p>
    <w:p w14:paraId="601CC2B6" w14:textId="6BAA4185" w:rsidR="248DB39D" w:rsidRPr="00D75223" w:rsidRDefault="3E9EA770" w:rsidP="004A4D56">
      <w:pPr>
        <w:rPr>
          <w:rFonts w:ascii="Arial" w:eastAsia="Calibri" w:hAnsi="Arial" w:cs="Arial"/>
          <w:b/>
          <w:bCs/>
          <w:color w:val="FF0000"/>
          <w:sz w:val="24"/>
          <w:szCs w:val="24"/>
          <w:highlight w:val="yellow"/>
        </w:rPr>
      </w:pPr>
      <w:r w:rsidRPr="00D75223">
        <w:rPr>
          <w:rFonts w:ascii="Arial" w:hAnsi="Arial" w:cs="Arial"/>
          <w:sz w:val="24"/>
          <w:szCs w:val="24"/>
        </w:rPr>
        <w:t xml:space="preserve">The Service has also achieved a reduction in </w:t>
      </w:r>
      <w:r w:rsidR="00F94F76">
        <w:rPr>
          <w:rFonts w:ascii="Arial" w:hAnsi="Arial" w:cs="Arial"/>
          <w:sz w:val="24"/>
          <w:szCs w:val="24"/>
        </w:rPr>
        <w:t>u</w:t>
      </w:r>
      <w:r w:rsidRPr="00D75223">
        <w:rPr>
          <w:rFonts w:ascii="Arial" w:hAnsi="Arial" w:cs="Arial"/>
          <w:sz w:val="24"/>
          <w:szCs w:val="24"/>
        </w:rPr>
        <w:t xml:space="preserve">nwanted </w:t>
      </w:r>
      <w:r w:rsidR="00F94F76">
        <w:rPr>
          <w:rFonts w:ascii="Arial" w:hAnsi="Arial" w:cs="Arial"/>
          <w:sz w:val="24"/>
          <w:szCs w:val="24"/>
        </w:rPr>
        <w:t>f</w:t>
      </w:r>
      <w:r w:rsidRPr="00D75223">
        <w:rPr>
          <w:rFonts w:ascii="Arial" w:hAnsi="Arial" w:cs="Arial"/>
          <w:sz w:val="24"/>
          <w:szCs w:val="24"/>
        </w:rPr>
        <w:t xml:space="preserve">ire </w:t>
      </w:r>
      <w:r w:rsidR="00F94F76">
        <w:rPr>
          <w:rFonts w:ascii="Arial" w:hAnsi="Arial" w:cs="Arial"/>
          <w:sz w:val="24"/>
          <w:szCs w:val="24"/>
        </w:rPr>
        <w:t>s</w:t>
      </w:r>
      <w:r w:rsidRPr="00D75223">
        <w:rPr>
          <w:rFonts w:ascii="Arial" w:hAnsi="Arial" w:cs="Arial"/>
          <w:sz w:val="24"/>
          <w:szCs w:val="24"/>
        </w:rPr>
        <w:t>ignal mobilisations (AFAs) with the move to 24-hour adoption of a policy change. Reducing unwanted and unnecessary mobilisations to premises types covered by the policy change and disruption to operational crews has been calculated as an efficiency saving in the region of</w:t>
      </w:r>
      <w:r w:rsidR="106EA173" w:rsidRPr="00D75223">
        <w:rPr>
          <w:rFonts w:ascii="Arial" w:hAnsi="Arial" w:cs="Arial"/>
          <w:sz w:val="24"/>
          <w:szCs w:val="24"/>
        </w:rPr>
        <w:t xml:space="preserve"> 1</w:t>
      </w:r>
      <w:r w:rsidR="00F94F76">
        <w:rPr>
          <w:rFonts w:ascii="Arial" w:hAnsi="Arial" w:cs="Arial"/>
          <w:sz w:val="24"/>
          <w:szCs w:val="24"/>
        </w:rPr>
        <w:t>,</w:t>
      </w:r>
      <w:r w:rsidR="106EA173" w:rsidRPr="00D75223">
        <w:rPr>
          <w:rFonts w:ascii="Arial" w:hAnsi="Arial" w:cs="Arial"/>
          <w:sz w:val="24"/>
          <w:szCs w:val="24"/>
        </w:rPr>
        <w:t>383</w:t>
      </w:r>
      <w:r w:rsidRPr="00D75223">
        <w:rPr>
          <w:rFonts w:ascii="Arial" w:hAnsi="Arial" w:cs="Arial"/>
          <w:color w:val="FF0000"/>
          <w:sz w:val="24"/>
          <w:szCs w:val="24"/>
        </w:rPr>
        <w:t xml:space="preserve"> </w:t>
      </w:r>
      <w:r w:rsidRPr="00D75223">
        <w:rPr>
          <w:rFonts w:ascii="Arial" w:hAnsi="Arial" w:cs="Arial"/>
          <w:sz w:val="24"/>
          <w:szCs w:val="24"/>
        </w:rPr>
        <w:t>hours over the last 12-month period which has undoubtedly supported the increase in prevention and protection delivery.</w:t>
      </w:r>
    </w:p>
    <w:p w14:paraId="3117A020" w14:textId="77777777" w:rsidR="007B3C2E" w:rsidRDefault="24E1BFF9" w:rsidP="005E4CAA">
      <w:pPr>
        <w:pStyle w:val="Heading3"/>
      </w:pPr>
      <w:bookmarkStart w:id="33" w:name="_Toc196988036"/>
      <w:r w:rsidRPr="00D75223">
        <w:t xml:space="preserve">Investment in </w:t>
      </w:r>
      <w:r w:rsidR="0F337183" w:rsidRPr="00D75223">
        <w:t xml:space="preserve">two </w:t>
      </w:r>
      <w:r w:rsidRPr="00D75223">
        <w:t xml:space="preserve">additional </w:t>
      </w:r>
      <w:r w:rsidR="00F94F76">
        <w:t>w</w:t>
      </w:r>
      <w:r w:rsidRPr="00D75223">
        <w:t xml:space="preserve">ater </w:t>
      </w:r>
      <w:r w:rsidR="00F94F76">
        <w:t>t</w:t>
      </w:r>
      <w:r w:rsidRPr="00D75223">
        <w:t xml:space="preserve">ower dual purpose </w:t>
      </w:r>
      <w:r w:rsidR="00F94F76">
        <w:t>f</w:t>
      </w:r>
      <w:r w:rsidRPr="00D75223">
        <w:t xml:space="preserve">ire </w:t>
      </w:r>
      <w:r w:rsidR="00F94F76">
        <w:t>a</w:t>
      </w:r>
      <w:r w:rsidRPr="00D75223">
        <w:t>ppliances</w:t>
      </w:r>
      <w:bookmarkEnd w:id="33"/>
      <w:r w:rsidRPr="00D75223">
        <w:t xml:space="preserve"> </w:t>
      </w:r>
    </w:p>
    <w:p w14:paraId="773AC907" w14:textId="1BD26ABB" w:rsidR="248DB39D" w:rsidRPr="00D75223" w:rsidRDefault="00EE3E43" w:rsidP="004A4D56">
      <w:pPr>
        <w:rPr>
          <w:rFonts w:ascii="Arial" w:eastAsia="Calibri" w:hAnsi="Arial" w:cs="Arial"/>
          <w:sz w:val="24"/>
          <w:szCs w:val="24"/>
        </w:rPr>
      </w:pPr>
      <w:r>
        <w:rPr>
          <w:rFonts w:ascii="Arial" w:eastAsia="Calibri" w:hAnsi="Arial" w:cs="Arial"/>
          <w:sz w:val="24"/>
          <w:szCs w:val="24"/>
        </w:rPr>
        <w:t>Investment t</w:t>
      </w:r>
      <w:r w:rsidR="24E1BFF9" w:rsidRPr="00D75223">
        <w:rPr>
          <w:rFonts w:ascii="Arial" w:eastAsia="Calibri" w:hAnsi="Arial" w:cs="Arial"/>
          <w:sz w:val="24"/>
          <w:szCs w:val="24"/>
        </w:rPr>
        <w:t xml:space="preserve">o ensure </w:t>
      </w:r>
      <w:r w:rsidR="69E943BD" w:rsidRPr="00D75223">
        <w:rPr>
          <w:rFonts w:ascii="Arial" w:eastAsia="Calibri" w:hAnsi="Arial" w:cs="Arial"/>
          <w:sz w:val="24"/>
          <w:szCs w:val="24"/>
        </w:rPr>
        <w:t>we</w:t>
      </w:r>
      <w:r w:rsidR="24E1BFF9" w:rsidRPr="00D75223">
        <w:rPr>
          <w:rFonts w:ascii="Arial" w:eastAsia="Calibri" w:hAnsi="Arial" w:cs="Arial"/>
          <w:sz w:val="24"/>
          <w:szCs w:val="24"/>
        </w:rPr>
        <w:t xml:space="preserve"> can deliver high volumes of water for firefighting and reduce the number of appliances required to safely deal with protracted commercial (and to a lesser degree domestic) fires. </w:t>
      </w:r>
      <w:r w:rsidR="1ACE1287" w:rsidRPr="00D75223">
        <w:rPr>
          <w:rFonts w:ascii="Arial" w:eastAsia="Calibri" w:hAnsi="Arial" w:cs="Arial"/>
          <w:sz w:val="24"/>
          <w:szCs w:val="24"/>
        </w:rPr>
        <w:t>Both new appliances also double up as frontline pumps and will be operational during 2025/6.</w:t>
      </w:r>
      <w:r w:rsidR="24E1BFF9" w:rsidRPr="00D75223">
        <w:rPr>
          <w:rFonts w:ascii="Arial" w:eastAsia="Calibri" w:hAnsi="Arial" w:cs="Arial"/>
          <w:sz w:val="24"/>
          <w:szCs w:val="24"/>
        </w:rPr>
        <w:t xml:space="preserve"> </w:t>
      </w:r>
    </w:p>
    <w:p w14:paraId="7C039986" w14:textId="49F7A6C6" w:rsidR="00997325" w:rsidRPr="00725AA3" w:rsidRDefault="6E93B07F" w:rsidP="00845604">
      <w:pPr>
        <w:pStyle w:val="Heading2"/>
        <w:rPr>
          <w:rStyle w:val="normaltextrun"/>
        </w:rPr>
      </w:pPr>
      <w:bookmarkStart w:id="34" w:name="_Toc196988037"/>
      <w:r w:rsidRPr="00725AA3">
        <w:rPr>
          <w:rStyle w:val="normaltextrun"/>
        </w:rPr>
        <w:t xml:space="preserve">Income </w:t>
      </w:r>
      <w:r w:rsidR="00EE3E43" w:rsidRPr="00725AA3">
        <w:rPr>
          <w:rStyle w:val="normaltextrun"/>
        </w:rPr>
        <w:t>g</w:t>
      </w:r>
      <w:r w:rsidRPr="00725AA3">
        <w:rPr>
          <w:rStyle w:val="normaltextrun"/>
        </w:rPr>
        <w:t>eneration</w:t>
      </w:r>
      <w:bookmarkEnd w:id="34"/>
    </w:p>
    <w:p w14:paraId="7AF1A0C2" w14:textId="4272B3D9" w:rsidR="00997325" w:rsidRPr="00D75223" w:rsidRDefault="475C51A9" w:rsidP="004A4D56">
      <w:pPr>
        <w:rPr>
          <w:rFonts w:ascii="Arial" w:hAnsi="Arial" w:cs="Arial"/>
          <w:sz w:val="24"/>
          <w:szCs w:val="24"/>
        </w:rPr>
      </w:pPr>
      <w:r w:rsidRPr="00D75223">
        <w:rPr>
          <w:rFonts w:ascii="Arial" w:hAnsi="Arial" w:cs="Arial"/>
          <w:sz w:val="24"/>
          <w:szCs w:val="24"/>
        </w:rPr>
        <w:t>Our focus in recent years has been to deliver collaborative projects with a priority of delivering the best community outcomes. We have an innovative approach to service delivery and are a trusted partner that can, and does, support regional and national partners during emergency incidents. We have arrangements in place across our neighbouring FRS</w:t>
      </w:r>
      <w:r w:rsidR="00EE3E43">
        <w:rPr>
          <w:rFonts w:ascii="Arial" w:hAnsi="Arial" w:cs="Arial"/>
          <w:sz w:val="24"/>
          <w:szCs w:val="24"/>
        </w:rPr>
        <w:t>s</w:t>
      </w:r>
      <w:r w:rsidRPr="00D75223">
        <w:rPr>
          <w:rFonts w:ascii="Arial" w:hAnsi="Arial" w:cs="Arial"/>
          <w:sz w:val="24"/>
          <w:szCs w:val="24"/>
        </w:rPr>
        <w:t xml:space="preserve"> to deliver the quickest and most suitable response, generally on a ‘knock for knock’ basis.</w:t>
      </w:r>
      <w:r w:rsidR="00EE3E43">
        <w:rPr>
          <w:rFonts w:ascii="Arial" w:hAnsi="Arial" w:cs="Arial"/>
          <w:sz w:val="24"/>
          <w:szCs w:val="24"/>
        </w:rPr>
        <w:t xml:space="preserve"> </w:t>
      </w:r>
      <w:r w:rsidRPr="00D75223">
        <w:rPr>
          <w:rFonts w:ascii="Arial" w:hAnsi="Arial" w:cs="Arial"/>
          <w:sz w:val="24"/>
          <w:szCs w:val="24"/>
        </w:rPr>
        <w:t>Over last 12 months we introduced:</w:t>
      </w:r>
    </w:p>
    <w:p w14:paraId="09EB6CB1" w14:textId="7CE990DC" w:rsidR="00997325" w:rsidRPr="00D75223" w:rsidRDefault="475C51A9" w:rsidP="004A4D56">
      <w:pPr>
        <w:pStyle w:val="ListParagraph"/>
        <w:numPr>
          <w:ilvl w:val="0"/>
          <w:numId w:val="31"/>
        </w:numPr>
        <w:rPr>
          <w:rFonts w:ascii="Arial" w:hAnsi="Arial" w:cs="Arial"/>
          <w:sz w:val="24"/>
          <w:szCs w:val="24"/>
        </w:rPr>
      </w:pPr>
      <w:r w:rsidRPr="00D75223">
        <w:rPr>
          <w:rFonts w:ascii="Arial" w:hAnsi="Arial" w:cs="Arial"/>
          <w:b/>
          <w:bCs/>
          <w:sz w:val="24"/>
          <w:szCs w:val="24"/>
        </w:rPr>
        <w:t>Charging for out of county asset deployment</w:t>
      </w:r>
      <w:r w:rsidRPr="00D75223">
        <w:rPr>
          <w:rFonts w:ascii="Arial" w:hAnsi="Arial" w:cs="Arial"/>
          <w:sz w:val="24"/>
          <w:szCs w:val="24"/>
        </w:rPr>
        <w:t xml:space="preserve"> in line with NFCC </w:t>
      </w:r>
      <w:r w:rsidR="00EE3E43">
        <w:rPr>
          <w:rFonts w:ascii="Arial" w:hAnsi="Arial" w:cs="Arial"/>
          <w:sz w:val="24"/>
          <w:szCs w:val="24"/>
        </w:rPr>
        <w:t>g</w:t>
      </w:r>
      <w:r w:rsidRPr="00D75223">
        <w:rPr>
          <w:rFonts w:ascii="Arial" w:hAnsi="Arial" w:cs="Arial"/>
          <w:sz w:val="24"/>
          <w:szCs w:val="24"/>
        </w:rPr>
        <w:t xml:space="preserve">uidelines on FRS </w:t>
      </w:r>
      <w:r w:rsidR="00EE3E43">
        <w:rPr>
          <w:rFonts w:ascii="Arial" w:hAnsi="Arial" w:cs="Arial"/>
          <w:sz w:val="24"/>
          <w:szCs w:val="24"/>
        </w:rPr>
        <w:t>c</w:t>
      </w:r>
      <w:r w:rsidRPr="00D75223">
        <w:rPr>
          <w:rFonts w:ascii="Arial" w:hAnsi="Arial" w:cs="Arial"/>
          <w:sz w:val="24"/>
          <w:szCs w:val="24"/>
        </w:rPr>
        <w:t xml:space="preserve">harging for </w:t>
      </w:r>
      <w:r w:rsidR="00EE3E43">
        <w:rPr>
          <w:rFonts w:ascii="Arial" w:hAnsi="Arial" w:cs="Arial"/>
          <w:sz w:val="24"/>
          <w:szCs w:val="24"/>
        </w:rPr>
        <w:t>m</w:t>
      </w:r>
      <w:r w:rsidRPr="00D75223">
        <w:rPr>
          <w:rFonts w:ascii="Arial" w:hAnsi="Arial" w:cs="Arial"/>
          <w:sz w:val="24"/>
          <w:szCs w:val="24"/>
        </w:rPr>
        <w:t xml:space="preserve">utual </w:t>
      </w:r>
      <w:r w:rsidR="00EE3E43">
        <w:rPr>
          <w:rFonts w:ascii="Arial" w:hAnsi="Arial" w:cs="Arial"/>
          <w:sz w:val="24"/>
          <w:szCs w:val="24"/>
        </w:rPr>
        <w:t>a</w:t>
      </w:r>
      <w:r w:rsidRPr="00D75223">
        <w:rPr>
          <w:rFonts w:ascii="Arial" w:hAnsi="Arial" w:cs="Arial"/>
          <w:sz w:val="24"/>
          <w:szCs w:val="24"/>
        </w:rPr>
        <w:t xml:space="preserve">ssistance. </w:t>
      </w:r>
    </w:p>
    <w:p w14:paraId="10DD563D" w14:textId="1D539142" w:rsidR="00997325" w:rsidRPr="00D75223" w:rsidRDefault="475C51A9" w:rsidP="004A4D56">
      <w:pPr>
        <w:pStyle w:val="ListParagraph"/>
        <w:numPr>
          <w:ilvl w:val="0"/>
          <w:numId w:val="31"/>
        </w:numPr>
        <w:rPr>
          <w:rFonts w:ascii="Arial" w:hAnsi="Arial" w:cs="Arial"/>
          <w:sz w:val="24"/>
          <w:szCs w:val="24"/>
        </w:rPr>
      </w:pPr>
      <w:r w:rsidRPr="00D75223">
        <w:rPr>
          <w:rFonts w:ascii="Arial" w:hAnsi="Arial" w:cs="Arial"/>
          <w:b/>
          <w:bCs/>
          <w:sz w:val="24"/>
          <w:szCs w:val="24"/>
        </w:rPr>
        <w:t>Charging model for other agencies</w:t>
      </w:r>
      <w:r w:rsidRPr="00D75223">
        <w:rPr>
          <w:rFonts w:ascii="Arial" w:hAnsi="Arial" w:cs="Arial"/>
          <w:sz w:val="24"/>
          <w:szCs w:val="24"/>
        </w:rPr>
        <w:t xml:space="preserve"> for application when FRS assets are used for non-statutory duties in support of other agencies, for example use of our </w:t>
      </w:r>
      <w:r w:rsidR="00EE3E43">
        <w:rPr>
          <w:rFonts w:ascii="Arial" w:hAnsi="Arial" w:cs="Arial"/>
          <w:sz w:val="24"/>
          <w:szCs w:val="24"/>
        </w:rPr>
        <w:t>d</w:t>
      </w:r>
      <w:r w:rsidRPr="00D75223">
        <w:rPr>
          <w:rFonts w:ascii="Arial" w:hAnsi="Arial" w:cs="Arial"/>
          <w:sz w:val="24"/>
          <w:szCs w:val="24"/>
        </w:rPr>
        <w:t xml:space="preserve">rones with Lancashire </w:t>
      </w:r>
      <w:r w:rsidR="00EE3E43">
        <w:rPr>
          <w:rFonts w:ascii="Arial" w:hAnsi="Arial" w:cs="Arial"/>
          <w:sz w:val="24"/>
          <w:szCs w:val="24"/>
        </w:rPr>
        <w:t>Police</w:t>
      </w:r>
      <w:r w:rsidRPr="00D75223">
        <w:rPr>
          <w:rFonts w:ascii="Arial" w:hAnsi="Arial" w:cs="Arial"/>
          <w:sz w:val="24"/>
          <w:szCs w:val="24"/>
        </w:rPr>
        <w:t>.</w:t>
      </w:r>
    </w:p>
    <w:p w14:paraId="692999D1" w14:textId="3660D10D" w:rsidR="00BD3177" w:rsidRPr="00D75223" w:rsidRDefault="00BD3177" w:rsidP="005E4CAA">
      <w:pPr>
        <w:pStyle w:val="Heading3"/>
        <w:rPr>
          <w:rStyle w:val="normaltextrun"/>
          <w:rFonts w:cs="Arial"/>
          <w:b/>
          <w:color w:val="auto"/>
          <w:sz w:val="24"/>
          <w:szCs w:val="24"/>
        </w:rPr>
      </w:pPr>
      <w:bookmarkStart w:id="35" w:name="_Toc196988038"/>
      <w:r w:rsidRPr="00D75223">
        <w:rPr>
          <w:rStyle w:val="normaltextrun"/>
          <w:rFonts w:cs="Arial"/>
          <w:b/>
          <w:color w:val="auto"/>
          <w:sz w:val="24"/>
          <w:szCs w:val="24"/>
        </w:rPr>
        <w:t xml:space="preserve">Transformation </w:t>
      </w:r>
      <w:r w:rsidR="00EE3E43">
        <w:rPr>
          <w:rStyle w:val="normaltextrun"/>
          <w:rFonts w:cs="Arial"/>
          <w:b/>
          <w:color w:val="auto"/>
          <w:sz w:val="24"/>
          <w:szCs w:val="24"/>
        </w:rPr>
        <w:t>p</w:t>
      </w:r>
      <w:r w:rsidRPr="00D75223">
        <w:rPr>
          <w:rStyle w:val="normaltextrun"/>
          <w:rFonts w:cs="Arial"/>
          <w:b/>
          <w:color w:val="auto"/>
          <w:sz w:val="24"/>
          <w:szCs w:val="24"/>
        </w:rPr>
        <w:t>lans</w:t>
      </w:r>
      <w:bookmarkEnd w:id="35"/>
    </w:p>
    <w:p w14:paraId="7BFEC675" w14:textId="3B40BCB6" w:rsidR="00BD3177" w:rsidRPr="00D75223" w:rsidRDefault="00BD3177" w:rsidP="004A4D56">
      <w:pPr>
        <w:rPr>
          <w:rFonts w:ascii="Arial" w:hAnsi="Arial" w:cs="Arial"/>
          <w:sz w:val="24"/>
          <w:szCs w:val="24"/>
        </w:rPr>
      </w:pPr>
      <w:r w:rsidRPr="00D75223">
        <w:rPr>
          <w:rFonts w:ascii="Arial" w:hAnsi="Arial" w:cs="Arial"/>
          <w:sz w:val="24"/>
          <w:szCs w:val="24"/>
        </w:rPr>
        <w:t>Our transformation high level planning is available across our Community Risk Management Plan (CRMP) and supporting core strategies. Some of our high-level plans include:</w:t>
      </w:r>
    </w:p>
    <w:p w14:paraId="7810670B" w14:textId="513A3921" w:rsidR="00BD3177" w:rsidRPr="00D75223" w:rsidRDefault="00BD3177" w:rsidP="00845604">
      <w:pPr>
        <w:pStyle w:val="Heading2"/>
        <w:rPr>
          <w:color w:val="FF0000"/>
        </w:rPr>
      </w:pPr>
      <w:bookmarkStart w:id="36" w:name="_Toc196988039"/>
      <w:r w:rsidRPr="00D75223">
        <w:lastRenderedPageBreak/>
        <w:t xml:space="preserve">Fire </w:t>
      </w:r>
      <w:r w:rsidR="00EE3E43">
        <w:t>p</w:t>
      </w:r>
      <w:r w:rsidRPr="00D75223">
        <w:t xml:space="preserve">rotection </w:t>
      </w:r>
      <w:r w:rsidR="00EE3E43">
        <w:t>t</w:t>
      </w:r>
      <w:r w:rsidRPr="00D75223">
        <w:t>ransformation programme</w:t>
      </w:r>
      <w:bookmarkEnd w:id="36"/>
      <w:r w:rsidR="000B63EE" w:rsidRPr="00D75223">
        <w:t xml:space="preserve"> </w:t>
      </w:r>
    </w:p>
    <w:p w14:paraId="284E0A9B" w14:textId="1C693178" w:rsidR="00BD3177" w:rsidRPr="00D75223" w:rsidRDefault="35205630" w:rsidP="004A4D56">
      <w:pPr>
        <w:pStyle w:val="ListParagraph"/>
        <w:numPr>
          <w:ilvl w:val="0"/>
          <w:numId w:val="31"/>
        </w:numPr>
        <w:rPr>
          <w:rFonts w:ascii="Arial" w:hAnsi="Arial" w:cs="Arial"/>
          <w:sz w:val="24"/>
          <w:szCs w:val="24"/>
        </w:rPr>
      </w:pPr>
      <w:r w:rsidRPr="00D75223">
        <w:rPr>
          <w:rFonts w:ascii="Arial" w:hAnsi="Arial" w:cs="Arial"/>
          <w:sz w:val="24"/>
          <w:szCs w:val="24"/>
        </w:rPr>
        <w:t>Following a restructure of</w:t>
      </w:r>
      <w:r w:rsidR="00BD3177" w:rsidRPr="00D75223">
        <w:rPr>
          <w:rFonts w:ascii="Arial" w:hAnsi="Arial" w:cs="Arial"/>
          <w:sz w:val="24"/>
          <w:szCs w:val="24"/>
        </w:rPr>
        <w:t xml:space="preserve"> our </w:t>
      </w:r>
      <w:r w:rsidR="00EE3E43" w:rsidRPr="00EE3E43">
        <w:rPr>
          <w:rFonts w:ascii="Arial" w:hAnsi="Arial" w:cs="Arial"/>
          <w:bCs/>
          <w:sz w:val="24"/>
          <w:szCs w:val="24"/>
        </w:rPr>
        <w:t>f</w:t>
      </w:r>
      <w:r w:rsidR="00BD3177" w:rsidRPr="00EE3E43">
        <w:rPr>
          <w:rFonts w:ascii="Arial" w:hAnsi="Arial" w:cs="Arial"/>
          <w:bCs/>
          <w:sz w:val="24"/>
          <w:szCs w:val="24"/>
        </w:rPr>
        <w:t xml:space="preserve">ire </w:t>
      </w:r>
      <w:r w:rsidR="00EE3E43" w:rsidRPr="00EE3E43">
        <w:rPr>
          <w:rFonts w:ascii="Arial" w:hAnsi="Arial" w:cs="Arial"/>
          <w:bCs/>
          <w:sz w:val="24"/>
          <w:szCs w:val="24"/>
        </w:rPr>
        <w:t>p</w:t>
      </w:r>
      <w:r w:rsidR="00BD3177" w:rsidRPr="00EE3E43">
        <w:rPr>
          <w:rFonts w:ascii="Arial" w:hAnsi="Arial" w:cs="Arial"/>
          <w:bCs/>
          <w:sz w:val="24"/>
          <w:szCs w:val="24"/>
        </w:rPr>
        <w:t xml:space="preserve">rotection </w:t>
      </w:r>
      <w:r w:rsidR="00BD3177" w:rsidRPr="00D75223">
        <w:rPr>
          <w:rFonts w:ascii="Arial" w:hAnsi="Arial" w:cs="Arial"/>
          <w:sz w:val="24"/>
          <w:szCs w:val="24"/>
        </w:rPr>
        <w:t>function to meet challenges posed by risks within the built environment and the introduction of the Building Safety Regulator</w:t>
      </w:r>
      <w:r w:rsidR="00EE3E43">
        <w:rPr>
          <w:rFonts w:ascii="Arial" w:hAnsi="Arial" w:cs="Arial"/>
          <w:sz w:val="24"/>
          <w:szCs w:val="24"/>
        </w:rPr>
        <w:t>,</w:t>
      </w:r>
      <w:r w:rsidR="1DE67EFF" w:rsidRPr="00D75223">
        <w:rPr>
          <w:rFonts w:ascii="Arial" w:hAnsi="Arial" w:cs="Arial"/>
          <w:sz w:val="24"/>
          <w:szCs w:val="24"/>
        </w:rPr>
        <w:t xml:space="preserve"> we continue to refine our risk-based approach to increase both the efficiency and effectiveness of resources deployed to undertake risk reduction activities.</w:t>
      </w:r>
      <w:r w:rsidR="2965A82B" w:rsidRPr="00D75223">
        <w:rPr>
          <w:rFonts w:ascii="Arial" w:hAnsi="Arial" w:cs="Arial"/>
          <w:sz w:val="24"/>
          <w:szCs w:val="24"/>
        </w:rPr>
        <w:t xml:space="preserve"> This has seen improvements in our datasets and digital solutions to enable inspecting officers to</w:t>
      </w:r>
      <w:r w:rsidR="00E86F95" w:rsidRPr="00D75223">
        <w:rPr>
          <w:rFonts w:ascii="Arial" w:hAnsi="Arial" w:cs="Arial"/>
          <w:sz w:val="24"/>
          <w:szCs w:val="24"/>
        </w:rPr>
        <w:t xml:space="preserve"> b</w:t>
      </w:r>
      <w:r w:rsidR="2965A82B" w:rsidRPr="00D75223">
        <w:rPr>
          <w:rFonts w:ascii="Arial" w:hAnsi="Arial" w:cs="Arial"/>
          <w:sz w:val="24"/>
          <w:szCs w:val="24"/>
        </w:rPr>
        <w:t xml:space="preserve">etter prioritise their inspections and remove paper-based systems. </w:t>
      </w:r>
    </w:p>
    <w:p w14:paraId="09AE2E6A" w14:textId="4A5E7359" w:rsidR="00BD3177" w:rsidRPr="00D75223" w:rsidRDefault="4B963BD5" w:rsidP="004A4D56">
      <w:pPr>
        <w:pStyle w:val="ListParagraph"/>
        <w:numPr>
          <w:ilvl w:val="0"/>
          <w:numId w:val="31"/>
        </w:numPr>
        <w:rPr>
          <w:rFonts w:ascii="Arial" w:hAnsi="Arial" w:cs="Arial"/>
          <w:sz w:val="24"/>
          <w:szCs w:val="24"/>
        </w:rPr>
      </w:pPr>
      <w:r w:rsidRPr="00D75223">
        <w:rPr>
          <w:rFonts w:ascii="Arial" w:hAnsi="Arial" w:cs="Arial"/>
          <w:sz w:val="24"/>
          <w:szCs w:val="24"/>
        </w:rPr>
        <w:t>Our digital investment has also</w:t>
      </w:r>
      <w:r w:rsidR="00BD3177" w:rsidRPr="00D75223">
        <w:rPr>
          <w:rFonts w:ascii="Arial" w:hAnsi="Arial" w:cs="Arial"/>
          <w:sz w:val="24"/>
          <w:szCs w:val="24"/>
        </w:rPr>
        <w:t xml:space="preserve"> increased productivity outputs in terms of timeliness of the handling of </w:t>
      </w:r>
      <w:r w:rsidR="00EE3E43">
        <w:rPr>
          <w:rFonts w:ascii="Arial" w:hAnsi="Arial" w:cs="Arial"/>
          <w:sz w:val="24"/>
          <w:szCs w:val="24"/>
        </w:rPr>
        <w:t>b</w:t>
      </w:r>
      <w:r w:rsidR="00BD3177" w:rsidRPr="00D75223">
        <w:rPr>
          <w:rFonts w:ascii="Arial" w:hAnsi="Arial" w:cs="Arial"/>
          <w:sz w:val="24"/>
          <w:szCs w:val="24"/>
        </w:rPr>
        <w:t xml:space="preserve">uilding </w:t>
      </w:r>
      <w:r w:rsidR="00EE3E43">
        <w:rPr>
          <w:rFonts w:ascii="Arial" w:hAnsi="Arial" w:cs="Arial"/>
          <w:sz w:val="24"/>
          <w:szCs w:val="24"/>
        </w:rPr>
        <w:t>r</w:t>
      </w:r>
      <w:r w:rsidR="00BD3177" w:rsidRPr="00D75223">
        <w:rPr>
          <w:rFonts w:ascii="Arial" w:hAnsi="Arial" w:cs="Arial"/>
          <w:sz w:val="24"/>
          <w:szCs w:val="24"/>
        </w:rPr>
        <w:t xml:space="preserve">egulation </w:t>
      </w:r>
      <w:r w:rsidR="00EE3E43">
        <w:rPr>
          <w:rFonts w:ascii="Arial" w:hAnsi="Arial" w:cs="Arial"/>
          <w:sz w:val="24"/>
          <w:szCs w:val="24"/>
        </w:rPr>
        <w:t>c</w:t>
      </w:r>
      <w:r w:rsidR="00BD3177" w:rsidRPr="00D75223">
        <w:rPr>
          <w:rFonts w:ascii="Arial" w:hAnsi="Arial" w:cs="Arial"/>
          <w:sz w:val="24"/>
          <w:szCs w:val="24"/>
        </w:rPr>
        <w:t>onsultations, from 76.3% in 2022/23, to 94.6% in the year to</w:t>
      </w:r>
      <w:r w:rsidR="00EE3E43">
        <w:rPr>
          <w:rFonts w:ascii="Arial" w:hAnsi="Arial" w:cs="Arial"/>
          <w:sz w:val="24"/>
          <w:szCs w:val="24"/>
        </w:rPr>
        <w:t>-</w:t>
      </w:r>
      <w:r w:rsidR="00BD3177" w:rsidRPr="00D75223">
        <w:rPr>
          <w:rFonts w:ascii="Arial" w:hAnsi="Arial" w:cs="Arial"/>
          <w:sz w:val="24"/>
          <w:szCs w:val="24"/>
        </w:rPr>
        <w:t>date.</w:t>
      </w:r>
    </w:p>
    <w:p w14:paraId="76F08220" w14:textId="020F2F17" w:rsidR="00BD3177" w:rsidRPr="00D75223" w:rsidRDefault="00BD3177" w:rsidP="004A4D56">
      <w:pPr>
        <w:pStyle w:val="ListParagraph"/>
        <w:numPr>
          <w:ilvl w:val="0"/>
          <w:numId w:val="31"/>
        </w:numPr>
        <w:rPr>
          <w:rFonts w:ascii="Arial" w:hAnsi="Arial" w:cs="Arial"/>
          <w:sz w:val="24"/>
          <w:szCs w:val="24"/>
        </w:rPr>
      </w:pPr>
      <w:r w:rsidRPr="00EE3E43">
        <w:rPr>
          <w:rFonts w:ascii="Arial" w:hAnsi="Arial" w:cs="Arial"/>
          <w:sz w:val="24"/>
          <w:szCs w:val="24"/>
        </w:rPr>
        <w:t>Our Climate Change Operational Response Plan 2022-27</w:t>
      </w:r>
      <w:r w:rsidRPr="00D75223">
        <w:rPr>
          <w:rFonts w:ascii="Arial" w:hAnsi="Arial" w:cs="Arial"/>
          <w:b/>
          <w:sz w:val="24"/>
          <w:szCs w:val="24"/>
        </w:rPr>
        <w:t xml:space="preserve"> </w:t>
      </w:r>
      <w:r w:rsidRPr="00D75223">
        <w:rPr>
          <w:rFonts w:ascii="Arial" w:hAnsi="Arial" w:cs="Arial"/>
          <w:sz w:val="24"/>
          <w:szCs w:val="24"/>
        </w:rPr>
        <w:t>was developed with investment into new capabilities. Evaluation of several key deliverables to</w:t>
      </w:r>
      <w:r w:rsidR="00EE3E43">
        <w:rPr>
          <w:rFonts w:ascii="Arial" w:hAnsi="Arial" w:cs="Arial"/>
          <w:sz w:val="24"/>
          <w:szCs w:val="24"/>
        </w:rPr>
        <w:t>-</w:t>
      </w:r>
      <w:r w:rsidRPr="00D75223">
        <w:rPr>
          <w:rFonts w:ascii="Arial" w:hAnsi="Arial" w:cs="Arial"/>
          <w:sz w:val="24"/>
          <w:szCs w:val="24"/>
        </w:rPr>
        <w:t>date has provided</w:t>
      </w:r>
      <w:r w:rsidR="00AF7FF4" w:rsidRPr="00D75223">
        <w:rPr>
          <w:rFonts w:ascii="Arial" w:hAnsi="Arial" w:cs="Arial"/>
          <w:sz w:val="24"/>
          <w:szCs w:val="24"/>
        </w:rPr>
        <w:t xml:space="preserve"> o</w:t>
      </w:r>
      <w:r w:rsidRPr="00D75223">
        <w:rPr>
          <w:rFonts w:ascii="Arial" w:hAnsi="Arial" w:cs="Arial"/>
          <w:sz w:val="24"/>
          <w:szCs w:val="24"/>
        </w:rPr>
        <w:t>perational efficiencies across:</w:t>
      </w:r>
    </w:p>
    <w:p w14:paraId="03BD0D66" w14:textId="77777777" w:rsidR="00BD3177" w:rsidRPr="00D75223" w:rsidRDefault="00BD3177" w:rsidP="004A4D56">
      <w:pPr>
        <w:pStyle w:val="ListParagraph"/>
        <w:numPr>
          <w:ilvl w:val="1"/>
          <w:numId w:val="31"/>
        </w:numPr>
        <w:rPr>
          <w:rFonts w:ascii="Arial" w:hAnsi="Arial" w:cs="Arial"/>
          <w:sz w:val="24"/>
          <w:szCs w:val="24"/>
        </w:rPr>
      </w:pPr>
      <w:r w:rsidRPr="00D75223">
        <w:rPr>
          <w:rFonts w:ascii="Arial" w:hAnsi="Arial" w:cs="Arial"/>
          <w:sz w:val="24"/>
          <w:szCs w:val="24"/>
        </w:rPr>
        <w:t xml:space="preserve">Fleet vehicles </w:t>
      </w:r>
    </w:p>
    <w:p w14:paraId="06B7BAA1" w14:textId="77777777" w:rsidR="00BD3177" w:rsidRPr="00D75223" w:rsidRDefault="00BD3177" w:rsidP="004A4D56">
      <w:pPr>
        <w:pStyle w:val="ListParagraph"/>
        <w:numPr>
          <w:ilvl w:val="1"/>
          <w:numId w:val="31"/>
        </w:numPr>
        <w:rPr>
          <w:rFonts w:ascii="Arial" w:hAnsi="Arial" w:cs="Arial"/>
          <w:sz w:val="24"/>
          <w:szCs w:val="24"/>
        </w:rPr>
      </w:pPr>
      <w:r w:rsidRPr="00D75223">
        <w:rPr>
          <w:rFonts w:ascii="Arial" w:hAnsi="Arial" w:cs="Arial"/>
          <w:sz w:val="24"/>
          <w:szCs w:val="24"/>
        </w:rPr>
        <w:t xml:space="preserve">Specialist training </w:t>
      </w:r>
    </w:p>
    <w:p w14:paraId="517F6B48" w14:textId="77777777" w:rsidR="00BD3177" w:rsidRPr="00D75223" w:rsidRDefault="00BD3177" w:rsidP="004A4D56">
      <w:pPr>
        <w:pStyle w:val="ListParagraph"/>
        <w:numPr>
          <w:ilvl w:val="1"/>
          <w:numId w:val="31"/>
        </w:numPr>
        <w:rPr>
          <w:rFonts w:ascii="Arial" w:hAnsi="Arial" w:cs="Arial"/>
          <w:sz w:val="24"/>
          <w:szCs w:val="24"/>
        </w:rPr>
      </w:pPr>
      <w:r w:rsidRPr="00D75223">
        <w:rPr>
          <w:rFonts w:ascii="Arial" w:hAnsi="Arial" w:cs="Arial"/>
          <w:sz w:val="24"/>
          <w:szCs w:val="24"/>
        </w:rPr>
        <w:t xml:space="preserve">PPE </w:t>
      </w:r>
    </w:p>
    <w:p w14:paraId="20439D39" w14:textId="1CB96E27" w:rsidR="00BD3177" w:rsidRPr="00D75223" w:rsidRDefault="00BD3177" w:rsidP="004A4D56">
      <w:pPr>
        <w:pStyle w:val="ListParagraph"/>
        <w:numPr>
          <w:ilvl w:val="1"/>
          <w:numId w:val="31"/>
        </w:numPr>
        <w:rPr>
          <w:rFonts w:ascii="Arial" w:hAnsi="Arial" w:cs="Arial"/>
          <w:sz w:val="24"/>
          <w:szCs w:val="24"/>
        </w:rPr>
      </w:pPr>
      <w:r w:rsidRPr="00D75223">
        <w:rPr>
          <w:rFonts w:ascii="Arial" w:hAnsi="Arial" w:cs="Arial"/>
          <w:sz w:val="24"/>
          <w:szCs w:val="24"/>
        </w:rPr>
        <w:t xml:space="preserve">Technology </w:t>
      </w:r>
      <w:r w:rsidR="00EE3E43">
        <w:rPr>
          <w:rFonts w:ascii="Arial" w:hAnsi="Arial" w:cs="Arial"/>
          <w:sz w:val="24"/>
          <w:szCs w:val="24"/>
        </w:rPr>
        <w:t>and e</w:t>
      </w:r>
      <w:r w:rsidRPr="00D75223">
        <w:rPr>
          <w:rFonts w:ascii="Arial" w:hAnsi="Arial" w:cs="Arial"/>
          <w:sz w:val="24"/>
          <w:szCs w:val="24"/>
        </w:rPr>
        <w:t xml:space="preserve">quipment </w:t>
      </w:r>
    </w:p>
    <w:p w14:paraId="5CF3550B" w14:textId="53CAB04A" w:rsidR="00BD3177" w:rsidRPr="00D75223" w:rsidRDefault="55399CA4" w:rsidP="004A4D56">
      <w:pPr>
        <w:pStyle w:val="ListParagraph"/>
        <w:numPr>
          <w:ilvl w:val="0"/>
          <w:numId w:val="31"/>
        </w:numPr>
        <w:rPr>
          <w:rFonts w:ascii="Arial" w:hAnsi="Arial" w:cs="Arial"/>
          <w:sz w:val="24"/>
          <w:szCs w:val="24"/>
        </w:rPr>
      </w:pPr>
      <w:r w:rsidRPr="00D75223">
        <w:rPr>
          <w:rFonts w:ascii="Arial" w:hAnsi="Arial" w:cs="Arial"/>
          <w:sz w:val="24"/>
          <w:szCs w:val="24"/>
        </w:rPr>
        <w:t xml:space="preserve">Increased partnership working via Lancashire Fire Operations Group (LFOG) has seen the launch of </w:t>
      </w:r>
      <w:r w:rsidR="00EE3E43">
        <w:rPr>
          <w:rFonts w:ascii="Arial" w:hAnsi="Arial" w:cs="Arial"/>
          <w:sz w:val="24"/>
          <w:szCs w:val="24"/>
        </w:rPr>
        <w:t>a p</w:t>
      </w:r>
      <w:r w:rsidRPr="00D75223">
        <w:rPr>
          <w:rFonts w:ascii="Arial" w:hAnsi="Arial" w:cs="Arial"/>
          <w:sz w:val="24"/>
          <w:szCs w:val="24"/>
        </w:rPr>
        <w:t xml:space="preserve">ublic </w:t>
      </w:r>
      <w:r w:rsidR="00EE3E43">
        <w:rPr>
          <w:rFonts w:ascii="Arial" w:hAnsi="Arial" w:cs="Arial"/>
          <w:sz w:val="24"/>
          <w:szCs w:val="24"/>
        </w:rPr>
        <w:t>s</w:t>
      </w:r>
      <w:r w:rsidRPr="00D75223">
        <w:rPr>
          <w:rFonts w:ascii="Arial" w:hAnsi="Arial" w:cs="Arial"/>
          <w:sz w:val="24"/>
          <w:szCs w:val="24"/>
        </w:rPr>
        <w:t xml:space="preserve">pace </w:t>
      </w:r>
      <w:r w:rsidR="00EE3E43">
        <w:rPr>
          <w:rFonts w:ascii="Arial" w:hAnsi="Arial" w:cs="Arial"/>
          <w:sz w:val="24"/>
          <w:szCs w:val="24"/>
        </w:rPr>
        <w:t>p</w:t>
      </w:r>
      <w:r w:rsidRPr="00D75223">
        <w:rPr>
          <w:rFonts w:ascii="Arial" w:hAnsi="Arial" w:cs="Arial"/>
          <w:sz w:val="24"/>
          <w:szCs w:val="24"/>
        </w:rPr>
        <w:t xml:space="preserve">rotection </w:t>
      </w:r>
      <w:r w:rsidR="00EE3E43">
        <w:rPr>
          <w:rFonts w:ascii="Arial" w:hAnsi="Arial" w:cs="Arial"/>
          <w:sz w:val="24"/>
          <w:szCs w:val="24"/>
        </w:rPr>
        <w:t>o</w:t>
      </w:r>
      <w:r w:rsidRPr="00D75223">
        <w:rPr>
          <w:rFonts w:ascii="Arial" w:hAnsi="Arial" w:cs="Arial"/>
          <w:sz w:val="24"/>
          <w:szCs w:val="24"/>
        </w:rPr>
        <w:t xml:space="preserve">rder </w:t>
      </w:r>
      <w:r w:rsidR="00EE3E43">
        <w:rPr>
          <w:rFonts w:ascii="Arial" w:hAnsi="Arial" w:cs="Arial"/>
          <w:sz w:val="24"/>
          <w:szCs w:val="24"/>
        </w:rPr>
        <w:t xml:space="preserve">(PSPO) </w:t>
      </w:r>
      <w:r w:rsidRPr="00D75223">
        <w:rPr>
          <w:rFonts w:ascii="Arial" w:hAnsi="Arial" w:cs="Arial"/>
          <w:sz w:val="24"/>
          <w:szCs w:val="24"/>
        </w:rPr>
        <w:t xml:space="preserve">over the last year, for sites deemed high risk for wildfire activity. The introduction of </w:t>
      </w:r>
      <w:r w:rsidR="00EE3E43">
        <w:rPr>
          <w:rFonts w:ascii="Arial" w:hAnsi="Arial" w:cs="Arial"/>
          <w:sz w:val="24"/>
          <w:szCs w:val="24"/>
        </w:rPr>
        <w:t xml:space="preserve">the </w:t>
      </w:r>
      <w:r w:rsidRPr="00D75223">
        <w:rPr>
          <w:rFonts w:ascii="Arial" w:hAnsi="Arial" w:cs="Arial"/>
          <w:sz w:val="24"/>
          <w:szCs w:val="24"/>
        </w:rPr>
        <w:t>PSPO should deter unwanted and unnecessary fire-setting in high-risk areas, reducing mobilisations and incidents. The</w:t>
      </w:r>
      <w:r w:rsidR="00AF7FF4" w:rsidRPr="00D75223">
        <w:rPr>
          <w:rFonts w:ascii="Arial" w:hAnsi="Arial" w:cs="Arial"/>
          <w:sz w:val="24"/>
          <w:szCs w:val="24"/>
        </w:rPr>
        <w:t xml:space="preserve"> </w:t>
      </w:r>
      <w:r w:rsidRPr="00D75223">
        <w:rPr>
          <w:rFonts w:ascii="Arial" w:hAnsi="Arial" w:cs="Arial"/>
          <w:sz w:val="24"/>
          <w:szCs w:val="24"/>
        </w:rPr>
        <w:t>success of the PSPO introduced will be measured after the 202</w:t>
      </w:r>
      <w:r w:rsidR="0010372D">
        <w:rPr>
          <w:rFonts w:ascii="Arial" w:hAnsi="Arial" w:cs="Arial"/>
          <w:sz w:val="24"/>
          <w:szCs w:val="24"/>
        </w:rPr>
        <w:t>5</w:t>
      </w:r>
      <w:r w:rsidRPr="00D75223">
        <w:rPr>
          <w:rFonts w:ascii="Arial" w:hAnsi="Arial" w:cs="Arial"/>
          <w:sz w:val="24"/>
          <w:szCs w:val="24"/>
        </w:rPr>
        <w:t>/2</w:t>
      </w:r>
      <w:r w:rsidR="0010372D">
        <w:rPr>
          <w:rFonts w:ascii="Arial" w:hAnsi="Arial" w:cs="Arial"/>
          <w:sz w:val="24"/>
          <w:szCs w:val="24"/>
        </w:rPr>
        <w:t>6</w:t>
      </w:r>
      <w:r w:rsidRPr="00D75223">
        <w:rPr>
          <w:rFonts w:ascii="Arial" w:hAnsi="Arial" w:cs="Arial"/>
          <w:sz w:val="24"/>
          <w:szCs w:val="24"/>
        </w:rPr>
        <w:t xml:space="preserve"> wildfire season.</w:t>
      </w:r>
    </w:p>
    <w:p w14:paraId="7E126FD1" w14:textId="7349111B" w:rsidR="00BD3177" w:rsidRPr="00D75223" w:rsidRDefault="55399CA4" w:rsidP="004A4D56">
      <w:pPr>
        <w:pStyle w:val="ListParagraph"/>
        <w:numPr>
          <w:ilvl w:val="0"/>
          <w:numId w:val="31"/>
        </w:numPr>
        <w:rPr>
          <w:rFonts w:ascii="Arial" w:hAnsi="Arial" w:cs="Arial"/>
          <w:sz w:val="24"/>
          <w:szCs w:val="24"/>
        </w:rPr>
      </w:pPr>
      <w:r w:rsidRPr="004B3E26">
        <w:rPr>
          <w:rFonts w:ascii="Arial" w:hAnsi="Arial" w:cs="Arial"/>
          <w:sz w:val="24"/>
          <w:szCs w:val="24"/>
        </w:rPr>
        <w:t xml:space="preserve">Our </w:t>
      </w:r>
      <w:r w:rsidR="004B3E26">
        <w:rPr>
          <w:rFonts w:ascii="Arial" w:hAnsi="Arial" w:cs="Arial"/>
          <w:sz w:val="24"/>
          <w:szCs w:val="24"/>
        </w:rPr>
        <w:t>on-c</w:t>
      </w:r>
      <w:r w:rsidRPr="004B3E26">
        <w:rPr>
          <w:rFonts w:ascii="Arial" w:hAnsi="Arial" w:cs="Arial"/>
          <w:sz w:val="24"/>
          <w:szCs w:val="24"/>
        </w:rPr>
        <w:t xml:space="preserve">all </w:t>
      </w:r>
      <w:r w:rsidR="004B3E26">
        <w:rPr>
          <w:rFonts w:ascii="Arial" w:hAnsi="Arial" w:cs="Arial"/>
          <w:sz w:val="24"/>
          <w:szCs w:val="24"/>
        </w:rPr>
        <w:t>i</w:t>
      </w:r>
      <w:r w:rsidRPr="004B3E26">
        <w:rPr>
          <w:rFonts w:ascii="Arial" w:hAnsi="Arial" w:cs="Arial"/>
          <w:sz w:val="24"/>
          <w:szCs w:val="24"/>
        </w:rPr>
        <w:t xml:space="preserve">mprovement </w:t>
      </w:r>
      <w:r w:rsidR="004B3E26">
        <w:rPr>
          <w:rFonts w:ascii="Arial" w:hAnsi="Arial" w:cs="Arial"/>
          <w:sz w:val="24"/>
          <w:szCs w:val="24"/>
        </w:rPr>
        <w:t>p</w:t>
      </w:r>
      <w:r w:rsidRPr="004B3E26">
        <w:rPr>
          <w:rFonts w:ascii="Arial" w:hAnsi="Arial" w:cs="Arial"/>
          <w:sz w:val="24"/>
          <w:szCs w:val="24"/>
        </w:rPr>
        <w:t xml:space="preserve">rogramme </w:t>
      </w:r>
      <w:r w:rsidRPr="00D75223">
        <w:rPr>
          <w:rFonts w:ascii="Arial" w:hAnsi="Arial" w:cs="Arial"/>
          <w:sz w:val="24"/>
          <w:szCs w:val="24"/>
        </w:rPr>
        <w:t xml:space="preserve">provides a fundamental review of our </w:t>
      </w:r>
      <w:r w:rsidR="004B3E26">
        <w:rPr>
          <w:rFonts w:ascii="Arial" w:hAnsi="Arial" w:cs="Arial"/>
          <w:sz w:val="24"/>
          <w:szCs w:val="24"/>
        </w:rPr>
        <w:t>o</w:t>
      </w:r>
      <w:r w:rsidRPr="00D75223">
        <w:rPr>
          <w:rFonts w:ascii="Arial" w:hAnsi="Arial" w:cs="Arial"/>
          <w:sz w:val="24"/>
          <w:szCs w:val="24"/>
        </w:rPr>
        <w:t>n</w:t>
      </w:r>
      <w:r w:rsidR="004B3E26">
        <w:rPr>
          <w:rFonts w:ascii="Arial" w:hAnsi="Arial" w:cs="Arial"/>
          <w:sz w:val="24"/>
          <w:szCs w:val="24"/>
        </w:rPr>
        <w:t>-c</w:t>
      </w:r>
      <w:r w:rsidRPr="00D75223">
        <w:rPr>
          <w:rFonts w:ascii="Arial" w:hAnsi="Arial" w:cs="Arial"/>
          <w:sz w:val="24"/>
          <w:szCs w:val="24"/>
        </w:rPr>
        <w:t>all system to ensure that it remains a</w:t>
      </w:r>
      <w:r w:rsidR="004B3E26">
        <w:rPr>
          <w:rFonts w:ascii="Arial" w:hAnsi="Arial" w:cs="Arial"/>
          <w:sz w:val="24"/>
          <w:szCs w:val="24"/>
        </w:rPr>
        <w:t>n</w:t>
      </w:r>
      <w:r w:rsidRPr="00D75223">
        <w:rPr>
          <w:rFonts w:ascii="Arial" w:hAnsi="Arial" w:cs="Arial"/>
          <w:sz w:val="24"/>
          <w:szCs w:val="24"/>
        </w:rPr>
        <w:t xml:space="preserve"> efficient and effective use of resources.  The programme focuses upon recruitment, selection, development, and retention of </w:t>
      </w:r>
      <w:r w:rsidR="004B3E26">
        <w:rPr>
          <w:rFonts w:ascii="Arial" w:hAnsi="Arial" w:cs="Arial"/>
          <w:sz w:val="24"/>
          <w:szCs w:val="24"/>
        </w:rPr>
        <w:t>o</w:t>
      </w:r>
      <w:r w:rsidRPr="00D75223">
        <w:rPr>
          <w:rFonts w:ascii="Arial" w:hAnsi="Arial" w:cs="Arial"/>
          <w:sz w:val="24"/>
          <w:szCs w:val="24"/>
        </w:rPr>
        <w:t>n</w:t>
      </w:r>
      <w:r w:rsidR="004B3E26">
        <w:rPr>
          <w:rFonts w:ascii="Arial" w:hAnsi="Arial" w:cs="Arial"/>
          <w:sz w:val="24"/>
          <w:szCs w:val="24"/>
        </w:rPr>
        <w:t>-c</w:t>
      </w:r>
      <w:r w:rsidRPr="00D75223">
        <w:rPr>
          <w:rFonts w:ascii="Arial" w:hAnsi="Arial" w:cs="Arial"/>
          <w:sz w:val="24"/>
          <w:szCs w:val="24"/>
        </w:rPr>
        <w:t>all staff and takes in reviews of induction, initial training, role capabilities, remuneration, employment contracts, mobilising and resilience of special appliances. Several projects were delivered during 202</w:t>
      </w:r>
      <w:r w:rsidR="71E98CD1" w:rsidRPr="00D75223">
        <w:rPr>
          <w:rFonts w:ascii="Arial" w:hAnsi="Arial" w:cs="Arial"/>
          <w:sz w:val="24"/>
          <w:szCs w:val="24"/>
        </w:rPr>
        <w:t>4</w:t>
      </w:r>
      <w:r w:rsidRPr="00D75223">
        <w:rPr>
          <w:rFonts w:ascii="Arial" w:hAnsi="Arial" w:cs="Arial"/>
          <w:sz w:val="24"/>
          <w:szCs w:val="24"/>
        </w:rPr>
        <w:t>/2</w:t>
      </w:r>
      <w:r w:rsidR="47DEF527" w:rsidRPr="00D75223">
        <w:rPr>
          <w:rFonts w:ascii="Arial" w:hAnsi="Arial" w:cs="Arial"/>
          <w:sz w:val="24"/>
          <w:szCs w:val="24"/>
        </w:rPr>
        <w:t>5</w:t>
      </w:r>
      <w:r w:rsidRPr="00D75223">
        <w:rPr>
          <w:rFonts w:ascii="Arial" w:hAnsi="Arial" w:cs="Arial"/>
          <w:sz w:val="24"/>
          <w:szCs w:val="24"/>
        </w:rPr>
        <w:t xml:space="preserve">, which included </w:t>
      </w:r>
      <w:r w:rsidR="3B5F23AA" w:rsidRPr="00D75223">
        <w:rPr>
          <w:rFonts w:ascii="Arial" w:hAnsi="Arial" w:cs="Arial"/>
          <w:sz w:val="24"/>
          <w:szCs w:val="24"/>
        </w:rPr>
        <w:t xml:space="preserve">implementing a </w:t>
      </w:r>
      <w:r w:rsidR="004B3E26">
        <w:rPr>
          <w:rFonts w:ascii="Arial" w:hAnsi="Arial" w:cs="Arial"/>
          <w:sz w:val="24"/>
          <w:szCs w:val="24"/>
        </w:rPr>
        <w:t>h</w:t>
      </w:r>
      <w:r w:rsidRPr="00D75223">
        <w:rPr>
          <w:rFonts w:ascii="Arial" w:hAnsi="Arial" w:cs="Arial"/>
          <w:sz w:val="24"/>
          <w:szCs w:val="24"/>
        </w:rPr>
        <w:t xml:space="preserve">ybrid </w:t>
      </w:r>
      <w:r w:rsidR="004B3E26">
        <w:rPr>
          <w:rFonts w:ascii="Arial" w:hAnsi="Arial" w:cs="Arial"/>
          <w:sz w:val="24"/>
          <w:szCs w:val="24"/>
        </w:rPr>
        <w:t>w</w:t>
      </w:r>
      <w:r w:rsidRPr="00D75223">
        <w:rPr>
          <w:rFonts w:ascii="Arial" w:hAnsi="Arial" w:cs="Arial"/>
          <w:sz w:val="24"/>
          <w:szCs w:val="24"/>
        </w:rPr>
        <w:t xml:space="preserve">orking </w:t>
      </w:r>
      <w:r w:rsidR="363F375D" w:rsidRPr="00D75223">
        <w:rPr>
          <w:rFonts w:ascii="Arial" w:hAnsi="Arial" w:cs="Arial"/>
          <w:sz w:val="24"/>
          <w:szCs w:val="24"/>
        </w:rPr>
        <w:t>policy</w:t>
      </w:r>
      <w:r w:rsidR="004B3E26">
        <w:rPr>
          <w:rFonts w:ascii="Arial" w:hAnsi="Arial" w:cs="Arial"/>
          <w:sz w:val="24"/>
          <w:szCs w:val="24"/>
        </w:rPr>
        <w:t>,</w:t>
      </w:r>
      <w:r w:rsidR="363F375D" w:rsidRPr="00D75223">
        <w:rPr>
          <w:rFonts w:ascii="Arial" w:hAnsi="Arial" w:cs="Arial"/>
          <w:sz w:val="24"/>
          <w:szCs w:val="24"/>
        </w:rPr>
        <w:t xml:space="preserve"> </w:t>
      </w:r>
      <w:r w:rsidRPr="00D75223">
        <w:rPr>
          <w:rFonts w:ascii="Arial" w:hAnsi="Arial" w:cs="Arial"/>
          <w:sz w:val="24"/>
          <w:szCs w:val="24"/>
        </w:rPr>
        <w:t xml:space="preserve">which enables people to work from an </w:t>
      </w:r>
      <w:r w:rsidR="004B3E26">
        <w:rPr>
          <w:rFonts w:ascii="Arial" w:hAnsi="Arial" w:cs="Arial"/>
          <w:sz w:val="24"/>
          <w:szCs w:val="24"/>
        </w:rPr>
        <w:t>o</w:t>
      </w:r>
      <w:r w:rsidRPr="00D75223">
        <w:rPr>
          <w:rFonts w:ascii="Arial" w:hAnsi="Arial" w:cs="Arial"/>
          <w:sz w:val="24"/>
          <w:szCs w:val="24"/>
        </w:rPr>
        <w:t>n</w:t>
      </w:r>
      <w:r w:rsidR="004B3E26">
        <w:rPr>
          <w:rFonts w:ascii="Arial" w:hAnsi="Arial" w:cs="Arial"/>
          <w:sz w:val="24"/>
          <w:szCs w:val="24"/>
        </w:rPr>
        <w:t>-c</w:t>
      </w:r>
      <w:r w:rsidRPr="00D75223">
        <w:rPr>
          <w:rFonts w:ascii="Arial" w:hAnsi="Arial" w:cs="Arial"/>
          <w:sz w:val="24"/>
          <w:szCs w:val="24"/>
        </w:rPr>
        <w:t xml:space="preserve">all station during essential daytime hours and simultaneously provide availability for the </w:t>
      </w:r>
      <w:r w:rsidR="004B3E26">
        <w:rPr>
          <w:rFonts w:ascii="Arial" w:hAnsi="Arial" w:cs="Arial"/>
          <w:sz w:val="24"/>
          <w:szCs w:val="24"/>
        </w:rPr>
        <w:t>o</w:t>
      </w:r>
      <w:r w:rsidRPr="00D75223">
        <w:rPr>
          <w:rFonts w:ascii="Arial" w:hAnsi="Arial" w:cs="Arial"/>
          <w:sz w:val="24"/>
          <w:szCs w:val="24"/>
        </w:rPr>
        <w:t>n</w:t>
      </w:r>
      <w:r w:rsidR="004B3E26">
        <w:rPr>
          <w:rFonts w:ascii="Arial" w:hAnsi="Arial" w:cs="Arial"/>
          <w:sz w:val="24"/>
          <w:szCs w:val="24"/>
        </w:rPr>
        <w:t>-c</w:t>
      </w:r>
      <w:r w:rsidRPr="00D75223">
        <w:rPr>
          <w:rFonts w:ascii="Arial" w:hAnsi="Arial" w:cs="Arial"/>
          <w:sz w:val="24"/>
          <w:szCs w:val="24"/>
        </w:rPr>
        <w:t>all fire engine. This has resulted in more effective recruitment and improved availability of a fire engin</w:t>
      </w:r>
      <w:r w:rsidR="5D4DE998" w:rsidRPr="00D75223">
        <w:rPr>
          <w:rFonts w:ascii="Arial" w:hAnsi="Arial" w:cs="Arial"/>
          <w:sz w:val="24"/>
          <w:szCs w:val="24"/>
        </w:rPr>
        <w:t>e. T</w:t>
      </w:r>
      <w:r w:rsidRPr="00D75223">
        <w:rPr>
          <w:rFonts w:ascii="Arial" w:hAnsi="Arial" w:cs="Arial"/>
          <w:sz w:val="24"/>
          <w:szCs w:val="24"/>
        </w:rPr>
        <w:t>he learning from this project is being shared nationally as positive practice.</w:t>
      </w:r>
    </w:p>
    <w:p w14:paraId="3B24A6F1" w14:textId="1962C2E9" w:rsidR="00997325" w:rsidRPr="00725AA3" w:rsidRDefault="155DF736" w:rsidP="00845604">
      <w:pPr>
        <w:pStyle w:val="Heading2"/>
        <w:rPr>
          <w:rStyle w:val="normaltextrun"/>
        </w:rPr>
      </w:pPr>
      <w:bookmarkStart w:id="37" w:name="_Toc196988040"/>
      <w:r w:rsidRPr="00725AA3">
        <w:rPr>
          <w:rStyle w:val="normaltextrun"/>
        </w:rPr>
        <w:t xml:space="preserve">Outcome-based </w:t>
      </w:r>
      <w:r w:rsidR="004B3E26" w:rsidRPr="00725AA3">
        <w:rPr>
          <w:rStyle w:val="normaltextrun"/>
        </w:rPr>
        <w:t>a</w:t>
      </w:r>
      <w:r w:rsidRPr="00725AA3">
        <w:rPr>
          <w:rStyle w:val="normaltextrun"/>
        </w:rPr>
        <w:t>ctivities</w:t>
      </w:r>
      <w:bookmarkEnd w:id="37"/>
    </w:p>
    <w:p w14:paraId="7F1871F3" w14:textId="77777777" w:rsidR="0010372D" w:rsidRPr="00D75223" w:rsidRDefault="0010372D" w:rsidP="0010372D">
      <w:pPr>
        <w:rPr>
          <w:rFonts w:ascii="Arial" w:eastAsia="Calibri" w:hAnsi="Arial" w:cs="Arial"/>
          <w:sz w:val="24"/>
          <w:szCs w:val="24"/>
        </w:rPr>
      </w:pPr>
      <w:r w:rsidRPr="00D75223">
        <w:rPr>
          <w:rFonts w:ascii="Arial" w:eastAsia="Calibri" w:hAnsi="Arial" w:cs="Arial"/>
          <w:sz w:val="24"/>
          <w:szCs w:val="24"/>
        </w:rPr>
        <w:t>Wholetime firefighter activities that are measured include responding to incident</w:t>
      </w:r>
      <w:r>
        <w:rPr>
          <w:rFonts w:ascii="Arial" w:eastAsia="Calibri" w:hAnsi="Arial" w:cs="Arial"/>
          <w:sz w:val="24"/>
          <w:szCs w:val="24"/>
        </w:rPr>
        <w:t xml:space="preserve">s, </w:t>
      </w:r>
      <w:r w:rsidRPr="00D75223">
        <w:rPr>
          <w:rFonts w:ascii="Arial" w:eastAsia="Calibri" w:hAnsi="Arial" w:cs="Arial"/>
          <w:sz w:val="24"/>
          <w:szCs w:val="24"/>
        </w:rPr>
        <w:t>conducting training exercises, prevention activity</w:t>
      </w:r>
      <w:r>
        <w:rPr>
          <w:rFonts w:ascii="Arial" w:eastAsia="Calibri" w:hAnsi="Arial" w:cs="Arial"/>
          <w:sz w:val="24"/>
          <w:szCs w:val="24"/>
        </w:rPr>
        <w:t>,</w:t>
      </w:r>
      <w:r w:rsidRPr="00D75223">
        <w:rPr>
          <w:rFonts w:ascii="Arial" w:eastAsia="Calibri" w:hAnsi="Arial" w:cs="Arial"/>
          <w:sz w:val="24"/>
          <w:szCs w:val="24"/>
        </w:rPr>
        <w:t xml:space="preserve"> engaging in community safety initiatives and understanding risks through site specific risk inspections. Protection activities including fire investigation. We are looking at </w:t>
      </w:r>
      <w:r>
        <w:rPr>
          <w:rFonts w:ascii="Arial" w:eastAsia="Calibri" w:hAnsi="Arial" w:cs="Arial"/>
          <w:sz w:val="24"/>
          <w:szCs w:val="24"/>
        </w:rPr>
        <w:t xml:space="preserve">a </w:t>
      </w:r>
      <w:r w:rsidRPr="00D75223">
        <w:rPr>
          <w:rFonts w:ascii="Arial" w:eastAsia="Calibri" w:hAnsi="Arial" w:cs="Arial"/>
          <w:sz w:val="24"/>
          <w:szCs w:val="24"/>
        </w:rPr>
        <w:t xml:space="preserve">mechanism to capture this work into one piece of evidence so that we can understand better the output and targeted outcomes in </w:t>
      </w:r>
      <w:r>
        <w:rPr>
          <w:rFonts w:ascii="Arial" w:eastAsia="Calibri" w:hAnsi="Arial" w:cs="Arial"/>
          <w:sz w:val="24"/>
          <w:szCs w:val="24"/>
        </w:rPr>
        <w:t>s</w:t>
      </w:r>
      <w:r w:rsidRPr="00D75223">
        <w:rPr>
          <w:rFonts w:ascii="Arial" w:eastAsia="Calibri" w:hAnsi="Arial" w:cs="Arial"/>
          <w:sz w:val="24"/>
          <w:szCs w:val="24"/>
        </w:rPr>
        <w:t xml:space="preserve">ervice </w:t>
      </w:r>
      <w:r>
        <w:rPr>
          <w:rFonts w:ascii="Arial" w:eastAsia="Calibri" w:hAnsi="Arial" w:cs="Arial"/>
          <w:sz w:val="24"/>
          <w:szCs w:val="24"/>
        </w:rPr>
        <w:t>d</w:t>
      </w:r>
      <w:r w:rsidRPr="00D75223">
        <w:rPr>
          <w:rFonts w:ascii="Arial" w:eastAsia="Calibri" w:hAnsi="Arial" w:cs="Arial"/>
          <w:sz w:val="24"/>
          <w:szCs w:val="24"/>
        </w:rPr>
        <w:t xml:space="preserve">elivery. </w:t>
      </w:r>
    </w:p>
    <w:p w14:paraId="37EE0E98" w14:textId="137C23EA" w:rsidR="66740A63" w:rsidRPr="00D75223" w:rsidRDefault="6C5F5C26" w:rsidP="004A4D56">
      <w:pPr>
        <w:rPr>
          <w:rFonts w:ascii="Arial" w:eastAsia="Calibri" w:hAnsi="Arial" w:cs="Arial"/>
          <w:sz w:val="24"/>
          <w:szCs w:val="24"/>
        </w:rPr>
      </w:pPr>
      <w:r w:rsidRPr="00D75223">
        <w:rPr>
          <w:rFonts w:ascii="Arial" w:eastAsia="Calibri" w:hAnsi="Arial" w:cs="Arial"/>
          <w:sz w:val="24"/>
          <w:szCs w:val="24"/>
        </w:rPr>
        <w:t xml:space="preserve">Our frontline crews deliver vast amounts of prevention and protection activities which have been captured within this </w:t>
      </w:r>
      <w:r w:rsidR="0096636C">
        <w:rPr>
          <w:rFonts w:ascii="Arial" w:eastAsia="Calibri" w:hAnsi="Arial" w:cs="Arial"/>
          <w:sz w:val="24"/>
          <w:szCs w:val="24"/>
        </w:rPr>
        <w:t>p</w:t>
      </w:r>
      <w:r w:rsidRPr="00D75223">
        <w:rPr>
          <w:rFonts w:ascii="Arial" w:eastAsia="Calibri" w:hAnsi="Arial" w:cs="Arial"/>
          <w:sz w:val="24"/>
          <w:szCs w:val="24"/>
        </w:rPr>
        <w:t xml:space="preserve">lan. </w:t>
      </w:r>
      <w:r w:rsidR="1D8CB93D" w:rsidRPr="00D75223">
        <w:rPr>
          <w:rFonts w:ascii="Arial" w:eastAsia="Calibri" w:hAnsi="Arial" w:cs="Arial"/>
          <w:sz w:val="24"/>
          <w:szCs w:val="24"/>
        </w:rPr>
        <w:t>Targets and p</w:t>
      </w:r>
      <w:r w:rsidRPr="00D75223">
        <w:rPr>
          <w:rFonts w:ascii="Arial" w:eastAsia="Calibri" w:hAnsi="Arial" w:cs="Arial"/>
          <w:sz w:val="24"/>
          <w:szCs w:val="24"/>
        </w:rPr>
        <w:t xml:space="preserve">erformance levels are monitored </w:t>
      </w:r>
      <w:r w:rsidRPr="00D75223">
        <w:rPr>
          <w:rFonts w:ascii="Arial" w:eastAsia="Calibri" w:hAnsi="Arial" w:cs="Arial"/>
          <w:sz w:val="24"/>
          <w:szCs w:val="24"/>
        </w:rPr>
        <w:lastRenderedPageBreak/>
        <w:t xml:space="preserve">locally and through our various </w:t>
      </w:r>
      <w:r w:rsidR="0096636C">
        <w:rPr>
          <w:rFonts w:ascii="Arial" w:eastAsia="Calibri" w:hAnsi="Arial" w:cs="Arial"/>
          <w:sz w:val="24"/>
          <w:szCs w:val="24"/>
        </w:rPr>
        <w:t>s</w:t>
      </w:r>
      <w:r w:rsidRPr="00D75223">
        <w:rPr>
          <w:rFonts w:ascii="Arial" w:eastAsia="Calibri" w:hAnsi="Arial" w:cs="Arial"/>
          <w:sz w:val="24"/>
          <w:szCs w:val="24"/>
        </w:rPr>
        <w:t xml:space="preserve">ervice </w:t>
      </w:r>
      <w:r w:rsidR="0096636C">
        <w:rPr>
          <w:rFonts w:ascii="Arial" w:eastAsia="Calibri" w:hAnsi="Arial" w:cs="Arial"/>
          <w:sz w:val="24"/>
          <w:szCs w:val="24"/>
        </w:rPr>
        <w:t>m</w:t>
      </w:r>
      <w:r w:rsidRPr="00D75223">
        <w:rPr>
          <w:rFonts w:ascii="Arial" w:eastAsia="Calibri" w:hAnsi="Arial" w:cs="Arial"/>
          <w:sz w:val="24"/>
          <w:szCs w:val="24"/>
        </w:rPr>
        <w:t xml:space="preserve">anagement </w:t>
      </w:r>
      <w:r w:rsidR="0096636C">
        <w:rPr>
          <w:rFonts w:ascii="Arial" w:eastAsia="Calibri" w:hAnsi="Arial" w:cs="Arial"/>
          <w:sz w:val="24"/>
          <w:szCs w:val="24"/>
        </w:rPr>
        <w:t>t</w:t>
      </w:r>
      <w:r w:rsidRPr="00D75223">
        <w:rPr>
          <w:rFonts w:ascii="Arial" w:eastAsia="Calibri" w:hAnsi="Arial" w:cs="Arial"/>
          <w:sz w:val="24"/>
          <w:szCs w:val="24"/>
        </w:rPr>
        <w:t>eam</w:t>
      </w:r>
      <w:r w:rsidR="0096636C">
        <w:rPr>
          <w:rFonts w:ascii="Arial" w:eastAsia="Calibri" w:hAnsi="Arial" w:cs="Arial"/>
          <w:sz w:val="24"/>
          <w:szCs w:val="24"/>
        </w:rPr>
        <w:t xml:space="preserve"> </w:t>
      </w:r>
      <w:r w:rsidR="008A46A0">
        <w:rPr>
          <w:rFonts w:ascii="Arial" w:eastAsia="Calibri" w:hAnsi="Arial" w:cs="Arial"/>
          <w:sz w:val="24"/>
          <w:szCs w:val="24"/>
        </w:rPr>
        <w:t xml:space="preserve">(SMT) </w:t>
      </w:r>
      <w:r w:rsidRPr="00D75223">
        <w:rPr>
          <w:rFonts w:ascii="Arial" w:eastAsia="Calibri" w:hAnsi="Arial" w:cs="Arial"/>
          <w:sz w:val="24"/>
          <w:szCs w:val="24"/>
        </w:rPr>
        <w:t>m</w:t>
      </w:r>
      <w:r w:rsidR="0402DB92" w:rsidRPr="00D75223">
        <w:rPr>
          <w:rFonts w:ascii="Arial" w:eastAsia="Calibri" w:hAnsi="Arial" w:cs="Arial"/>
          <w:sz w:val="24"/>
          <w:szCs w:val="24"/>
        </w:rPr>
        <w:t xml:space="preserve">eetings, ultimately reporting into our Combined Fire Authority (Performance </w:t>
      </w:r>
      <w:r w:rsidR="0096636C">
        <w:rPr>
          <w:rFonts w:ascii="Arial" w:eastAsia="Calibri" w:hAnsi="Arial" w:cs="Arial"/>
          <w:sz w:val="24"/>
          <w:szCs w:val="24"/>
        </w:rPr>
        <w:t>C</w:t>
      </w:r>
      <w:r w:rsidR="0402DB92" w:rsidRPr="00D75223">
        <w:rPr>
          <w:rFonts w:ascii="Arial" w:eastAsia="Calibri" w:hAnsi="Arial" w:cs="Arial"/>
          <w:sz w:val="24"/>
          <w:szCs w:val="24"/>
        </w:rPr>
        <w:t xml:space="preserve">ommittee) on a quarterly basis through a suite of </w:t>
      </w:r>
      <w:r w:rsidR="0096636C">
        <w:rPr>
          <w:rFonts w:ascii="Arial" w:eastAsia="Calibri" w:hAnsi="Arial" w:cs="Arial"/>
          <w:sz w:val="24"/>
          <w:szCs w:val="24"/>
        </w:rPr>
        <w:t>k</w:t>
      </w:r>
      <w:r w:rsidR="0402DB92" w:rsidRPr="00D75223">
        <w:rPr>
          <w:rFonts w:ascii="Arial" w:eastAsia="Calibri" w:hAnsi="Arial" w:cs="Arial"/>
          <w:sz w:val="24"/>
          <w:szCs w:val="24"/>
        </w:rPr>
        <w:t xml:space="preserve">ey </w:t>
      </w:r>
      <w:r w:rsidR="0096636C">
        <w:rPr>
          <w:rFonts w:ascii="Arial" w:eastAsia="Calibri" w:hAnsi="Arial" w:cs="Arial"/>
          <w:sz w:val="24"/>
          <w:szCs w:val="24"/>
        </w:rPr>
        <w:t>p</w:t>
      </w:r>
      <w:r w:rsidR="0402DB92" w:rsidRPr="00D75223">
        <w:rPr>
          <w:rFonts w:ascii="Arial" w:eastAsia="Calibri" w:hAnsi="Arial" w:cs="Arial"/>
          <w:sz w:val="24"/>
          <w:szCs w:val="24"/>
        </w:rPr>
        <w:t xml:space="preserve">erformance </w:t>
      </w:r>
      <w:r w:rsidR="0096636C">
        <w:rPr>
          <w:rFonts w:ascii="Arial" w:eastAsia="Calibri" w:hAnsi="Arial" w:cs="Arial"/>
          <w:sz w:val="24"/>
          <w:szCs w:val="24"/>
        </w:rPr>
        <w:t>i</w:t>
      </w:r>
      <w:r w:rsidR="0402DB92" w:rsidRPr="00D75223">
        <w:rPr>
          <w:rFonts w:ascii="Arial" w:eastAsia="Calibri" w:hAnsi="Arial" w:cs="Arial"/>
          <w:sz w:val="24"/>
          <w:szCs w:val="24"/>
        </w:rPr>
        <w:t>ndicators</w:t>
      </w:r>
      <w:r w:rsidR="0A1172B8" w:rsidRPr="00D75223">
        <w:rPr>
          <w:rFonts w:ascii="Arial" w:eastAsia="Calibri" w:hAnsi="Arial" w:cs="Arial"/>
          <w:sz w:val="24"/>
          <w:szCs w:val="24"/>
        </w:rPr>
        <w:t xml:space="preserve"> (KPI</w:t>
      </w:r>
      <w:r w:rsidR="0096636C">
        <w:rPr>
          <w:rFonts w:ascii="Arial" w:eastAsia="Calibri" w:hAnsi="Arial" w:cs="Arial"/>
          <w:sz w:val="24"/>
          <w:szCs w:val="24"/>
        </w:rPr>
        <w:t>s</w:t>
      </w:r>
      <w:r w:rsidR="0A1172B8" w:rsidRPr="00D75223">
        <w:rPr>
          <w:rFonts w:ascii="Arial" w:eastAsia="Calibri" w:hAnsi="Arial" w:cs="Arial"/>
          <w:sz w:val="24"/>
          <w:szCs w:val="24"/>
        </w:rPr>
        <w:t>)</w:t>
      </w:r>
      <w:r w:rsidR="627A8E2C" w:rsidRPr="00D75223">
        <w:rPr>
          <w:rFonts w:ascii="Arial" w:eastAsia="Calibri" w:hAnsi="Arial" w:cs="Arial"/>
          <w:sz w:val="24"/>
          <w:szCs w:val="24"/>
        </w:rPr>
        <w:t>:</w:t>
      </w:r>
    </w:p>
    <w:p w14:paraId="16D656B7" w14:textId="0AD0BE1C" w:rsidR="66740A63" w:rsidRPr="00D75223" w:rsidRDefault="627A8E2C" w:rsidP="005E4CAA">
      <w:pPr>
        <w:pStyle w:val="Heading3"/>
      </w:pPr>
      <w:bookmarkStart w:id="38" w:name="_Toc196988041"/>
      <w:r w:rsidRPr="00D75223">
        <w:t>KPI 1: Valuing our people so they can focus on making Lancashire safer</w:t>
      </w:r>
      <w:bookmarkEnd w:id="38"/>
    </w:p>
    <w:p w14:paraId="66CFF06E" w14:textId="2E67268D" w:rsidR="66740A63" w:rsidRPr="00D75223" w:rsidRDefault="627A8E2C" w:rsidP="004A4D56">
      <w:pPr>
        <w:rPr>
          <w:rFonts w:ascii="Arial" w:hAnsi="Arial" w:cs="Arial"/>
        </w:rPr>
      </w:pPr>
      <w:r w:rsidRPr="00D75223">
        <w:rPr>
          <w:rFonts w:ascii="Arial" w:eastAsia="Calibri" w:hAnsi="Arial" w:cs="Arial"/>
          <w:sz w:val="24"/>
          <w:szCs w:val="24"/>
        </w:rPr>
        <w:t>1.1 Overall staff engagement</w:t>
      </w:r>
    </w:p>
    <w:p w14:paraId="7DE790B2" w14:textId="0861E3A1" w:rsidR="66740A63" w:rsidRPr="00D75223" w:rsidRDefault="627A8E2C" w:rsidP="004A4D56">
      <w:pPr>
        <w:rPr>
          <w:rFonts w:ascii="Arial" w:hAnsi="Arial" w:cs="Arial"/>
        </w:rPr>
      </w:pPr>
      <w:r w:rsidRPr="00D75223">
        <w:rPr>
          <w:rFonts w:ascii="Arial" w:eastAsia="Calibri" w:hAnsi="Arial" w:cs="Arial"/>
          <w:sz w:val="24"/>
          <w:szCs w:val="24"/>
        </w:rPr>
        <w:t>1.2.1 Staff absence – wholetime</w:t>
      </w:r>
    </w:p>
    <w:p w14:paraId="2F519255" w14:textId="2328B677" w:rsidR="66740A63" w:rsidRPr="00D75223" w:rsidRDefault="627A8E2C" w:rsidP="004A4D56">
      <w:pPr>
        <w:rPr>
          <w:rFonts w:ascii="Arial" w:hAnsi="Arial" w:cs="Arial"/>
        </w:rPr>
      </w:pPr>
      <w:r w:rsidRPr="00D75223">
        <w:rPr>
          <w:rFonts w:ascii="Arial" w:eastAsia="Calibri" w:hAnsi="Arial" w:cs="Arial"/>
          <w:sz w:val="24"/>
          <w:szCs w:val="24"/>
        </w:rPr>
        <w:t>1.2.2 Staff absence – on-call</w:t>
      </w:r>
    </w:p>
    <w:p w14:paraId="1CC5E715" w14:textId="7A126F42" w:rsidR="66740A63" w:rsidRPr="00D75223" w:rsidRDefault="627A8E2C" w:rsidP="004A4D56">
      <w:pPr>
        <w:rPr>
          <w:rFonts w:ascii="Arial" w:hAnsi="Arial" w:cs="Arial"/>
        </w:rPr>
      </w:pPr>
      <w:r w:rsidRPr="00D75223">
        <w:rPr>
          <w:rFonts w:ascii="Arial" w:eastAsia="Calibri" w:hAnsi="Arial" w:cs="Arial"/>
          <w:sz w:val="24"/>
          <w:szCs w:val="24"/>
        </w:rPr>
        <w:t>1.2.3 Staff absence – green book</w:t>
      </w:r>
    </w:p>
    <w:p w14:paraId="32E28CBE" w14:textId="045F3EDA" w:rsidR="66740A63" w:rsidRPr="00D75223" w:rsidRDefault="627A8E2C" w:rsidP="004A4D56">
      <w:pPr>
        <w:rPr>
          <w:rFonts w:ascii="Arial" w:hAnsi="Arial" w:cs="Arial"/>
        </w:rPr>
      </w:pPr>
      <w:r w:rsidRPr="00D75223">
        <w:rPr>
          <w:rFonts w:ascii="Arial" w:eastAsia="Calibri" w:hAnsi="Arial" w:cs="Arial"/>
          <w:sz w:val="24"/>
          <w:szCs w:val="24"/>
        </w:rPr>
        <w:t xml:space="preserve">1.3.1 Workforce diversity </w:t>
      </w:r>
    </w:p>
    <w:p w14:paraId="31441D39" w14:textId="6A8D4EEA" w:rsidR="66740A63" w:rsidRPr="00D75223" w:rsidRDefault="627A8E2C" w:rsidP="004A4D56">
      <w:pPr>
        <w:rPr>
          <w:rFonts w:ascii="Arial" w:hAnsi="Arial" w:cs="Arial"/>
        </w:rPr>
      </w:pPr>
      <w:r w:rsidRPr="00D75223">
        <w:rPr>
          <w:rFonts w:ascii="Arial" w:eastAsia="Calibri" w:hAnsi="Arial" w:cs="Arial"/>
          <w:sz w:val="24"/>
          <w:szCs w:val="24"/>
        </w:rPr>
        <w:t xml:space="preserve">1.3.2 Workforce diversity recruited </w:t>
      </w:r>
    </w:p>
    <w:p w14:paraId="2C687925" w14:textId="417CDE53" w:rsidR="66740A63" w:rsidRPr="00D75223" w:rsidRDefault="627A8E2C" w:rsidP="004A4D56">
      <w:pPr>
        <w:rPr>
          <w:rFonts w:ascii="Arial" w:hAnsi="Arial" w:cs="Arial"/>
        </w:rPr>
      </w:pPr>
      <w:r w:rsidRPr="00D75223">
        <w:rPr>
          <w:rFonts w:ascii="Arial" w:eastAsia="Calibri" w:hAnsi="Arial" w:cs="Arial"/>
          <w:sz w:val="24"/>
          <w:szCs w:val="24"/>
        </w:rPr>
        <w:t>1.4 Staff accidents</w:t>
      </w:r>
    </w:p>
    <w:p w14:paraId="10EA778D" w14:textId="052863DF" w:rsidR="66740A63" w:rsidRPr="00D75223" w:rsidRDefault="627A8E2C" w:rsidP="005E4CAA">
      <w:pPr>
        <w:pStyle w:val="Heading3"/>
      </w:pPr>
      <w:bookmarkStart w:id="39" w:name="_Toc196988042"/>
      <w:r w:rsidRPr="00D75223">
        <w:t>KPI 2: Preventing fires and other emergencies from happening / Protecting people and property when fires happen</w:t>
      </w:r>
      <w:bookmarkEnd w:id="39"/>
    </w:p>
    <w:p w14:paraId="1FE08B64" w14:textId="70EA79CC" w:rsidR="66740A63" w:rsidRPr="00D75223" w:rsidRDefault="627A8E2C" w:rsidP="004A4D56">
      <w:pPr>
        <w:rPr>
          <w:rFonts w:ascii="Arial" w:hAnsi="Arial" w:cs="Arial"/>
        </w:rPr>
      </w:pPr>
      <w:r w:rsidRPr="00D75223">
        <w:rPr>
          <w:rFonts w:ascii="Arial" w:eastAsia="Calibri" w:hAnsi="Arial" w:cs="Arial"/>
          <w:sz w:val="24"/>
          <w:szCs w:val="24"/>
        </w:rPr>
        <w:t>2.1 Critical fire risk map score</w:t>
      </w:r>
    </w:p>
    <w:p w14:paraId="2CB3678F" w14:textId="254E8FFB" w:rsidR="66740A63" w:rsidRPr="00D75223" w:rsidRDefault="627A8E2C" w:rsidP="004A4D56">
      <w:pPr>
        <w:rPr>
          <w:rFonts w:ascii="Arial" w:hAnsi="Arial" w:cs="Arial"/>
        </w:rPr>
      </w:pPr>
      <w:r w:rsidRPr="00D75223">
        <w:rPr>
          <w:rFonts w:ascii="Arial" w:eastAsia="Calibri" w:hAnsi="Arial" w:cs="Arial"/>
          <w:sz w:val="24"/>
          <w:szCs w:val="24"/>
        </w:rPr>
        <w:t>2.2 Overall activity</w:t>
      </w:r>
    </w:p>
    <w:p w14:paraId="74FC76A1" w14:textId="3B21AD0B" w:rsidR="66740A63" w:rsidRPr="00D75223" w:rsidRDefault="627A8E2C" w:rsidP="004A4D56">
      <w:pPr>
        <w:rPr>
          <w:rFonts w:ascii="Arial" w:hAnsi="Arial" w:cs="Arial"/>
        </w:rPr>
      </w:pPr>
      <w:r w:rsidRPr="00D75223">
        <w:rPr>
          <w:rFonts w:ascii="Arial" w:eastAsia="Calibri" w:hAnsi="Arial" w:cs="Arial"/>
          <w:sz w:val="24"/>
          <w:szCs w:val="24"/>
        </w:rPr>
        <w:t>2.3 Accidental dwelling fires (ADF)</w:t>
      </w:r>
    </w:p>
    <w:p w14:paraId="5D46C836" w14:textId="58C6C7BF" w:rsidR="66740A63" w:rsidRPr="00D75223" w:rsidRDefault="627A8E2C" w:rsidP="004A4D56">
      <w:pPr>
        <w:rPr>
          <w:rFonts w:ascii="Arial" w:hAnsi="Arial" w:cs="Arial"/>
        </w:rPr>
      </w:pPr>
      <w:r w:rsidRPr="00D75223">
        <w:rPr>
          <w:rFonts w:ascii="Arial" w:eastAsia="Calibri" w:hAnsi="Arial" w:cs="Arial"/>
          <w:sz w:val="24"/>
          <w:szCs w:val="24"/>
        </w:rPr>
        <w:t xml:space="preserve">2.3.1 ADF – harm to people – casualties </w:t>
      </w:r>
    </w:p>
    <w:p w14:paraId="50ED05FD" w14:textId="67DB9059" w:rsidR="66740A63" w:rsidRPr="00D75223" w:rsidRDefault="627A8E2C" w:rsidP="004A4D56">
      <w:pPr>
        <w:rPr>
          <w:rFonts w:ascii="Arial" w:hAnsi="Arial" w:cs="Arial"/>
        </w:rPr>
      </w:pPr>
      <w:r w:rsidRPr="00D75223">
        <w:rPr>
          <w:rFonts w:ascii="Arial" w:eastAsia="Calibri" w:hAnsi="Arial" w:cs="Arial"/>
          <w:sz w:val="24"/>
          <w:szCs w:val="24"/>
        </w:rPr>
        <w:t>2.3.2 ADF – harm to property – extent of damage (fire severity)</w:t>
      </w:r>
    </w:p>
    <w:p w14:paraId="3F223BAE" w14:textId="2CABC63F" w:rsidR="66740A63" w:rsidRPr="00D75223" w:rsidRDefault="627A8E2C" w:rsidP="004A4D56">
      <w:pPr>
        <w:rPr>
          <w:rFonts w:ascii="Arial" w:hAnsi="Arial" w:cs="Arial"/>
        </w:rPr>
      </w:pPr>
      <w:r w:rsidRPr="00D75223">
        <w:rPr>
          <w:rFonts w:ascii="Arial" w:eastAsia="Calibri" w:hAnsi="Arial" w:cs="Arial"/>
          <w:sz w:val="24"/>
          <w:szCs w:val="24"/>
        </w:rPr>
        <w:t>2.4 Accidental building fires (ABF) (commercial premises)</w:t>
      </w:r>
    </w:p>
    <w:p w14:paraId="7BA1C119" w14:textId="57AF8265" w:rsidR="66740A63" w:rsidRPr="00D75223" w:rsidRDefault="627A8E2C" w:rsidP="004A4D56">
      <w:pPr>
        <w:rPr>
          <w:rFonts w:ascii="Arial" w:hAnsi="Arial" w:cs="Arial"/>
        </w:rPr>
      </w:pPr>
      <w:r w:rsidRPr="00D75223">
        <w:rPr>
          <w:rFonts w:ascii="Arial" w:eastAsia="Calibri" w:hAnsi="Arial" w:cs="Arial"/>
          <w:sz w:val="24"/>
          <w:szCs w:val="24"/>
        </w:rPr>
        <w:t>2.4.1 ABF (commercial premises) – harm to property - extent of damage (fire severity)</w:t>
      </w:r>
    </w:p>
    <w:p w14:paraId="15C26261" w14:textId="4469D318" w:rsidR="66740A63" w:rsidRPr="00D75223" w:rsidRDefault="627A8E2C" w:rsidP="004A4D56">
      <w:pPr>
        <w:rPr>
          <w:rFonts w:ascii="Arial" w:hAnsi="Arial" w:cs="Arial"/>
        </w:rPr>
      </w:pPr>
      <w:r w:rsidRPr="00D75223">
        <w:rPr>
          <w:rFonts w:ascii="Arial" w:eastAsia="Calibri" w:hAnsi="Arial" w:cs="Arial"/>
          <w:sz w:val="24"/>
          <w:szCs w:val="24"/>
        </w:rPr>
        <w:t>2.5 ABF (non-commercial premises)</w:t>
      </w:r>
    </w:p>
    <w:p w14:paraId="6669A511" w14:textId="6C9FC744" w:rsidR="66740A63" w:rsidRPr="00D75223" w:rsidRDefault="627A8E2C" w:rsidP="004A4D56">
      <w:pPr>
        <w:rPr>
          <w:rFonts w:ascii="Arial" w:hAnsi="Arial" w:cs="Arial"/>
        </w:rPr>
      </w:pPr>
      <w:r w:rsidRPr="00D75223">
        <w:rPr>
          <w:rFonts w:ascii="Arial" w:eastAsia="Calibri" w:hAnsi="Arial" w:cs="Arial"/>
          <w:sz w:val="24"/>
          <w:szCs w:val="24"/>
        </w:rPr>
        <w:t>2.5.1 ABF (non-commercial premises: private garages and sheds) – harm to property – extent of damage (fire severity)</w:t>
      </w:r>
    </w:p>
    <w:p w14:paraId="6580C758" w14:textId="66BE7AB1" w:rsidR="66740A63" w:rsidRPr="00D75223" w:rsidRDefault="627A8E2C" w:rsidP="004A4D56">
      <w:pPr>
        <w:rPr>
          <w:rFonts w:ascii="Arial" w:hAnsi="Arial" w:cs="Arial"/>
        </w:rPr>
      </w:pPr>
      <w:r w:rsidRPr="00D75223">
        <w:rPr>
          <w:rFonts w:ascii="Arial" w:eastAsia="Calibri" w:hAnsi="Arial" w:cs="Arial"/>
          <w:sz w:val="24"/>
          <w:szCs w:val="24"/>
        </w:rPr>
        <w:t>2.6 Deliberate fires total</w:t>
      </w:r>
    </w:p>
    <w:p w14:paraId="4BFA10BB" w14:textId="46CA16DE" w:rsidR="66740A63" w:rsidRPr="00D75223" w:rsidRDefault="627A8E2C" w:rsidP="004A4D56">
      <w:pPr>
        <w:rPr>
          <w:rFonts w:ascii="Arial" w:hAnsi="Arial" w:cs="Arial"/>
        </w:rPr>
      </w:pPr>
      <w:r w:rsidRPr="00D75223">
        <w:rPr>
          <w:rFonts w:ascii="Arial" w:eastAsia="Calibri" w:hAnsi="Arial" w:cs="Arial"/>
          <w:sz w:val="24"/>
          <w:szCs w:val="24"/>
        </w:rPr>
        <w:t>2.6.1 Deliberate fires – dwellings</w:t>
      </w:r>
    </w:p>
    <w:p w14:paraId="76297567" w14:textId="3DF96039" w:rsidR="66740A63" w:rsidRPr="00D75223" w:rsidRDefault="627A8E2C" w:rsidP="004A4D56">
      <w:pPr>
        <w:rPr>
          <w:rFonts w:ascii="Arial" w:hAnsi="Arial" w:cs="Arial"/>
        </w:rPr>
      </w:pPr>
      <w:r w:rsidRPr="00D75223">
        <w:rPr>
          <w:rFonts w:ascii="Arial" w:eastAsia="Calibri" w:hAnsi="Arial" w:cs="Arial"/>
          <w:sz w:val="24"/>
          <w:szCs w:val="24"/>
        </w:rPr>
        <w:t>2.6.2 Deliberate fires – commercial premises</w:t>
      </w:r>
    </w:p>
    <w:p w14:paraId="4CA8B4BD" w14:textId="7E51F49B" w:rsidR="66740A63" w:rsidRPr="00D75223" w:rsidRDefault="627A8E2C" w:rsidP="004A4D56">
      <w:pPr>
        <w:rPr>
          <w:rFonts w:ascii="Arial" w:hAnsi="Arial" w:cs="Arial"/>
        </w:rPr>
      </w:pPr>
      <w:r w:rsidRPr="00D75223">
        <w:rPr>
          <w:rFonts w:ascii="Arial" w:eastAsia="Calibri" w:hAnsi="Arial" w:cs="Arial"/>
          <w:sz w:val="24"/>
          <w:szCs w:val="24"/>
        </w:rPr>
        <w:t>2.6.3 Deliberate fires – other (rubbish, grassland, vehicles etc)</w:t>
      </w:r>
    </w:p>
    <w:p w14:paraId="531C98ED" w14:textId="3568EE36" w:rsidR="66740A63" w:rsidRPr="00D75223" w:rsidRDefault="627A8E2C" w:rsidP="004A4D56">
      <w:pPr>
        <w:rPr>
          <w:rFonts w:ascii="Arial" w:hAnsi="Arial" w:cs="Arial"/>
        </w:rPr>
      </w:pPr>
      <w:r w:rsidRPr="00D75223">
        <w:rPr>
          <w:rFonts w:ascii="Arial" w:eastAsia="Calibri" w:hAnsi="Arial" w:cs="Arial"/>
          <w:sz w:val="24"/>
          <w:szCs w:val="24"/>
        </w:rPr>
        <w:t>2.7 Home fire safety checks</w:t>
      </w:r>
    </w:p>
    <w:p w14:paraId="525445F0" w14:textId="6A182138" w:rsidR="66740A63" w:rsidRPr="00D75223" w:rsidRDefault="627A8E2C" w:rsidP="004A4D56">
      <w:pPr>
        <w:rPr>
          <w:rFonts w:ascii="Arial" w:hAnsi="Arial" w:cs="Arial"/>
        </w:rPr>
      </w:pPr>
      <w:r w:rsidRPr="00D75223">
        <w:rPr>
          <w:rFonts w:ascii="Arial" w:eastAsia="Calibri" w:hAnsi="Arial" w:cs="Arial"/>
          <w:sz w:val="24"/>
          <w:szCs w:val="24"/>
        </w:rPr>
        <w:t xml:space="preserve">2.8 Numbers of other prevention activities delivered such as </w:t>
      </w:r>
      <w:proofErr w:type="spellStart"/>
      <w:r w:rsidRPr="00D75223">
        <w:rPr>
          <w:rFonts w:ascii="Arial" w:eastAsia="Calibri" w:hAnsi="Arial" w:cs="Arial"/>
          <w:sz w:val="24"/>
          <w:szCs w:val="24"/>
        </w:rPr>
        <w:t>Childsafe</w:t>
      </w:r>
      <w:proofErr w:type="spellEnd"/>
      <w:r w:rsidRPr="00D75223">
        <w:rPr>
          <w:rFonts w:ascii="Arial" w:eastAsia="Calibri" w:hAnsi="Arial" w:cs="Arial"/>
          <w:sz w:val="24"/>
          <w:szCs w:val="24"/>
        </w:rPr>
        <w:t xml:space="preserve"> / Wasted Lives </w:t>
      </w:r>
    </w:p>
    <w:p w14:paraId="2E99A094" w14:textId="567C44A0" w:rsidR="66740A63" w:rsidRPr="00D75223" w:rsidRDefault="627A8E2C" w:rsidP="004A4D56">
      <w:pPr>
        <w:rPr>
          <w:rFonts w:ascii="Arial" w:hAnsi="Arial" w:cs="Arial"/>
        </w:rPr>
      </w:pPr>
      <w:r w:rsidRPr="00D75223">
        <w:rPr>
          <w:rFonts w:ascii="Arial" w:eastAsia="Calibri" w:hAnsi="Arial" w:cs="Arial"/>
          <w:sz w:val="24"/>
          <w:szCs w:val="24"/>
        </w:rPr>
        <w:t>2.9 Fire safety enforcement (including business fire safety checks)</w:t>
      </w:r>
    </w:p>
    <w:p w14:paraId="25A50CCB" w14:textId="7A260FCC" w:rsidR="66740A63" w:rsidRPr="00D75223" w:rsidRDefault="627A8E2C" w:rsidP="004A4D56">
      <w:pPr>
        <w:rPr>
          <w:rFonts w:ascii="Arial" w:hAnsi="Arial" w:cs="Arial"/>
        </w:rPr>
      </w:pPr>
      <w:r w:rsidRPr="00D75223">
        <w:rPr>
          <w:rFonts w:ascii="Arial" w:eastAsia="Calibri" w:hAnsi="Arial" w:cs="Arial"/>
          <w:sz w:val="24"/>
          <w:szCs w:val="24"/>
        </w:rPr>
        <w:t>2.10 Building regulation consultations (number and completed on time)</w:t>
      </w:r>
    </w:p>
    <w:p w14:paraId="147F97F6" w14:textId="3C23A641" w:rsidR="66740A63" w:rsidRPr="00D75223" w:rsidRDefault="627A8E2C" w:rsidP="005E4CAA">
      <w:pPr>
        <w:pStyle w:val="Heading3"/>
      </w:pPr>
      <w:bookmarkStart w:id="40" w:name="_Toc196988043"/>
      <w:r w:rsidRPr="00D75223">
        <w:lastRenderedPageBreak/>
        <w:t>KPI 3: Responding to fires and other emergencies quickly and competently</w:t>
      </w:r>
      <w:bookmarkEnd w:id="40"/>
    </w:p>
    <w:p w14:paraId="2CA98F4E" w14:textId="37AFF817" w:rsidR="66740A63" w:rsidRPr="00D75223" w:rsidRDefault="627A8E2C" w:rsidP="004A4D56">
      <w:pPr>
        <w:rPr>
          <w:rFonts w:ascii="Arial" w:hAnsi="Arial" w:cs="Arial"/>
        </w:rPr>
      </w:pPr>
      <w:r w:rsidRPr="00D75223">
        <w:rPr>
          <w:rFonts w:ascii="Arial" w:eastAsia="Calibri" w:hAnsi="Arial" w:cs="Arial"/>
          <w:sz w:val="24"/>
          <w:szCs w:val="24"/>
        </w:rPr>
        <w:t xml:space="preserve">3.1 Critical fire response – 1st fire engine attendance </w:t>
      </w:r>
    </w:p>
    <w:p w14:paraId="1483EE2F" w14:textId="5F2D1543" w:rsidR="66740A63" w:rsidRPr="00D75223" w:rsidRDefault="627A8E2C" w:rsidP="004A4D56">
      <w:pPr>
        <w:rPr>
          <w:rFonts w:ascii="Arial" w:hAnsi="Arial" w:cs="Arial"/>
        </w:rPr>
      </w:pPr>
      <w:r w:rsidRPr="00D75223">
        <w:rPr>
          <w:rFonts w:ascii="Arial" w:eastAsia="Calibri" w:hAnsi="Arial" w:cs="Arial"/>
          <w:sz w:val="24"/>
          <w:szCs w:val="24"/>
        </w:rPr>
        <w:t xml:space="preserve">3.2 Critical special service response – 1st fire engine attendance </w:t>
      </w:r>
    </w:p>
    <w:p w14:paraId="4E13FEA9" w14:textId="68DC5F72" w:rsidR="66740A63" w:rsidRPr="00D75223" w:rsidRDefault="627A8E2C" w:rsidP="004A4D56">
      <w:pPr>
        <w:rPr>
          <w:rFonts w:ascii="Arial" w:hAnsi="Arial" w:cs="Arial"/>
        </w:rPr>
      </w:pPr>
      <w:r w:rsidRPr="00D75223">
        <w:rPr>
          <w:rFonts w:ascii="Arial" w:eastAsia="Calibri" w:hAnsi="Arial" w:cs="Arial"/>
          <w:sz w:val="24"/>
          <w:szCs w:val="24"/>
        </w:rPr>
        <w:t>3.3 Total fire engine availability</w:t>
      </w:r>
    </w:p>
    <w:p w14:paraId="4AA6BD8E" w14:textId="64C35194" w:rsidR="66740A63" w:rsidRPr="00D75223" w:rsidRDefault="627A8E2C" w:rsidP="005E4CAA">
      <w:pPr>
        <w:pStyle w:val="Heading3"/>
      </w:pPr>
      <w:bookmarkStart w:id="41" w:name="_Toc196988044"/>
      <w:r w:rsidRPr="00D75223">
        <w:t>KPI 4: Delivering value for money in how we use our resources</w:t>
      </w:r>
      <w:bookmarkEnd w:id="41"/>
    </w:p>
    <w:p w14:paraId="439A6016" w14:textId="79DF8127" w:rsidR="66740A63" w:rsidRPr="00D75223" w:rsidRDefault="627A8E2C" w:rsidP="004A4D56">
      <w:pPr>
        <w:rPr>
          <w:rFonts w:ascii="Arial" w:hAnsi="Arial" w:cs="Arial"/>
        </w:rPr>
      </w:pPr>
      <w:r w:rsidRPr="00D75223">
        <w:rPr>
          <w:rFonts w:ascii="Arial" w:eastAsia="Calibri" w:hAnsi="Arial" w:cs="Arial"/>
          <w:sz w:val="24"/>
          <w:szCs w:val="24"/>
        </w:rPr>
        <w:t>4.1 Progress against allocated budget</w:t>
      </w:r>
    </w:p>
    <w:p w14:paraId="28493435" w14:textId="180F7D5A" w:rsidR="66740A63" w:rsidRPr="00D75223" w:rsidRDefault="627A8E2C" w:rsidP="004A4D56">
      <w:pPr>
        <w:rPr>
          <w:rFonts w:ascii="Arial" w:hAnsi="Arial" w:cs="Arial"/>
        </w:rPr>
      </w:pPr>
      <w:r w:rsidRPr="00D75223">
        <w:rPr>
          <w:rFonts w:ascii="Arial" w:eastAsia="Calibri" w:hAnsi="Arial" w:cs="Arial"/>
          <w:sz w:val="24"/>
          <w:szCs w:val="24"/>
        </w:rPr>
        <w:t>4.2 Partnership collaboration</w:t>
      </w:r>
    </w:p>
    <w:p w14:paraId="577BC800" w14:textId="19C6D8B3" w:rsidR="66740A63" w:rsidRPr="00D75223" w:rsidRDefault="627A8E2C" w:rsidP="004A4D56">
      <w:pPr>
        <w:rPr>
          <w:rFonts w:ascii="Arial" w:hAnsi="Arial" w:cs="Arial"/>
        </w:rPr>
      </w:pPr>
      <w:r w:rsidRPr="00D75223">
        <w:rPr>
          <w:rFonts w:ascii="Arial" w:eastAsia="Calibri" w:hAnsi="Arial" w:cs="Arial"/>
          <w:sz w:val="24"/>
          <w:szCs w:val="24"/>
        </w:rPr>
        <w:t>4.3 Overall user satisfaction</w:t>
      </w:r>
    </w:p>
    <w:p w14:paraId="2391DE6D" w14:textId="7B295799" w:rsidR="66740A63" w:rsidRPr="00D75223" w:rsidRDefault="0981446B" w:rsidP="004A4D56">
      <w:pPr>
        <w:rPr>
          <w:rFonts w:ascii="Arial" w:eastAsia="Calibri" w:hAnsi="Arial" w:cs="Arial"/>
          <w:color w:val="FF0000"/>
          <w:sz w:val="24"/>
          <w:szCs w:val="24"/>
        </w:rPr>
      </w:pPr>
      <w:r w:rsidRPr="00D75223">
        <w:rPr>
          <w:rFonts w:ascii="Arial" w:eastAsia="Calibri" w:hAnsi="Arial" w:cs="Arial"/>
          <w:sz w:val="24"/>
          <w:szCs w:val="24"/>
        </w:rPr>
        <w:t xml:space="preserve">Targets are set for each </w:t>
      </w:r>
      <w:r w:rsidR="0096636C">
        <w:rPr>
          <w:rFonts w:ascii="Arial" w:eastAsia="Calibri" w:hAnsi="Arial" w:cs="Arial"/>
          <w:sz w:val="24"/>
          <w:szCs w:val="24"/>
        </w:rPr>
        <w:t>w</w:t>
      </w:r>
      <w:r w:rsidRPr="00D75223">
        <w:rPr>
          <w:rFonts w:ascii="Arial" w:eastAsia="Calibri" w:hAnsi="Arial" w:cs="Arial"/>
          <w:sz w:val="24"/>
          <w:szCs w:val="24"/>
        </w:rPr>
        <w:t xml:space="preserve">holetime station based on their local risk plan and include targets around </w:t>
      </w:r>
      <w:r w:rsidR="0096636C">
        <w:rPr>
          <w:rFonts w:ascii="Arial" w:eastAsia="Calibri" w:hAnsi="Arial" w:cs="Arial"/>
          <w:sz w:val="24"/>
          <w:szCs w:val="24"/>
        </w:rPr>
        <w:t>HFSCs and BFSCs.</w:t>
      </w:r>
      <w:r w:rsidRPr="00D75223">
        <w:rPr>
          <w:rFonts w:ascii="Arial" w:eastAsia="Calibri" w:hAnsi="Arial" w:cs="Arial"/>
          <w:sz w:val="24"/>
          <w:szCs w:val="24"/>
        </w:rPr>
        <w:t xml:space="preserve"> </w:t>
      </w:r>
    </w:p>
    <w:p w14:paraId="1D65AC36" w14:textId="5C19E40A" w:rsidR="66740A63" w:rsidRPr="00D75223" w:rsidRDefault="0981446B" w:rsidP="004A4D56">
      <w:pPr>
        <w:rPr>
          <w:rFonts w:ascii="Arial" w:eastAsia="Calibri" w:hAnsi="Arial" w:cs="Arial"/>
          <w:color w:val="FF0000"/>
          <w:sz w:val="24"/>
          <w:szCs w:val="24"/>
        </w:rPr>
      </w:pPr>
      <w:r w:rsidRPr="00D75223">
        <w:rPr>
          <w:rFonts w:ascii="Arial" w:eastAsia="Calibri" w:hAnsi="Arial" w:cs="Arial"/>
          <w:sz w:val="24"/>
          <w:szCs w:val="24"/>
        </w:rPr>
        <w:t>Local performance indicators also include</w:t>
      </w:r>
      <w:r w:rsidR="5879359F" w:rsidRPr="00D75223">
        <w:rPr>
          <w:rFonts w:ascii="Arial" w:eastAsia="Calibri" w:hAnsi="Arial" w:cs="Arial"/>
          <w:sz w:val="24"/>
          <w:szCs w:val="24"/>
        </w:rPr>
        <w:t xml:space="preserve"> the tracking of </w:t>
      </w:r>
      <w:r w:rsidR="0096636C">
        <w:rPr>
          <w:rFonts w:ascii="Arial" w:eastAsia="Calibri" w:hAnsi="Arial" w:cs="Arial"/>
          <w:sz w:val="24"/>
          <w:szCs w:val="24"/>
        </w:rPr>
        <w:t>s</w:t>
      </w:r>
      <w:r w:rsidR="3497CA49" w:rsidRPr="00D75223">
        <w:rPr>
          <w:rFonts w:ascii="Arial" w:eastAsia="Calibri" w:hAnsi="Arial" w:cs="Arial"/>
          <w:sz w:val="24"/>
          <w:szCs w:val="24"/>
        </w:rPr>
        <w:t>ite</w:t>
      </w:r>
      <w:r w:rsidR="0096636C">
        <w:rPr>
          <w:rFonts w:ascii="Arial" w:eastAsia="Calibri" w:hAnsi="Arial" w:cs="Arial"/>
          <w:sz w:val="24"/>
          <w:szCs w:val="24"/>
        </w:rPr>
        <w:t xml:space="preserve"> s</w:t>
      </w:r>
      <w:r w:rsidR="3497CA49" w:rsidRPr="00D75223">
        <w:rPr>
          <w:rFonts w:ascii="Arial" w:eastAsia="Calibri" w:hAnsi="Arial" w:cs="Arial"/>
          <w:sz w:val="24"/>
          <w:szCs w:val="24"/>
        </w:rPr>
        <w:t>pecific</w:t>
      </w:r>
      <w:r w:rsidR="5879359F" w:rsidRPr="00D75223">
        <w:rPr>
          <w:rFonts w:ascii="Arial" w:eastAsia="Calibri" w:hAnsi="Arial" w:cs="Arial"/>
          <w:sz w:val="24"/>
          <w:szCs w:val="24"/>
        </w:rPr>
        <w:t xml:space="preserve"> </w:t>
      </w:r>
      <w:r w:rsidR="0096636C">
        <w:rPr>
          <w:rFonts w:ascii="Arial" w:eastAsia="Calibri" w:hAnsi="Arial" w:cs="Arial"/>
          <w:sz w:val="24"/>
          <w:szCs w:val="24"/>
        </w:rPr>
        <w:t>r</w:t>
      </w:r>
      <w:r w:rsidR="5879359F" w:rsidRPr="00D75223">
        <w:rPr>
          <w:rFonts w:ascii="Arial" w:eastAsia="Calibri" w:hAnsi="Arial" w:cs="Arial"/>
          <w:sz w:val="24"/>
          <w:szCs w:val="24"/>
        </w:rPr>
        <w:t xml:space="preserve">isk </w:t>
      </w:r>
      <w:r w:rsidR="0096636C">
        <w:rPr>
          <w:rFonts w:ascii="Arial" w:eastAsia="Calibri" w:hAnsi="Arial" w:cs="Arial"/>
          <w:sz w:val="24"/>
          <w:szCs w:val="24"/>
        </w:rPr>
        <w:t>i</w:t>
      </w:r>
      <w:r w:rsidR="5879359F" w:rsidRPr="00D75223">
        <w:rPr>
          <w:rFonts w:ascii="Arial" w:eastAsia="Calibri" w:hAnsi="Arial" w:cs="Arial"/>
          <w:sz w:val="24"/>
          <w:szCs w:val="24"/>
        </w:rPr>
        <w:t xml:space="preserve">nformation completion and crew training, captured through our new </w:t>
      </w:r>
      <w:r w:rsidR="0096636C">
        <w:rPr>
          <w:rFonts w:ascii="Arial" w:eastAsia="Calibri" w:hAnsi="Arial" w:cs="Arial"/>
          <w:sz w:val="24"/>
          <w:szCs w:val="24"/>
        </w:rPr>
        <w:t>e-l</w:t>
      </w:r>
      <w:r w:rsidR="5879359F" w:rsidRPr="00D75223">
        <w:rPr>
          <w:rFonts w:ascii="Arial" w:eastAsia="Calibri" w:hAnsi="Arial" w:cs="Arial"/>
          <w:sz w:val="24"/>
          <w:szCs w:val="24"/>
        </w:rPr>
        <w:t>e</w:t>
      </w:r>
      <w:r w:rsidR="22F98588" w:rsidRPr="00D75223">
        <w:rPr>
          <w:rFonts w:ascii="Arial" w:eastAsia="Calibri" w:hAnsi="Arial" w:cs="Arial"/>
          <w:sz w:val="24"/>
          <w:szCs w:val="24"/>
        </w:rPr>
        <w:t xml:space="preserve">arning </w:t>
      </w:r>
      <w:r w:rsidR="0096636C">
        <w:rPr>
          <w:rFonts w:ascii="Arial" w:eastAsia="Calibri" w:hAnsi="Arial" w:cs="Arial"/>
          <w:sz w:val="24"/>
          <w:szCs w:val="24"/>
        </w:rPr>
        <w:t>m</w:t>
      </w:r>
      <w:r w:rsidR="22F98588" w:rsidRPr="00D75223">
        <w:rPr>
          <w:rFonts w:ascii="Arial" w:eastAsia="Calibri" w:hAnsi="Arial" w:cs="Arial"/>
          <w:sz w:val="24"/>
          <w:szCs w:val="24"/>
        </w:rPr>
        <w:t>anagement system</w:t>
      </w:r>
      <w:r w:rsidR="645CCB3D" w:rsidRPr="00D75223">
        <w:rPr>
          <w:rFonts w:ascii="Arial" w:eastAsia="Calibri" w:hAnsi="Arial" w:cs="Arial"/>
          <w:sz w:val="24"/>
          <w:szCs w:val="24"/>
        </w:rPr>
        <w:t>.</w:t>
      </w:r>
    </w:p>
    <w:p w14:paraId="321D5227" w14:textId="4D3BB308" w:rsidR="66740A63" w:rsidRPr="00D75223" w:rsidRDefault="07404402" w:rsidP="004A4D56">
      <w:pPr>
        <w:rPr>
          <w:rFonts w:ascii="Arial" w:eastAsia="Calibri" w:hAnsi="Arial" w:cs="Arial"/>
          <w:sz w:val="24"/>
          <w:szCs w:val="24"/>
        </w:rPr>
      </w:pPr>
      <w:proofErr w:type="spellStart"/>
      <w:r w:rsidRPr="00D75223">
        <w:rPr>
          <w:rFonts w:ascii="Arial" w:eastAsia="Calibri" w:hAnsi="Arial" w:cs="Arial"/>
          <w:sz w:val="24"/>
          <w:szCs w:val="24"/>
        </w:rPr>
        <w:t>PowerBi</w:t>
      </w:r>
      <w:proofErr w:type="spellEnd"/>
      <w:r w:rsidRPr="00D75223">
        <w:rPr>
          <w:rFonts w:ascii="Arial" w:eastAsia="Calibri" w:hAnsi="Arial" w:cs="Arial"/>
          <w:sz w:val="24"/>
          <w:szCs w:val="24"/>
        </w:rPr>
        <w:t xml:space="preserve"> dashboards are available for all the KPIs </w:t>
      </w:r>
      <w:r w:rsidR="09280531" w:rsidRPr="00D75223">
        <w:rPr>
          <w:rFonts w:ascii="Arial" w:eastAsia="Calibri" w:hAnsi="Arial" w:cs="Arial"/>
          <w:sz w:val="24"/>
          <w:szCs w:val="24"/>
        </w:rPr>
        <w:t xml:space="preserve">reported into the </w:t>
      </w:r>
      <w:r w:rsidR="0096636C">
        <w:rPr>
          <w:rFonts w:ascii="Arial" w:eastAsia="Calibri" w:hAnsi="Arial" w:cs="Arial"/>
          <w:sz w:val="24"/>
          <w:szCs w:val="24"/>
        </w:rPr>
        <w:t>a</w:t>
      </w:r>
      <w:r w:rsidR="09280531" w:rsidRPr="00D75223">
        <w:rPr>
          <w:rFonts w:ascii="Arial" w:eastAsia="Calibri" w:hAnsi="Arial" w:cs="Arial"/>
          <w:sz w:val="24"/>
          <w:szCs w:val="24"/>
        </w:rPr>
        <w:t xml:space="preserve">uthority </w:t>
      </w:r>
      <w:r w:rsidR="38F95C29" w:rsidRPr="00D75223">
        <w:rPr>
          <w:rFonts w:ascii="Arial" w:eastAsia="Calibri" w:hAnsi="Arial" w:cs="Arial"/>
          <w:sz w:val="24"/>
          <w:szCs w:val="24"/>
        </w:rPr>
        <w:t>and local performance dashboards are being</w:t>
      </w:r>
      <w:r w:rsidR="37C0E8A5" w:rsidRPr="00D75223">
        <w:rPr>
          <w:rFonts w:ascii="Arial" w:eastAsia="Calibri" w:hAnsi="Arial" w:cs="Arial"/>
          <w:sz w:val="24"/>
          <w:szCs w:val="24"/>
        </w:rPr>
        <w:t xml:space="preserve"> enhanced /</w:t>
      </w:r>
      <w:r w:rsidR="38F95C29" w:rsidRPr="00D75223">
        <w:rPr>
          <w:rFonts w:ascii="Arial" w:eastAsia="Calibri" w:hAnsi="Arial" w:cs="Arial"/>
          <w:sz w:val="24"/>
          <w:szCs w:val="24"/>
        </w:rPr>
        <w:t xml:space="preserve"> built and include</w:t>
      </w:r>
      <w:r w:rsidR="0096636C">
        <w:rPr>
          <w:rFonts w:ascii="Arial" w:eastAsia="Calibri" w:hAnsi="Arial" w:cs="Arial"/>
          <w:sz w:val="24"/>
          <w:szCs w:val="24"/>
        </w:rPr>
        <w:t xml:space="preserve"> a</w:t>
      </w:r>
      <w:r w:rsidR="38F95C29" w:rsidRPr="00D75223">
        <w:rPr>
          <w:rFonts w:ascii="Arial" w:eastAsia="Calibri" w:hAnsi="Arial" w:cs="Arial"/>
          <w:sz w:val="24"/>
          <w:szCs w:val="24"/>
        </w:rPr>
        <w:t xml:space="preserve"> culture / people dashboard</w:t>
      </w:r>
      <w:r w:rsidR="656BC9C1" w:rsidRPr="00D75223">
        <w:rPr>
          <w:rFonts w:ascii="Arial" w:eastAsia="Calibri" w:hAnsi="Arial" w:cs="Arial"/>
          <w:sz w:val="24"/>
          <w:szCs w:val="24"/>
        </w:rPr>
        <w:t>, finance dashboard,</w:t>
      </w:r>
      <w:r w:rsidR="38F95C29" w:rsidRPr="00D75223">
        <w:rPr>
          <w:rFonts w:ascii="Arial" w:eastAsia="Calibri" w:hAnsi="Arial" w:cs="Arial"/>
          <w:sz w:val="24"/>
          <w:szCs w:val="24"/>
        </w:rPr>
        <w:t xml:space="preserve"> and service delivery related dashboards. These are reported quarterly into S</w:t>
      </w:r>
      <w:r w:rsidR="6CE27C9C" w:rsidRPr="00D75223">
        <w:rPr>
          <w:rFonts w:ascii="Arial" w:eastAsia="Calibri" w:hAnsi="Arial" w:cs="Arial"/>
          <w:sz w:val="24"/>
          <w:szCs w:val="24"/>
        </w:rPr>
        <w:t>MT</w:t>
      </w:r>
      <w:r w:rsidR="4A4080AC" w:rsidRPr="00D75223">
        <w:rPr>
          <w:rFonts w:ascii="Arial" w:eastAsia="Calibri" w:hAnsi="Arial" w:cs="Arial"/>
          <w:sz w:val="24"/>
          <w:szCs w:val="24"/>
        </w:rPr>
        <w:t>.</w:t>
      </w:r>
    </w:p>
    <w:p w14:paraId="47F55B93" w14:textId="784EA0CE" w:rsidR="66740A63" w:rsidRPr="00D75223" w:rsidRDefault="4A4080AC" w:rsidP="004A4D56">
      <w:pPr>
        <w:rPr>
          <w:rFonts w:ascii="Arial" w:eastAsia="Calibri" w:hAnsi="Arial" w:cs="Arial"/>
          <w:sz w:val="24"/>
          <w:szCs w:val="24"/>
        </w:rPr>
      </w:pPr>
      <w:r w:rsidRPr="00D75223">
        <w:rPr>
          <w:rFonts w:ascii="Arial" w:eastAsia="Calibri" w:hAnsi="Arial" w:cs="Arial"/>
          <w:sz w:val="24"/>
          <w:szCs w:val="24"/>
        </w:rPr>
        <w:t>All projects have oversight from a relevant programme board and are reported to SMT quarterly</w:t>
      </w:r>
      <w:r w:rsidR="341200F8" w:rsidRPr="00D75223">
        <w:rPr>
          <w:rFonts w:ascii="Arial" w:eastAsia="Calibri" w:hAnsi="Arial" w:cs="Arial"/>
          <w:sz w:val="24"/>
          <w:szCs w:val="24"/>
        </w:rPr>
        <w:t xml:space="preserve">. </w:t>
      </w:r>
    </w:p>
    <w:p w14:paraId="0684381E" w14:textId="22B7AC05" w:rsidR="66740A63" w:rsidRPr="00D75223" w:rsidRDefault="341200F8" w:rsidP="004A4D56">
      <w:pPr>
        <w:rPr>
          <w:rFonts w:ascii="Arial" w:eastAsia="Calibri" w:hAnsi="Arial" w:cs="Arial"/>
          <w:sz w:val="24"/>
          <w:szCs w:val="24"/>
        </w:rPr>
      </w:pPr>
      <w:r w:rsidRPr="00D75223">
        <w:rPr>
          <w:rFonts w:ascii="Arial" w:eastAsia="Calibri" w:hAnsi="Arial" w:cs="Arial"/>
          <w:sz w:val="24"/>
          <w:szCs w:val="24"/>
        </w:rPr>
        <w:t xml:space="preserve">Collaboration and </w:t>
      </w:r>
      <w:r w:rsidR="008A46A0">
        <w:rPr>
          <w:rFonts w:ascii="Arial" w:eastAsia="Calibri" w:hAnsi="Arial" w:cs="Arial"/>
          <w:sz w:val="24"/>
          <w:szCs w:val="24"/>
        </w:rPr>
        <w:t>e</w:t>
      </w:r>
      <w:r w:rsidRPr="00D75223">
        <w:rPr>
          <w:rFonts w:ascii="Arial" w:eastAsia="Calibri" w:hAnsi="Arial" w:cs="Arial"/>
          <w:sz w:val="24"/>
          <w:szCs w:val="24"/>
        </w:rPr>
        <w:t>valuation logs are maintained for all activity and scrutinised quarterly at SMT meetings.</w:t>
      </w:r>
    </w:p>
    <w:p w14:paraId="3A4A79E0" w14:textId="1228CFCF" w:rsidR="66740A63" w:rsidRPr="00D75223" w:rsidRDefault="00682CAB" w:rsidP="004A4D56">
      <w:pPr>
        <w:rPr>
          <w:rFonts w:ascii="Arial" w:eastAsia="Calibri" w:hAnsi="Arial" w:cs="Arial"/>
          <w:sz w:val="24"/>
          <w:szCs w:val="24"/>
        </w:rPr>
      </w:pPr>
      <w:r w:rsidRPr="00D75223">
        <w:rPr>
          <w:rFonts w:ascii="Arial" w:eastAsia="Calibri" w:hAnsi="Arial" w:cs="Arial"/>
          <w:sz w:val="24"/>
          <w:szCs w:val="24"/>
        </w:rPr>
        <w:t xml:space="preserve">In </w:t>
      </w:r>
      <w:r w:rsidR="00525D23" w:rsidRPr="00D75223">
        <w:rPr>
          <w:rFonts w:ascii="Arial" w:eastAsia="Calibri" w:hAnsi="Arial" w:cs="Arial"/>
          <w:sz w:val="24"/>
          <w:szCs w:val="24"/>
        </w:rPr>
        <w:t>20</w:t>
      </w:r>
      <w:r w:rsidR="001010C1" w:rsidRPr="00D75223">
        <w:rPr>
          <w:rFonts w:ascii="Arial" w:eastAsia="Calibri" w:hAnsi="Arial" w:cs="Arial"/>
          <w:sz w:val="24"/>
          <w:szCs w:val="24"/>
        </w:rPr>
        <w:t>24</w:t>
      </w:r>
      <w:r w:rsidR="008D3B07">
        <w:rPr>
          <w:rFonts w:ascii="Arial" w:eastAsia="Calibri" w:hAnsi="Arial" w:cs="Arial"/>
          <w:sz w:val="24"/>
          <w:szCs w:val="24"/>
        </w:rPr>
        <w:t>/</w:t>
      </w:r>
      <w:r w:rsidR="00877DD8" w:rsidRPr="00D75223">
        <w:rPr>
          <w:rFonts w:ascii="Arial" w:eastAsia="Calibri" w:hAnsi="Arial" w:cs="Arial"/>
          <w:sz w:val="24"/>
          <w:szCs w:val="24"/>
        </w:rPr>
        <w:t>2</w:t>
      </w:r>
      <w:r w:rsidR="001C558F" w:rsidRPr="00D75223">
        <w:rPr>
          <w:rFonts w:ascii="Arial" w:eastAsia="Calibri" w:hAnsi="Arial" w:cs="Arial"/>
          <w:sz w:val="24"/>
          <w:szCs w:val="24"/>
        </w:rPr>
        <w:t xml:space="preserve">5 </w:t>
      </w:r>
      <w:r w:rsidR="00BA5862" w:rsidRPr="00D75223">
        <w:rPr>
          <w:rFonts w:ascii="Arial" w:eastAsia="Calibri" w:hAnsi="Arial" w:cs="Arial"/>
          <w:sz w:val="24"/>
          <w:szCs w:val="24"/>
        </w:rPr>
        <w:t>t</w:t>
      </w:r>
      <w:r w:rsidR="003867AC" w:rsidRPr="00D75223">
        <w:rPr>
          <w:rFonts w:ascii="Arial" w:eastAsia="Calibri" w:hAnsi="Arial" w:cs="Arial"/>
          <w:sz w:val="24"/>
          <w:szCs w:val="24"/>
        </w:rPr>
        <w:t xml:space="preserve">otal </w:t>
      </w:r>
      <w:r w:rsidR="008D3B07">
        <w:rPr>
          <w:rFonts w:ascii="Arial" w:eastAsia="Calibri" w:hAnsi="Arial" w:cs="Arial"/>
          <w:sz w:val="24"/>
          <w:szCs w:val="24"/>
        </w:rPr>
        <w:t>HFSCs</w:t>
      </w:r>
      <w:r w:rsidR="006E63A2" w:rsidRPr="00D75223">
        <w:rPr>
          <w:rFonts w:ascii="Arial" w:eastAsia="Calibri" w:hAnsi="Arial" w:cs="Arial"/>
          <w:sz w:val="24"/>
          <w:szCs w:val="24"/>
        </w:rPr>
        <w:t xml:space="preserve"> </w:t>
      </w:r>
      <w:r w:rsidR="001C282A" w:rsidRPr="00D75223">
        <w:rPr>
          <w:rFonts w:ascii="Arial" w:eastAsia="Calibri" w:hAnsi="Arial" w:cs="Arial"/>
          <w:sz w:val="24"/>
          <w:szCs w:val="24"/>
        </w:rPr>
        <w:t xml:space="preserve">were </w:t>
      </w:r>
      <w:r w:rsidR="00F65339" w:rsidRPr="00D75223">
        <w:rPr>
          <w:rFonts w:ascii="Arial" w:eastAsia="Calibri" w:hAnsi="Arial" w:cs="Arial"/>
          <w:sz w:val="24"/>
          <w:szCs w:val="24"/>
        </w:rPr>
        <w:t>20</w:t>
      </w:r>
      <w:r w:rsidR="008D3B07">
        <w:rPr>
          <w:rFonts w:ascii="Arial" w:eastAsia="Calibri" w:hAnsi="Arial" w:cs="Arial"/>
          <w:sz w:val="24"/>
          <w:szCs w:val="24"/>
        </w:rPr>
        <w:t>,</w:t>
      </w:r>
      <w:r w:rsidR="00F65339" w:rsidRPr="00D75223">
        <w:rPr>
          <w:rFonts w:ascii="Arial" w:eastAsia="Calibri" w:hAnsi="Arial" w:cs="Arial"/>
          <w:sz w:val="24"/>
          <w:szCs w:val="24"/>
        </w:rPr>
        <w:t>2</w:t>
      </w:r>
      <w:r w:rsidR="00651D7B" w:rsidRPr="00D75223">
        <w:rPr>
          <w:rFonts w:ascii="Arial" w:eastAsia="Calibri" w:hAnsi="Arial" w:cs="Arial"/>
          <w:sz w:val="24"/>
          <w:szCs w:val="24"/>
        </w:rPr>
        <w:t>80</w:t>
      </w:r>
      <w:r w:rsidR="008D3B07">
        <w:rPr>
          <w:rFonts w:ascii="Arial" w:eastAsia="Calibri" w:hAnsi="Arial" w:cs="Arial"/>
          <w:sz w:val="24"/>
          <w:szCs w:val="24"/>
        </w:rPr>
        <w:t xml:space="preserve"> and</w:t>
      </w:r>
      <w:r w:rsidR="00651D7B" w:rsidRPr="00D75223">
        <w:rPr>
          <w:rFonts w:ascii="Arial" w:eastAsia="Calibri" w:hAnsi="Arial" w:cs="Arial"/>
          <w:sz w:val="24"/>
          <w:szCs w:val="24"/>
        </w:rPr>
        <w:t xml:space="preserve"> </w:t>
      </w:r>
      <w:r w:rsidR="00BF1AF6" w:rsidRPr="00D75223">
        <w:rPr>
          <w:rFonts w:ascii="Arial" w:eastAsia="Calibri" w:hAnsi="Arial" w:cs="Arial"/>
          <w:sz w:val="24"/>
          <w:szCs w:val="24"/>
        </w:rPr>
        <w:t>in 202</w:t>
      </w:r>
      <w:r w:rsidR="004E5054" w:rsidRPr="00D75223">
        <w:rPr>
          <w:rFonts w:ascii="Arial" w:eastAsia="Calibri" w:hAnsi="Arial" w:cs="Arial"/>
          <w:sz w:val="24"/>
          <w:szCs w:val="24"/>
        </w:rPr>
        <w:t>5</w:t>
      </w:r>
      <w:r w:rsidR="008D3B07">
        <w:rPr>
          <w:rFonts w:ascii="Arial" w:eastAsia="Calibri" w:hAnsi="Arial" w:cs="Arial"/>
          <w:sz w:val="24"/>
          <w:szCs w:val="24"/>
        </w:rPr>
        <w:t>/</w:t>
      </w:r>
      <w:r w:rsidR="004E5054" w:rsidRPr="00D75223">
        <w:rPr>
          <w:rFonts w:ascii="Arial" w:eastAsia="Calibri" w:hAnsi="Arial" w:cs="Arial"/>
          <w:sz w:val="24"/>
          <w:szCs w:val="24"/>
        </w:rPr>
        <w:t>2</w:t>
      </w:r>
      <w:r w:rsidR="009E4CD6" w:rsidRPr="00D75223">
        <w:rPr>
          <w:rFonts w:ascii="Arial" w:eastAsia="Calibri" w:hAnsi="Arial" w:cs="Arial"/>
          <w:sz w:val="24"/>
          <w:szCs w:val="24"/>
        </w:rPr>
        <w:t xml:space="preserve">6 </w:t>
      </w:r>
      <w:r w:rsidR="00351EC0" w:rsidRPr="00D75223">
        <w:rPr>
          <w:rFonts w:ascii="Arial" w:eastAsia="Calibri" w:hAnsi="Arial" w:cs="Arial"/>
          <w:sz w:val="24"/>
          <w:szCs w:val="24"/>
        </w:rPr>
        <w:t>th</w:t>
      </w:r>
      <w:r w:rsidR="008D3B07">
        <w:rPr>
          <w:rFonts w:ascii="Arial" w:eastAsia="Calibri" w:hAnsi="Arial" w:cs="Arial"/>
          <w:sz w:val="24"/>
          <w:szCs w:val="24"/>
        </w:rPr>
        <w:t xml:space="preserve">e target has </w:t>
      </w:r>
      <w:r w:rsidR="00C16A22" w:rsidRPr="00D75223">
        <w:rPr>
          <w:rFonts w:ascii="Arial" w:eastAsia="Calibri" w:hAnsi="Arial" w:cs="Arial"/>
          <w:sz w:val="24"/>
          <w:szCs w:val="24"/>
        </w:rPr>
        <w:t xml:space="preserve">increased </w:t>
      </w:r>
      <w:r w:rsidR="00BE04A1" w:rsidRPr="00D75223">
        <w:rPr>
          <w:rFonts w:ascii="Arial" w:eastAsia="Calibri" w:hAnsi="Arial" w:cs="Arial"/>
          <w:sz w:val="24"/>
          <w:szCs w:val="24"/>
        </w:rPr>
        <w:t xml:space="preserve">to </w:t>
      </w:r>
      <w:r w:rsidR="008556A9" w:rsidRPr="00D75223">
        <w:rPr>
          <w:rFonts w:ascii="Arial" w:eastAsia="Calibri" w:hAnsi="Arial" w:cs="Arial"/>
          <w:sz w:val="24"/>
          <w:szCs w:val="24"/>
        </w:rPr>
        <w:t>23</w:t>
      </w:r>
      <w:r w:rsidR="008D3B07">
        <w:rPr>
          <w:rFonts w:ascii="Arial" w:eastAsia="Calibri" w:hAnsi="Arial" w:cs="Arial"/>
          <w:sz w:val="24"/>
          <w:szCs w:val="24"/>
        </w:rPr>
        <w:t>,</w:t>
      </w:r>
      <w:r w:rsidR="008556A9" w:rsidRPr="00D75223">
        <w:rPr>
          <w:rFonts w:ascii="Arial" w:eastAsia="Calibri" w:hAnsi="Arial" w:cs="Arial"/>
          <w:sz w:val="24"/>
          <w:szCs w:val="24"/>
        </w:rPr>
        <w:t>35</w:t>
      </w:r>
      <w:r w:rsidR="00147C00" w:rsidRPr="00D75223">
        <w:rPr>
          <w:rFonts w:ascii="Arial" w:eastAsia="Calibri" w:hAnsi="Arial" w:cs="Arial"/>
          <w:sz w:val="24"/>
          <w:szCs w:val="24"/>
        </w:rPr>
        <w:t>2</w:t>
      </w:r>
      <w:r w:rsidR="008D3B07">
        <w:rPr>
          <w:rFonts w:ascii="Arial" w:eastAsia="Calibri" w:hAnsi="Arial" w:cs="Arial"/>
          <w:sz w:val="24"/>
          <w:szCs w:val="24"/>
        </w:rPr>
        <w:t>. T</w:t>
      </w:r>
      <w:r w:rsidR="00E56EAD" w:rsidRPr="00D75223">
        <w:rPr>
          <w:rFonts w:ascii="Arial" w:eastAsia="Calibri" w:hAnsi="Arial" w:cs="Arial"/>
          <w:sz w:val="24"/>
          <w:szCs w:val="24"/>
        </w:rPr>
        <w:t>his ta</w:t>
      </w:r>
      <w:r w:rsidR="00E10552" w:rsidRPr="00D75223">
        <w:rPr>
          <w:rFonts w:ascii="Arial" w:eastAsia="Calibri" w:hAnsi="Arial" w:cs="Arial"/>
          <w:sz w:val="24"/>
          <w:szCs w:val="24"/>
        </w:rPr>
        <w:t xml:space="preserve">rget will be </w:t>
      </w:r>
      <w:r w:rsidR="00671010" w:rsidRPr="00D75223">
        <w:rPr>
          <w:rFonts w:ascii="Arial" w:eastAsia="Calibri" w:hAnsi="Arial" w:cs="Arial"/>
          <w:sz w:val="24"/>
          <w:szCs w:val="24"/>
        </w:rPr>
        <w:t>supported by a</w:t>
      </w:r>
      <w:r w:rsidR="009561CC" w:rsidRPr="00D75223">
        <w:rPr>
          <w:rFonts w:ascii="Arial" w:eastAsia="Calibri" w:hAnsi="Arial" w:cs="Arial"/>
          <w:sz w:val="24"/>
          <w:szCs w:val="24"/>
        </w:rPr>
        <w:t xml:space="preserve"> restruct</w:t>
      </w:r>
      <w:r w:rsidR="003A108D" w:rsidRPr="00D75223">
        <w:rPr>
          <w:rFonts w:ascii="Arial" w:eastAsia="Calibri" w:hAnsi="Arial" w:cs="Arial"/>
          <w:sz w:val="24"/>
          <w:szCs w:val="24"/>
        </w:rPr>
        <w:t>uring o</w:t>
      </w:r>
      <w:r w:rsidR="0085527B" w:rsidRPr="00D75223">
        <w:rPr>
          <w:rFonts w:ascii="Arial" w:eastAsia="Calibri" w:hAnsi="Arial" w:cs="Arial"/>
          <w:sz w:val="24"/>
          <w:szCs w:val="24"/>
        </w:rPr>
        <w:t xml:space="preserve">f the </w:t>
      </w:r>
      <w:r w:rsidR="0067023F" w:rsidRPr="00D75223">
        <w:rPr>
          <w:rFonts w:ascii="Arial" w:eastAsia="Calibri" w:hAnsi="Arial" w:cs="Arial"/>
          <w:sz w:val="24"/>
          <w:szCs w:val="24"/>
        </w:rPr>
        <w:t>r</w:t>
      </w:r>
      <w:r w:rsidR="0050347C" w:rsidRPr="00D75223">
        <w:rPr>
          <w:rFonts w:ascii="Arial" w:eastAsia="Calibri" w:hAnsi="Arial" w:cs="Arial"/>
          <w:sz w:val="24"/>
          <w:szCs w:val="24"/>
        </w:rPr>
        <w:t xml:space="preserve">equirement to </w:t>
      </w:r>
      <w:r w:rsidR="008D4DA0" w:rsidRPr="00D75223">
        <w:rPr>
          <w:rFonts w:ascii="Arial" w:eastAsia="Calibri" w:hAnsi="Arial" w:cs="Arial"/>
          <w:sz w:val="24"/>
          <w:szCs w:val="24"/>
        </w:rPr>
        <w:t xml:space="preserve">address </w:t>
      </w:r>
      <w:r w:rsidR="00011CA1" w:rsidRPr="00D75223">
        <w:rPr>
          <w:rFonts w:ascii="Arial" w:eastAsia="Calibri" w:hAnsi="Arial" w:cs="Arial"/>
          <w:sz w:val="24"/>
          <w:szCs w:val="24"/>
        </w:rPr>
        <w:t xml:space="preserve">more </w:t>
      </w:r>
      <w:r w:rsidR="00C86D65" w:rsidRPr="00D75223">
        <w:rPr>
          <w:rFonts w:ascii="Arial" w:eastAsia="Calibri" w:hAnsi="Arial" w:cs="Arial"/>
          <w:sz w:val="24"/>
          <w:szCs w:val="24"/>
        </w:rPr>
        <w:t>vulnerable grou</w:t>
      </w:r>
      <w:r w:rsidR="007E1B4F" w:rsidRPr="00D75223">
        <w:rPr>
          <w:rFonts w:ascii="Arial" w:eastAsia="Calibri" w:hAnsi="Arial" w:cs="Arial"/>
          <w:sz w:val="24"/>
          <w:szCs w:val="24"/>
        </w:rPr>
        <w:t>ps of people</w:t>
      </w:r>
      <w:r w:rsidR="00DD5404" w:rsidRPr="00D75223">
        <w:rPr>
          <w:rFonts w:ascii="Arial" w:eastAsia="Calibri" w:hAnsi="Arial" w:cs="Arial"/>
          <w:sz w:val="24"/>
          <w:szCs w:val="24"/>
        </w:rPr>
        <w:t>, as</w:t>
      </w:r>
      <w:r w:rsidR="00D71D19" w:rsidRPr="00D75223">
        <w:rPr>
          <w:rFonts w:ascii="Arial" w:eastAsia="Calibri" w:hAnsi="Arial" w:cs="Arial"/>
          <w:sz w:val="24"/>
          <w:szCs w:val="24"/>
        </w:rPr>
        <w:t xml:space="preserve"> well</w:t>
      </w:r>
      <w:r w:rsidR="00E12B9D" w:rsidRPr="00D75223">
        <w:rPr>
          <w:rFonts w:ascii="Arial" w:eastAsia="Calibri" w:hAnsi="Arial" w:cs="Arial"/>
          <w:sz w:val="24"/>
          <w:szCs w:val="24"/>
        </w:rPr>
        <w:t xml:space="preserve"> as a</w:t>
      </w:r>
      <w:r w:rsidR="00F04543" w:rsidRPr="00D75223">
        <w:rPr>
          <w:rFonts w:ascii="Arial" w:eastAsia="Calibri" w:hAnsi="Arial" w:cs="Arial"/>
          <w:sz w:val="24"/>
          <w:szCs w:val="24"/>
        </w:rPr>
        <w:t xml:space="preserve">n increase </w:t>
      </w:r>
      <w:r w:rsidR="006671C8" w:rsidRPr="00D75223">
        <w:rPr>
          <w:rFonts w:ascii="Arial" w:eastAsia="Calibri" w:hAnsi="Arial" w:cs="Arial"/>
          <w:sz w:val="24"/>
          <w:szCs w:val="24"/>
        </w:rPr>
        <w:t xml:space="preserve">in </w:t>
      </w:r>
      <w:r w:rsidR="009232BB" w:rsidRPr="00D75223">
        <w:rPr>
          <w:rFonts w:ascii="Arial" w:eastAsia="Calibri" w:hAnsi="Arial" w:cs="Arial"/>
          <w:sz w:val="24"/>
          <w:szCs w:val="24"/>
        </w:rPr>
        <w:t xml:space="preserve">quantity. </w:t>
      </w:r>
      <w:r w:rsidR="003035E2" w:rsidRPr="00D75223">
        <w:rPr>
          <w:rFonts w:ascii="Arial" w:eastAsia="Calibri" w:hAnsi="Arial" w:cs="Arial"/>
          <w:sz w:val="24"/>
          <w:szCs w:val="24"/>
        </w:rPr>
        <w:t xml:space="preserve">We </w:t>
      </w:r>
      <w:r w:rsidR="00152392" w:rsidRPr="00D75223">
        <w:rPr>
          <w:rFonts w:ascii="Arial" w:eastAsia="Calibri" w:hAnsi="Arial" w:cs="Arial"/>
          <w:sz w:val="24"/>
          <w:szCs w:val="24"/>
        </w:rPr>
        <w:t>currently reco</w:t>
      </w:r>
      <w:r w:rsidR="00241FA1" w:rsidRPr="00D75223">
        <w:rPr>
          <w:rFonts w:ascii="Arial" w:eastAsia="Calibri" w:hAnsi="Arial" w:cs="Arial"/>
          <w:sz w:val="24"/>
          <w:szCs w:val="24"/>
        </w:rPr>
        <w:t xml:space="preserve">rd this </w:t>
      </w:r>
      <w:r w:rsidR="00E66A1A" w:rsidRPr="00D75223">
        <w:rPr>
          <w:rFonts w:ascii="Arial" w:eastAsia="Calibri" w:hAnsi="Arial" w:cs="Arial"/>
          <w:sz w:val="24"/>
          <w:szCs w:val="24"/>
        </w:rPr>
        <w:t xml:space="preserve">information on </w:t>
      </w:r>
      <w:r w:rsidR="004D3F60" w:rsidRPr="00D75223">
        <w:rPr>
          <w:rFonts w:ascii="Arial" w:eastAsia="Calibri" w:hAnsi="Arial" w:cs="Arial"/>
          <w:sz w:val="24"/>
          <w:szCs w:val="24"/>
        </w:rPr>
        <w:t xml:space="preserve">different </w:t>
      </w:r>
      <w:r w:rsidR="003A764E" w:rsidRPr="00D75223">
        <w:rPr>
          <w:rFonts w:ascii="Arial" w:eastAsia="Calibri" w:hAnsi="Arial" w:cs="Arial"/>
          <w:sz w:val="24"/>
          <w:szCs w:val="24"/>
        </w:rPr>
        <w:t>repo</w:t>
      </w:r>
      <w:r w:rsidR="00CB0D12" w:rsidRPr="00D75223">
        <w:rPr>
          <w:rFonts w:ascii="Arial" w:eastAsia="Calibri" w:hAnsi="Arial" w:cs="Arial"/>
          <w:sz w:val="24"/>
          <w:szCs w:val="24"/>
        </w:rPr>
        <w:t xml:space="preserve">rting </w:t>
      </w:r>
      <w:r w:rsidR="00AC3995" w:rsidRPr="00D75223">
        <w:rPr>
          <w:rFonts w:ascii="Arial" w:eastAsia="Calibri" w:hAnsi="Arial" w:cs="Arial"/>
          <w:sz w:val="24"/>
          <w:szCs w:val="24"/>
        </w:rPr>
        <w:t xml:space="preserve">systems </w:t>
      </w:r>
      <w:r w:rsidR="00210FC5" w:rsidRPr="00D75223">
        <w:rPr>
          <w:rFonts w:ascii="Arial" w:eastAsia="Calibri" w:hAnsi="Arial" w:cs="Arial"/>
          <w:sz w:val="24"/>
          <w:szCs w:val="24"/>
        </w:rPr>
        <w:t>to</w:t>
      </w:r>
      <w:r w:rsidR="002B6A72" w:rsidRPr="00D75223">
        <w:rPr>
          <w:rFonts w:ascii="Arial" w:eastAsia="Calibri" w:hAnsi="Arial" w:cs="Arial"/>
          <w:sz w:val="24"/>
          <w:szCs w:val="24"/>
        </w:rPr>
        <w:t xml:space="preserve"> record and </w:t>
      </w:r>
      <w:r w:rsidR="00504297" w:rsidRPr="00D75223">
        <w:rPr>
          <w:rFonts w:ascii="Arial" w:eastAsia="Calibri" w:hAnsi="Arial" w:cs="Arial"/>
          <w:sz w:val="24"/>
          <w:szCs w:val="24"/>
        </w:rPr>
        <w:t>analyse data</w:t>
      </w:r>
      <w:r w:rsidR="00F23415" w:rsidRPr="00D75223">
        <w:rPr>
          <w:rFonts w:ascii="Arial" w:eastAsia="Calibri" w:hAnsi="Arial" w:cs="Arial"/>
          <w:sz w:val="24"/>
          <w:szCs w:val="24"/>
        </w:rPr>
        <w:t xml:space="preserve">, some of which </w:t>
      </w:r>
      <w:r w:rsidR="00B03517" w:rsidRPr="00D75223">
        <w:rPr>
          <w:rFonts w:ascii="Arial" w:eastAsia="Calibri" w:hAnsi="Arial" w:cs="Arial"/>
          <w:sz w:val="24"/>
          <w:szCs w:val="24"/>
        </w:rPr>
        <w:t xml:space="preserve">are </w:t>
      </w:r>
      <w:r w:rsidR="00FF6485" w:rsidRPr="00D75223">
        <w:rPr>
          <w:rFonts w:ascii="Arial" w:eastAsia="Calibri" w:hAnsi="Arial" w:cs="Arial"/>
          <w:sz w:val="24"/>
          <w:szCs w:val="24"/>
        </w:rPr>
        <w:t xml:space="preserve">utilised </w:t>
      </w:r>
      <w:r w:rsidR="004A4033" w:rsidRPr="00D75223">
        <w:rPr>
          <w:rFonts w:ascii="Arial" w:eastAsia="Calibri" w:hAnsi="Arial" w:cs="Arial"/>
          <w:sz w:val="24"/>
          <w:szCs w:val="24"/>
        </w:rPr>
        <w:t xml:space="preserve">by </w:t>
      </w:r>
      <w:r w:rsidR="006B7C10" w:rsidRPr="00D75223">
        <w:rPr>
          <w:rFonts w:ascii="Arial" w:eastAsia="Calibri" w:hAnsi="Arial" w:cs="Arial"/>
          <w:sz w:val="24"/>
          <w:szCs w:val="24"/>
        </w:rPr>
        <w:t xml:space="preserve">many fire and </w:t>
      </w:r>
      <w:r w:rsidR="001754C2" w:rsidRPr="00D75223">
        <w:rPr>
          <w:rFonts w:ascii="Arial" w:eastAsia="Calibri" w:hAnsi="Arial" w:cs="Arial"/>
          <w:sz w:val="24"/>
          <w:szCs w:val="24"/>
        </w:rPr>
        <w:t>rescue servi</w:t>
      </w:r>
      <w:r w:rsidR="00BE39BA" w:rsidRPr="00D75223">
        <w:rPr>
          <w:rFonts w:ascii="Arial" w:eastAsia="Calibri" w:hAnsi="Arial" w:cs="Arial"/>
          <w:sz w:val="24"/>
          <w:szCs w:val="24"/>
        </w:rPr>
        <w:t xml:space="preserve">ces. </w:t>
      </w:r>
      <w:r w:rsidR="0038544E" w:rsidRPr="00D75223">
        <w:rPr>
          <w:rFonts w:ascii="Arial" w:eastAsia="Calibri" w:hAnsi="Arial" w:cs="Arial"/>
          <w:sz w:val="24"/>
          <w:szCs w:val="24"/>
        </w:rPr>
        <w:t>Tr</w:t>
      </w:r>
      <w:r w:rsidR="00361DBB" w:rsidRPr="00D75223">
        <w:rPr>
          <w:rFonts w:ascii="Arial" w:eastAsia="Calibri" w:hAnsi="Arial" w:cs="Arial"/>
          <w:sz w:val="24"/>
          <w:szCs w:val="24"/>
        </w:rPr>
        <w:t xml:space="preserve">aining management </w:t>
      </w:r>
      <w:r w:rsidR="001A783E" w:rsidRPr="00D75223">
        <w:rPr>
          <w:rFonts w:ascii="Arial" w:eastAsia="Calibri" w:hAnsi="Arial" w:cs="Arial"/>
          <w:sz w:val="24"/>
          <w:szCs w:val="24"/>
        </w:rPr>
        <w:t>sys</w:t>
      </w:r>
      <w:r w:rsidR="00CB3ED0" w:rsidRPr="00D75223">
        <w:rPr>
          <w:rFonts w:ascii="Arial" w:eastAsia="Calibri" w:hAnsi="Arial" w:cs="Arial"/>
          <w:sz w:val="24"/>
          <w:szCs w:val="24"/>
        </w:rPr>
        <w:t>tems</w:t>
      </w:r>
      <w:r w:rsidR="00A85E14" w:rsidRPr="00D75223">
        <w:rPr>
          <w:rFonts w:ascii="Arial" w:eastAsia="Calibri" w:hAnsi="Arial" w:cs="Arial"/>
          <w:sz w:val="24"/>
          <w:szCs w:val="24"/>
        </w:rPr>
        <w:t xml:space="preserve"> re</w:t>
      </w:r>
      <w:r w:rsidR="009B741E" w:rsidRPr="00D75223">
        <w:rPr>
          <w:rFonts w:ascii="Arial" w:eastAsia="Calibri" w:hAnsi="Arial" w:cs="Arial"/>
          <w:sz w:val="24"/>
          <w:szCs w:val="24"/>
        </w:rPr>
        <w:t>cord the</w:t>
      </w:r>
      <w:r w:rsidR="00A65CBC" w:rsidRPr="00D75223">
        <w:rPr>
          <w:rFonts w:ascii="Arial" w:eastAsia="Calibri" w:hAnsi="Arial" w:cs="Arial"/>
          <w:sz w:val="24"/>
          <w:szCs w:val="24"/>
        </w:rPr>
        <w:t xml:space="preserve"> </w:t>
      </w:r>
      <w:r w:rsidR="00EE2031" w:rsidRPr="00D75223">
        <w:rPr>
          <w:rFonts w:ascii="Arial" w:eastAsia="Calibri" w:hAnsi="Arial" w:cs="Arial"/>
          <w:sz w:val="24"/>
          <w:szCs w:val="24"/>
        </w:rPr>
        <w:t>completion</w:t>
      </w:r>
      <w:r w:rsidR="00E620B7" w:rsidRPr="00D75223">
        <w:rPr>
          <w:rFonts w:ascii="Arial" w:eastAsia="Calibri" w:hAnsi="Arial" w:cs="Arial"/>
          <w:sz w:val="24"/>
          <w:szCs w:val="24"/>
        </w:rPr>
        <w:t xml:space="preserve"> </w:t>
      </w:r>
      <w:r w:rsidR="00EE2031" w:rsidRPr="00D75223">
        <w:rPr>
          <w:rFonts w:ascii="Arial" w:eastAsia="Calibri" w:hAnsi="Arial" w:cs="Arial"/>
          <w:sz w:val="24"/>
          <w:szCs w:val="24"/>
        </w:rPr>
        <w:t>rates,</w:t>
      </w:r>
      <w:r w:rsidR="00253CA0" w:rsidRPr="00D75223">
        <w:rPr>
          <w:rFonts w:ascii="Arial" w:eastAsia="Calibri" w:hAnsi="Arial" w:cs="Arial"/>
          <w:sz w:val="24"/>
          <w:szCs w:val="24"/>
        </w:rPr>
        <w:t xml:space="preserve"> </w:t>
      </w:r>
      <w:r w:rsidR="00EE2031" w:rsidRPr="00D75223">
        <w:rPr>
          <w:rFonts w:ascii="Arial" w:eastAsia="Calibri" w:hAnsi="Arial" w:cs="Arial"/>
          <w:sz w:val="24"/>
          <w:szCs w:val="24"/>
        </w:rPr>
        <w:t>assessment</w:t>
      </w:r>
      <w:r w:rsidR="0086031C" w:rsidRPr="00D75223">
        <w:rPr>
          <w:rFonts w:ascii="Arial" w:eastAsia="Calibri" w:hAnsi="Arial" w:cs="Arial"/>
          <w:sz w:val="24"/>
          <w:szCs w:val="24"/>
        </w:rPr>
        <w:t xml:space="preserve"> </w:t>
      </w:r>
      <w:r w:rsidR="00CA41F7" w:rsidRPr="00D75223">
        <w:rPr>
          <w:rFonts w:ascii="Arial" w:eastAsia="Calibri" w:hAnsi="Arial" w:cs="Arial"/>
          <w:sz w:val="24"/>
          <w:szCs w:val="24"/>
        </w:rPr>
        <w:t xml:space="preserve">results and </w:t>
      </w:r>
      <w:r w:rsidR="00C77BB4" w:rsidRPr="00D75223">
        <w:rPr>
          <w:rFonts w:ascii="Arial" w:eastAsia="Calibri" w:hAnsi="Arial" w:cs="Arial"/>
          <w:sz w:val="24"/>
          <w:szCs w:val="24"/>
        </w:rPr>
        <w:t>cert</w:t>
      </w:r>
      <w:r w:rsidR="002C7CB1" w:rsidRPr="00D75223">
        <w:rPr>
          <w:rFonts w:ascii="Arial" w:eastAsia="Calibri" w:hAnsi="Arial" w:cs="Arial"/>
          <w:sz w:val="24"/>
          <w:szCs w:val="24"/>
        </w:rPr>
        <w:t>i</w:t>
      </w:r>
      <w:r w:rsidR="006C5B90" w:rsidRPr="00D75223">
        <w:rPr>
          <w:rFonts w:ascii="Arial" w:eastAsia="Calibri" w:hAnsi="Arial" w:cs="Arial"/>
          <w:sz w:val="24"/>
          <w:szCs w:val="24"/>
        </w:rPr>
        <w:t>fication</w:t>
      </w:r>
      <w:r w:rsidR="00C359EF" w:rsidRPr="00D75223">
        <w:rPr>
          <w:rFonts w:ascii="Arial" w:eastAsia="Calibri" w:hAnsi="Arial" w:cs="Arial"/>
          <w:sz w:val="24"/>
          <w:szCs w:val="24"/>
        </w:rPr>
        <w:t xml:space="preserve">s of </w:t>
      </w:r>
      <w:r w:rsidR="00EE2031" w:rsidRPr="00D75223">
        <w:rPr>
          <w:rFonts w:ascii="Arial" w:eastAsia="Calibri" w:hAnsi="Arial" w:cs="Arial"/>
          <w:sz w:val="24"/>
          <w:szCs w:val="24"/>
        </w:rPr>
        <w:t>qualifications</w:t>
      </w:r>
      <w:r w:rsidR="00747552" w:rsidRPr="00D75223">
        <w:rPr>
          <w:rFonts w:ascii="Arial" w:eastAsia="Calibri" w:hAnsi="Arial" w:cs="Arial"/>
          <w:sz w:val="24"/>
          <w:szCs w:val="24"/>
        </w:rPr>
        <w:t xml:space="preserve">. </w:t>
      </w:r>
    </w:p>
    <w:p w14:paraId="65898C26" w14:textId="24117BFC" w:rsidR="00E060B3" w:rsidRPr="00D75223" w:rsidRDefault="008D3B07" w:rsidP="004A4D56">
      <w:pPr>
        <w:rPr>
          <w:rFonts w:ascii="Arial" w:eastAsia="Calibri" w:hAnsi="Arial" w:cs="Arial"/>
          <w:sz w:val="24"/>
          <w:szCs w:val="24"/>
        </w:rPr>
      </w:pPr>
      <w:r>
        <w:rPr>
          <w:rFonts w:ascii="Arial" w:eastAsia="Calibri" w:hAnsi="Arial" w:cs="Arial"/>
          <w:sz w:val="24"/>
          <w:szCs w:val="24"/>
        </w:rPr>
        <w:t>P</w:t>
      </w:r>
      <w:r w:rsidR="00AA3CB1" w:rsidRPr="00D75223">
        <w:rPr>
          <w:rFonts w:ascii="Arial" w:eastAsia="Calibri" w:hAnsi="Arial" w:cs="Arial"/>
          <w:sz w:val="24"/>
          <w:szCs w:val="24"/>
        </w:rPr>
        <w:t xml:space="preserve">ost </w:t>
      </w:r>
      <w:r w:rsidR="00B95F96" w:rsidRPr="00D75223">
        <w:rPr>
          <w:rFonts w:ascii="Arial" w:eastAsia="Calibri" w:hAnsi="Arial" w:cs="Arial"/>
          <w:sz w:val="24"/>
          <w:szCs w:val="24"/>
        </w:rPr>
        <w:t xml:space="preserve">incident </w:t>
      </w:r>
      <w:r w:rsidR="00285DF3" w:rsidRPr="00D75223">
        <w:rPr>
          <w:rFonts w:ascii="Arial" w:eastAsia="Calibri" w:hAnsi="Arial" w:cs="Arial"/>
          <w:sz w:val="24"/>
          <w:szCs w:val="24"/>
        </w:rPr>
        <w:t>analysis re</w:t>
      </w:r>
      <w:r w:rsidR="0082307E" w:rsidRPr="00D75223">
        <w:rPr>
          <w:rFonts w:ascii="Arial" w:eastAsia="Calibri" w:hAnsi="Arial" w:cs="Arial"/>
          <w:sz w:val="24"/>
          <w:szCs w:val="24"/>
        </w:rPr>
        <w:t>ports</w:t>
      </w:r>
      <w:r w:rsidR="00671B21" w:rsidRPr="00D75223">
        <w:rPr>
          <w:rFonts w:ascii="Arial" w:eastAsia="Calibri" w:hAnsi="Arial" w:cs="Arial"/>
          <w:sz w:val="24"/>
          <w:szCs w:val="24"/>
        </w:rPr>
        <w:t xml:space="preserve"> review</w:t>
      </w:r>
      <w:r w:rsidR="006C3B16" w:rsidRPr="00D75223">
        <w:rPr>
          <w:rFonts w:ascii="Arial" w:eastAsia="Calibri" w:hAnsi="Arial" w:cs="Arial"/>
          <w:sz w:val="24"/>
          <w:szCs w:val="24"/>
        </w:rPr>
        <w:t xml:space="preserve"> </w:t>
      </w:r>
      <w:r w:rsidR="00923CF4" w:rsidRPr="00D75223">
        <w:rPr>
          <w:rFonts w:ascii="Arial" w:eastAsia="Calibri" w:hAnsi="Arial" w:cs="Arial"/>
          <w:sz w:val="24"/>
          <w:szCs w:val="24"/>
        </w:rPr>
        <w:t xml:space="preserve">response </w:t>
      </w:r>
      <w:r w:rsidR="00CB0205" w:rsidRPr="00D75223">
        <w:rPr>
          <w:rFonts w:ascii="Arial" w:eastAsia="Calibri" w:hAnsi="Arial" w:cs="Arial"/>
          <w:sz w:val="24"/>
          <w:szCs w:val="24"/>
        </w:rPr>
        <w:t>effectiveness an</w:t>
      </w:r>
      <w:r w:rsidR="00E26021" w:rsidRPr="00D75223">
        <w:rPr>
          <w:rFonts w:ascii="Arial" w:eastAsia="Calibri" w:hAnsi="Arial" w:cs="Arial"/>
          <w:sz w:val="24"/>
          <w:szCs w:val="24"/>
        </w:rPr>
        <w:t xml:space="preserve">d outcomes of </w:t>
      </w:r>
      <w:r w:rsidR="00457668" w:rsidRPr="00D75223">
        <w:rPr>
          <w:rFonts w:ascii="Arial" w:eastAsia="Calibri" w:hAnsi="Arial" w:cs="Arial"/>
          <w:sz w:val="24"/>
          <w:szCs w:val="24"/>
        </w:rPr>
        <w:t xml:space="preserve">emergency </w:t>
      </w:r>
      <w:r w:rsidR="00A45D8A" w:rsidRPr="00D75223">
        <w:rPr>
          <w:rFonts w:ascii="Arial" w:eastAsia="Calibri" w:hAnsi="Arial" w:cs="Arial"/>
          <w:sz w:val="24"/>
          <w:szCs w:val="24"/>
        </w:rPr>
        <w:t xml:space="preserve">response. </w:t>
      </w:r>
      <w:r w:rsidR="009566B8" w:rsidRPr="00D75223">
        <w:rPr>
          <w:rFonts w:ascii="Arial" w:eastAsia="Calibri" w:hAnsi="Arial" w:cs="Arial"/>
          <w:sz w:val="24"/>
          <w:szCs w:val="24"/>
        </w:rPr>
        <w:t xml:space="preserve">Quality </w:t>
      </w:r>
      <w:r w:rsidR="001C3FB3" w:rsidRPr="00D75223">
        <w:rPr>
          <w:rFonts w:ascii="Arial" w:eastAsia="Calibri" w:hAnsi="Arial" w:cs="Arial"/>
          <w:sz w:val="24"/>
          <w:szCs w:val="24"/>
        </w:rPr>
        <w:t>assessm</w:t>
      </w:r>
      <w:r w:rsidR="00387EC7" w:rsidRPr="00D75223">
        <w:rPr>
          <w:rFonts w:ascii="Arial" w:eastAsia="Calibri" w:hAnsi="Arial" w:cs="Arial"/>
          <w:sz w:val="24"/>
          <w:szCs w:val="24"/>
        </w:rPr>
        <w:t>ent</w:t>
      </w:r>
      <w:r w:rsidR="0068728E" w:rsidRPr="00D75223">
        <w:rPr>
          <w:rFonts w:ascii="Arial" w:eastAsia="Calibri" w:hAnsi="Arial" w:cs="Arial"/>
          <w:sz w:val="24"/>
          <w:szCs w:val="24"/>
        </w:rPr>
        <w:t xml:space="preserve"> of training </w:t>
      </w:r>
      <w:r w:rsidR="00371C5F" w:rsidRPr="00D75223">
        <w:rPr>
          <w:rFonts w:ascii="Arial" w:eastAsia="Calibri" w:hAnsi="Arial" w:cs="Arial"/>
          <w:sz w:val="24"/>
          <w:szCs w:val="24"/>
        </w:rPr>
        <w:t>program</w:t>
      </w:r>
      <w:r>
        <w:rPr>
          <w:rFonts w:ascii="Arial" w:eastAsia="Calibri" w:hAnsi="Arial" w:cs="Arial"/>
          <w:sz w:val="24"/>
          <w:szCs w:val="24"/>
        </w:rPr>
        <w:t>me</w:t>
      </w:r>
      <w:r w:rsidR="00AB3686" w:rsidRPr="00D75223">
        <w:rPr>
          <w:rFonts w:ascii="Arial" w:eastAsia="Calibri" w:hAnsi="Arial" w:cs="Arial"/>
          <w:sz w:val="24"/>
          <w:szCs w:val="24"/>
        </w:rPr>
        <w:t>s</w:t>
      </w:r>
      <w:r>
        <w:rPr>
          <w:rFonts w:ascii="Arial" w:eastAsia="Calibri" w:hAnsi="Arial" w:cs="Arial"/>
          <w:sz w:val="24"/>
          <w:szCs w:val="24"/>
        </w:rPr>
        <w:t xml:space="preserve"> is conducted t</w:t>
      </w:r>
      <w:r w:rsidR="00AB3686" w:rsidRPr="00D75223">
        <w:rPr>
          <w:rFonts w:ascii="Arial" w:eastAsia="Calibri" w:hAnsi="Arial" w:cs="Arial"/>
          <w:sz w:val="24"/>
          <w:szCs w:val="24"/>
        </w:rPr>
        <w:t>hr</w:t>
      </w:r>
      <w:r w:rsidR="00A019AC" w:rsidRPr="00D75223">
        <w:rPr>
          <w:rFonts w:ascii="Arial" w:eastAsia="Calibri" w:hAnsi="Arial" w:cs="Arial"/>
          <w:sz w:val="24"/>
          <w:szCs w:val="24"/>
        </w:rPr>
        <w:t xml:space="preserve">ough </w:t>
      </w:r>
      <w:r w:rsidR="00B23E9C" w:rsidRPr="00D75223">
        <w:rPr>
          <w:rFonts w:ascii="Arial" w:eastAsia="Calibri" w:hAnsi="Arial" w:cs="Arial"/>
          <w:sz w:val="24"/>
          <w:szCs w:val="24"/>
        </w:rPr>
        <w:t>evaluation</w:t>
      </w:r>
      <w:r>
        <w:rPr>
          <w:rFonts w:ascii="Arial" w:eastAsia="Calibri" w:hAnsi="Arial" w:cs="Arial"/>
          <w:sz w:val="24"/>
          <w:szCs w:val="24"/>
        </w:rPr>
        <w:t xml:space="preserve"> </w:t>
      </w:r>
      <w:r w:rsidR="00B23E9C" w:rsidRPr="00D75223">
        <w:rPr>
          <w:rFonts w:ascii="Arial" w:eastAsia="Calibri" w:hAnsi="Arial" w:cs="Arial"/>
          <w:sz w:val="24"/>
          <w:szCs w:val="24"/>
        </w:rPr>
        <w:t>and fee</w:t>
      </w:r>
      <w:r w:rsidR="0027015F" w:rsidRPr="00D75223">
        <w:rPr>
          <w:rFonts w:ascii="Arial" w:eastAsia="Calibri" w:hAnsi="Arial" w:cs="Arial"/>
          <w:sz w:val="24"/>
          <w:szCs w:val="24"/>
        </w:rPr>
        <w:t xml:space="preserve">dback from </w:t>
      </w:r>
      <w:r w:rsidR="007C19FE" w:rsidRPr="00D75223">
        <w:rPr>
          <w:rFonts w:ascii="Arial" w:eastAsia="Calibri" w:hAnsi="Arial" w:cs="Arial"/>
          <w:sz w:val="24"/>
          <w:szCs w:val="24"/>
        </w:rPr>
        <w:t>participants</w:t>
      </w:r>
      <w:r w:rsidR="00397173" w:rsidRPr="00D75223">
        <w:rPr>
          <w:rFonts w:ascii="Arial" w:eastAsia="Calibri" w:hAnsi="Arial" w:cs="Arial"/>
          <w:sz w:val="24"/>
          <w:szCs w:val="24"/>
        </w:rPr>
        <w:t xml:space="preserve">. </w:t>
      </w:r>
      <w:r w:rsidR="00F504F0" w:rsidRPr="00D75223">
        <w:rPr>
          <w:rFonts w:ascii="Arial" w:eastAsia="Calibri" w:hAnsi="Arial" w:cs="Arial"/>
          <w:sz w:val="24"/>
          <w:szCs w:val="24"/>
        </w:rPr>
        <w:t>Community fe</w:t>
      </w:r>
      <w:r w:rsidR="00F04045" w:rsidRPr="00D75223">
        <w:rPr>
          <w:rFonts w:ascii="Arial" w:eastAsia="Calibri" w:hAnsi="Arial" w:cs="Arial"/>
          <w:sz w:val="24"/>
          <w:szCs w:val="24"/>
        </w:rPr>
        <w:t xml:space="preserve">edback </w:t>
      </w:r>
      <w:r w:rsidR="00735853" w:rsidRPr="00D75223">
        <w:rPr>
          <w:rFonts w:ascii="Arial" w:eastAsia="Calibri" w:hAnsi="Arial" w:cs="Arial"/>
          <w:sz w:val="24"/>
          <w:szCs w:val="24"/>
        </w:rPr>
        <w:t xml:space="preserve">mechanisms </w:t>
      </w:r>
      <w:r w:rsidR="00B60637" w:rsidRPr="00D75223">
        <w:rPr>
          <w:rFonts w:ascii="Arial" w:eastAsia="Calibri" w:hAnsi="Arial" w:cs="Arial"/>
          <w:sz w:val="24"/>
          <w:szCs w:val="24"/>
        </w:rPr>
        <w:t xml:space="preserve">assess </w:t>
      </w:r>
      <w:r w:rsidR="0035257B" w:rsidRPr="00D75223">
        <w:rPr>
          <w:rFonts w:ascii="Arial" w:eastAsia="Calibri" w:hAnsi="Arial" w:cs="Arial"/>
          <w:sz w:val="24"/>
          <w:szCs w:val="24"/>
        </w:rPr>
        <w:t xml:space="preserve">the impact </w:t>
      </w:r>
      <w:r w:rsidR="005C5BE0" w:rsidRPr="00D75223">
        <w:rPr>
          <w:rFonts w:ascii="Arial" w:eastAsia="Calibri" w:hAnsi="Arial" w:cs="Arial"/>
          <w:sz w:val="24"/>
          <w:szCs w:val="24"/>
        </w:rPr>
        <w:t>of fire</w:t>
      </w:r>
      <w:r w:rsidR="00C65C5C" w:rsidRPr="00D75223">
        <w:rPr>
          <w:rFonts w:ascii="Arial" w:eastAsia="Calibri" w:hAnsi="Arial" w:cs="Arial"/>
          <w:sz w:val="24"/>
          <w:szCs w:val="24"/>
        </w:rPr>
        <w:t xml:space="preserve"> </w:t>
      </w:r>
      <w:r w:rsidR="00D34695" w:rsidRPr="00D75223">
        <w:rPr>
          <w:rFonts w:ascii="Arial" w:eastAsia="Calibri" w:hAnsi="Arial" w:cs="Arial"/>
          <w:sz w:val="24"/>
          <w:szCs w:val="24"/>
        </w:rPr>
        <w:t>prevention</w:t>
      </w:r>
      <w:r w:rsidR="00C65C5C" w:rsidRPr="00D75223">
        <w:rPr>
          <w:rFonts w:ascii="Arial" w:eastAsia="Calibri" w:hAnsi="Arial" w:cs="Arial"/>
          <w:sz w:val="24"/>
          <w:szCs w:val="24"/>
        </w:rPr>
        <w:t xml:space="preserve"> an</w:t>
      </w:r>
      <w:r w:rsidR="00202E74" w:rsidRPr="00D75223">
        <w:rPr>
          <w:rFonts w:ascii="Arial" w:eastAsia="Calibri" w:hAnsi="Arial" w:cs="Arial"/>
          <w:sz w:val="24"/>
          <w:szCs w:val="24"/>
        </w:rPr>
        <w:t>d protecti</w:t>
      </w:r>
      <w:r w:rsidR="00F54435" w:rsidRPr="00D75223">
        <w:rPr>
          <w:rFonts w:ascii="Arial" w:eastAsia="Calibri" w:hAnsi="Arial" w:cs="Arial"/>
          <w:sz w:val="24"/>
          <w:szCs w:val="24"/>
        </w:rPr>
        <w:t xml:space="preserve">on </w:t>
      </w:r>
      <w:r w:rsidR="00DD0BF9" w:rsidRPr="00D75223">
        <w:rPr>
          <w:rFonts w:ascii="Arial" w:eastAsia="Calibri" w:hAnsi="Arial" w:cs="Arial"/>
          <w:sz w:val="24"/>
          <w:szCs w:val="24"/>
        </w:rPr>
        <w:t>activities</w:t>
      </w:r>
      <w:r>
        <w:rPr>
          <w:rFonts w:ascii="Arial" w:eastAsia="Calibri" w:hAnsi="Arial" w:cs="Arial"/>
          <w:sz w:val="24"/>
          <w:szCs w:val="24"/>
        </w:rPr>
        <w:t>.</w:t>
      </w:r>
    </w:p>
    <w:p w14:paraId="7538D832" w14:textId="075BB09C" w:rsidR="005F202A" w:rsidRPr="00D75223" w:rsidRDefault="001D4FFD" w:rsidP="004A4D56">
      <w:pPr>
        <w:rPr>
          <w:rFonts w:ascii="Arial" w:eastAsia="Calibri" w:hAnsi="Arial" w:cs="Arial"/>
          <w:sz w:val="24"/>
          <w:szCs w:val="24"/>
        </w:rPr>
      </w:pPr>
      <w:r w:rsidRPr="00D75223">
        <w:rPr>
          <w:rFonts w:ascii="Arial" w:eastAsia="Calibri" w:hAnsi="Arial" w:cs="Arial"/>
          <w:sz w:val="24"/>
          <w:szCs w:val="24"/>
        </w:rPr>
        <w:t xml:space="preserve">There </w:t>
      </w:r>
      <w:r w:rsidR="00A549E7" w:rsidRPr="00D75223">
        <w:rPr>
          <w:rFonts w:ascii="Arial" w:eastAsia="Calibri" w:hAnsi="Arial" w:cs="Arial"/>
          <w:sz w:val="24"/>
          <w:szCs w:val="24"/>
        </w:rPr>
        <w:t>will be a s</w:t>
      </w:r>
      <w:r w:rsidR="00541CCC" w:rsidRPr="00D75223">
        <w:rPr>
          <w:rFonts w:ascii="Arial" w:eastAsia="Calibri" w:hAnsi="Arial" w:cs="Arial"/>
          <w:sz w:val="24"/>
          <w:szCs w:val="24"/>
        </w:rPr>
        <w:t>tudy to l</w:t>
      </w:r>
      <w:r w:rsidR="00D51114" w:rsidRPr="00D75223">
        <w:rPr>
          <w:rFonts w:ascii="Arial" w:eastAsia="Calibri" w:hAnsi="Arial" w:cs="Arial"/>
          <w:sz w:val="24"/>
          <w:szCs w:val="24"/>
        </w:rPr>
        <w:t xml:space="preserve">ook at </w:t>
      </w:r>
      <w:r w:rsidR="00D53ABE" w:rsidRPr="00D75223">
        <w:rPr>
          <w:rFonts w:ascii="Arial" w:eastAsia="Calibri" w:hAnsi="Arial" w:cs="Arial"/>
          <w:sz w:val="24"/>
          <w:szCs w:val="24"/>
        </w:rPr>
        <w:t xml:space="preserve">activity of </w:t>
      </w:r>
      <w:r w:rsidR="00242A42" w:rsidRPr="00D75223">
        <w:rPr>
          <w:rFonts w:ascii="Arial" w:eastAsia="Calibri" w:hAnsi="Arial" w:cs="Arial"/>
          <w:sz w:val="24"/>
          <w:szCs w:val="24"/>
        </w:rPr>
        <w:t xml:space="preserve">operational staff </w:t>
      </w:r>
      <w:r w:rsidR="008D3B07">
        <w:rPr>
          <w:rFonts w:ascii="Arial" w:eastAsia="Calibri" w:hAnsi="Arial" w:cs="Arial"/>
          <w:sz w:val="24"/>
          <w:szCs w:val="24"/>
        </w:rPr>
        <w:t>which</w:t>
      </w:r>
      <w:r w:rsidR="00F17A02" w:rsidRPr="00D75223">
        <w:rPr>
          <w:rFonts w:ascii="Arial" w:eastAsia="Calibri" w:hAnsi="Arial" w:cs="Arial"/>
          <w:sz w:val="24"/>
          <w:szCs w:val="24"/>
        </w:rPr>
        <w:t xml:space="preserve"> will highli</w:t>
      </w:r>
      <w:r w:rsidR="005949A0" w:rsidRPr="00D75223">
        <w:rPr>
          <w:rFonts w:ascii="Arial" w:eastAsia="Calibri" w:hAnsi="Arial" w:cs="Arial"/>
          <w:sz w:val="24"/>
          <w:szCs w:val="24"/>
        </w:rPr>
        <w:t>ght area</w:t>
      </w:r>
      <w:r w:rsidR="000143BF" w:rsidRPr="00D75223">
        <w:rPr>
          <w:rFonts w:ascii="Arial" w:eastAsia="Calibri" w:hAnsi="Arial" w:cs="Arial"/>
          <w:sz w:val="24"/>
          <w:szCs w:val="24"/>
        </w:rPr>
        <w:t xml:space="preserve">s for </w:t>
      </w:r>
      <w:r w:rsidR="000E22AF" w:rsidRPr="00D75223">
        <w:rPr>
          <w:rFonts w:ascii="Arial" w:eastAsia="Calibri" w:hAnsi="Arial" w:cs="Arial"/>
          <w:sz w:val="24"/>
          <w:szCs w:val="24"/>
        </w:rPr>
        <w:t xml:space="preserve">efficiency and </w:t>
      </w:r>
      <w:r w:rsidR="00CC06E7" w:rsidRPr="00D75223">
        <w:rPr>
          <w:rFonts w:ascii="Arial" w:eastAsia="Calibri" w:hAnsi="Arial" w:cs="Arial"/>
          <w:sz w:val="24"/>
          <w:szCs w:val="24"/>
        </w:rPr>
        <w:t>performance ac</w:t>
      </w:r>
      <w:r w:rsidR="00475415" w:rsidRPr="00D75223">
        <w:rPr>
          <w:rFonts w:ascii="Arial" w:eastAsia="Calibri" w:hAnsi="Arial" w:cs="Arial"/>
          <w:sz w:val="24"/>
          <w:szCs w:val="24"/>
        </w:rPr>
        <w:t xml:space="preserve">ross </w:t>
      </w:r>
      <w:r w:rsidR="00A01FBE" w:rsidRPr="00D75223">
        <w:rPr>
          <w:rFonts w:ascii="Arial" w:eastAsia="Calibri" w:hAnsi="Arial" w:cs="Arial"/>
          <w:sz w:val="24"/>
          <w:szCs w:val="24"/>
        </w:rPr>
        <w:t xml:space="preserve">service </w:t>
      </w:r>
      <w:r w:rsidR="008420B8" w:rsidRPr="00D75223">
        <w:rPr>
          <w:rFonts w:ascii="Arial" w:eastAsia="Calibri" w:hAnsi="Arial" w:cs="Arial"/>
          <w:sz w:val="24"/>
          <w:szCs w:val="24"/>
        </w:rPr>
        <w:t>delivery</w:t>
      </w:r>
      <w:r w:rsidR="00EB3AC3" w:rsidRPr="00D75223">
        <w:rPr>
          <w:rFonts w:ascii="Arial" w:eastAsia="Calibri" w:hAnsi="Arial" w:cs="Arial"/>
          <w:sz w:val="24"/>
          <w:szCs w:val="24"/>
        </w:rPr>
        <w:t xml:space="preserve">. </w:t>
      </w:r>
      <w:r w:rsidR="00286709" w:rsidRPr="00D75223">
        <w:rPr>
          <w:rFonts w:ascii="Arial" w:eastAsia="Calibri" w:hAnsi="Arial" w:cs="Arial"/>
          <w:sz w:val="24"/>
          <w:szCs w:val="24"/>
        </w:rPr>
        <w:t>At the s</w:t>
      </w:r>
      <w:r w:rsidR="009D0B6A" w:rsidRPr="00D75223">
        <w:rPr>
          <w:rFonts w:ascii="Arial" w:eastAsia="Calibri" w:hAnsi="Arial" w:cs="Arial"/>
          <w:sz w:val="24"/>
          <w:szCs w:val="24"/>
        </w:rPr>
        <w:t>am</w:t>
      </w:r>
      <w:r w:rsidR="00682CAB" w:rsidRPr="00D75223">
        <w:rPr>
          <w:rFonts w:ascii="Arial" w:eastAsia="Calibri" w:hAnsi="Arial" w:cs="Arial"/>
          <w:sz w:val="24"/>
          <w:szCs w:val="24"/>
        </w:rPr>
        <w:t>e</w:t>
      </w:r>
      <w:r w:rsidR="009D0B6A" w:rsidRPr="00D75223">
        <w:rPr>
          <w:rFonts w:ascii="Arial" w:eastAsia="Calibri" w:hAnsi="Arial" w:cs="Arial"/>
          <w:sz w:val="24"/>
          <w:szCs w:val="24"/>
        </w:rPr>
        <w:t xml:space="preserve"> time</w:t>
      </w:r>
      <w:r w:rsidR="008D3B07">
        <w:rPr>
          <w:rFonts w:ascii="Arial" w:eastAsia="Calibri" w:hAnsi="Arial" w:cs="Arial"/>
          <w:sz w:val="24"/>
          <w:szCs w:val="24"/>
        </w:rPr>
        <w:t>, p</w:t>
      </w:r>
      <w:r w:rsidR="00C05213" w:rsidRPr="00D75223">
        <w:rPr>
          <w:rFonts w:ascii="Arial" w:eastAsia="Calibri" w:hAnsi="Arial" w:cs="Arial"/>
          <w:sz w:val="24"/>
          <w:szCs w:val="24"/>
        </w:rPr>
        <w:t>r</w:t>
      </w:r>
      <w:r w:rsidR="0029674E" w:rsidRPr="00D75223">
        <w:rPr>
          <w:rFonts w:ascii="Arial" w:eastAsia="Calibri" w:hAnsi="Arial" w:cs="Arial"/>
          <w:sz w:val="24"/>
          <w:szCs w:val="24"/>
        </w:rPr>
        <w:t xml:space="preserve">evention will </w:t>
      </w:r>
      <w:r w:rsidR="009D0B6A" w:rsidRPr="00D75223">
        <w:rPr>
          <w:rFonts w:ascii="Arial" w:eastAsia="Calibri" w:hAnsi="Arial" w:cs="Arial"/>
          <w:sz w:val="24"/>
          <w:szCs w:val="24"/>
        </w:rPr>
        <w:t>be re</w:t>
      </w:r>
      <w:r w:rsidR="001F6F9E" w:rsidRPr="00D75223">
        <w:rPr>
          <w:rFonts w:ascii="Arial" w:eastAsia="Calibri" w:hAnsi="Arial" w:cs="Arial"/>
          <w:sz w:val="24"/>
          <w:szCs w:val="24"/>
        </w:rPr>
        <w:t>structure</w:t>
      </w:r>
      <w:r w:rsidR="00E33EA6" w:rsidRPr="00D75223">
        <w:rPr>
          <w:rFonts w:ascii="Arial" w:eastAsia="Calibri" w:hAnsi="Arial" w:cs="Arial"/>
          <w:sz w:val="24"/>
          <w:szCs w:val="24"/>
        </w:rPr>
        <w:t>d to</w:t>
      </w:r>
      <w:r w:rsidR="006D3F99" w:rsidRPr="00D75223">
        <w:rPr>
          <w:rFonts w:ascii="Arial" w:eastAsia="Calibri" w:hAnsi="Arial" w:cs="Arial"/>
          <w:sz w:val="24"/>
          <w:szCs w:val="24"/>
        </w:rPr>
        <w:t xml:space="preserve"> </w:t>
      </w:r>
      <w:r w:rsidR="00420AAD" w:rsidRPr="00D75223">
        <w:rPr>
          <w:rFonts w:ascii="Arial" w:eastAsia="Calibri" w:hAnsi="Arial" w:cs="Arial"/>
          <w:sz w:val="24"/>
          <w:szCs w:val="24"/>
        </w:rPr>
        <w:t xml:space="preserve">ensure that </w:t>
      </w:r>
      <w:r w:rsidR="00B470E6" w:rsidRPr="00D75223">
        <w:rPr>
          <w:rFonts w:ascii="Arial" w:eastAsia="Calibri" w:hAnsi="Arial" w:cs="Arial"/>
          <w:sz w:val="24"/>
          <w:szCs w:val="24"/>
        </w:rPr>
        <w:t xml:space="preserve">as a </w:t>
      </w:r>
      <w:r w:rsidR="00434C65" w:rsidRPr="00D75223">
        <w:rPr>
          <w:rFonts w:ascii="Arial" w:eastAsia="Calibri" w:hAnsi="Arial" w:cs="Arial"/>
          <w:sz w:val="24"/>
          <w:szCs w:val="24"/>
        </w:rPr>
        <w:t>service we ar</w:t>
      </w:r>
      <w:r w:rsidR="00645725" w:rsidRPr="00D75223">
        <w:rPr>
          <w:rFonts w:ascii="Arial" w:eastAsia="Calibri" w:hAnsi="Arial" w:cs="Arial"/>
          <w:sz w:val="24"/>
          <w:szCs w:val="24"/>
        </w:rPr>
        <w:t xml:space="preserve">e </w:t>
      </w:r>
      <w:r w:rsidR="00B60B1A" w:rsidRPr="00D75223">
        <w:rPr>
          <w:rFonts w:ascii="Arial" w:eastAsia="Calibri" w:hAnsi="Arial" w:cs="Arial"/>
          <w:sz w:val="24"/>
          <w:szCs w:val="24"/>
        </w:rPr>
        <w:t xml:space="preserve">targeting the </w:t>
      </w:r>
      <w:r w:rsidR="000E0B48" w:rsidRPr="00D75223">
        <w:rPr>
          <w:rFonts w:ascii="Arial" w:eastAsia="Calibri" w:hAnsi="Arial" w:cs="Arial"/>
          <w:sz w:val="24"/>
          <w:szCs w:val="24"/>
        </w:rPr>
        <w:t>most vulnerable</w:t>
      </w:r>
      <w:r w:rsidR="00B157F3" w:rsidRPr="00D75223">
        <w:rPr>
          <w:rFonts w:ascii="Arial" w:eastAsia="Calibri" w:hAnsi="Arial" w:cs="Arial"/>
          <w:sz w:val="24"/>
          <w:szCs w:val="24"/>
        </w:rPr>
        <w:t xml:space="preserve"> </w:t>
      </w:r>
      <w:r w:rsidR="00C12C19" w:rsidRPr="00D75223">
        <w:rPr>
          <w:rFonts w:ascii="Arial" w:eastAsia="Calibri" w:hAnsi="Arial" w:cs="Arial"/>
          <w:sz w:val="24"/>
          <w:szCs w:val="24"/>
        </w:rPr>
        <w:t xml:space="preserve">people in the </w:t>
      </w:r>
      <w:r w:rsidR="00CF3D8C" w:rsidRPr="00D75223">
        <w:rPr>
          <w:rFonts w:ascii="Arial" w:eastAsia="Calibri" w:hAnsi="Arial" w:cs="Arial"/>
          <w:sz w:val="24"/>
          <w:szCs w:val="24"/>
        </w:rPr>
        <w:t>community</w:t>
      </w:r>
      <w:r w:rsidR="008D3B07">
        <w:rPr>
          <w:rFonts w:ascii="Arial" w:eastAsia="Calibri" w:hAnsi="Arial" w:cs="Arial"/>
          <w:sz w:val="24"/>
          <w:szCs w:val="24"/>
        </w:rPr>
        <w:t>, and w</w:t>
      </w:r>
      <w:r w:rsidR="006645FC" w:rsidRPr="00D75223">
        <w:rPr>
          <w:rFonts w:ascii="Arial" w:eastAsia="Calibri" w:hAnsi="Arial" w:cs="Arial"/>
          <w:sz w:val="24"/>
          <w:szCs w:val="24"/>
        </w:rPr>
        <w:t>e wo</w:t>
      </w:r>
      <w:r w:rsidR="00D90741" w:rsidRPr="00D75223">
        <w:rPr>
          <w:rFonts w:ascii="Arial" w:eastAsia="Calibri" w:hAnsi="Arial" w:cs="Arial"/>
          <w:sz w:val="24"/>
          <w:szCs w:val="24"/>
        </w:rPr>
        <w:t xml:space="preserve">rk </w:t>
      </w:r>
      <w:r w:rsidR="008D3B07">
        <w:rPr>
          <w:rFonts w:ascii="Arial" w:eastAsia="Calibri" w:hAnsi="Arial" w:cs="Arial"/>
          <w:sz w:val="24"/>
          <w:szCs w:val="24"/>
        </w:rPr>
        <w:t>effectively</w:t>
      </w:r>
      <w:r w:rsidR="00D90741" w:rsidRPr="00D75223">
        <w:rPr>
          <w:rFonts w:ascii="Arial" w:eastAsia="Calibri" w:hAnsi="Arial" w:cs="Arial"/>
          <w:sz w:val="24"/>
          <w:szCs w:val="24"/>
        </w:rPr>
        <w:t xml:space="preserve"> with </w:t>
      </w:r>
      <w:r w:rsidR="000922C4" w:rsidRPr="00D75223">
        <w:rPr>
          <w:rFonts w:ascii="Arial" w:eastAsia="Calibri" w:hAnsi="Arial" w:cs="Arial"/>
          <w:sz w:val="24"/>
          <w:szCs w:val="24"/>
        </w:rPr>
        <w:t>partners</w:t>
      </w:r>
      <w:r w:rsidR="00AC546F" w:rsidRPr="00D75223">
        <w:rPr>
          <w:rFonts w:ascii="Arial" w:eastAsia="Calibri" w:hAnsi="Arial" w:cs="Arial"/>
          <w:sz w:val="24"/>
          <w:szCs w:val="24"/>
        </w:rPr>
        <w:t xml:space="preserve"> t</w:t>
      </w:r>
      <w:r w:rsidR="00AE6A0D" w:rsidRPr="00D75223">
        <w:rPr>
          <w:rFonts w:ascii="Arial" w:eastAsia="Calibri" w:hAnsi="Arial" w:cs="Arial"/>
          <w:sz w:val="24"/>
          <w:szCs w:val="24"/>
        </w:rPr>
        <w:t>o fi</w:t>
      </w:r>
      <w:r w:rsidR="00422240" w:rsidRPr="00D75223">
        <w:rPr>
          <w:rFonts w:ascii="Arial" w:eastAsia="Calibri" w:hAnsi="Arial" w:cs="Arial"/>
          <w:sz w:val="24"/>
          <w:szCs w:val="24"/>
        </w:rPr>
        <w:t xml:space="preserve">nd </w:t>
      </w:r>
      <w:r w:rsidR="00415F00" w:rsidRPr="00D75223">
        <w:rPr>
          <w:rFonts w:ascii="Arial" w:eastAsia="Calibri" w:hAnsi="Arial" w:cs="Arial"/>
          <w:sz w:val="24"/>
          <w:szCs w:val="24"/>
        </w:rPr>
        <w:t xml:space="preserve">the </w:t>
      </w:r>
      <w:r w:rsidR="009917B7" w:rsidRPr="00D75223">
        <w:rPr>
          <w:rFonts w:ascii="Arial" w:eastAsia="Calibri" w:hAnsi="Arial" w:cs="Arial"/>
          <w:sz w:val="24"/>
          <w:szCs w:val="24"/>
        </w:rPr>
        <w:t xml:space="preserve">best ways </w:t>
      </w:r>
      <w:r w:rsidR="00BE4A4A" w:rsidRPr="00D75223">
        <w:rPr>
          <w:rFonts w:ascii="Arial" w:eastAsia="Calibri" w:hAnsi="Arial" w:cs="Arial"/>
          <w:sz w:val="24"/>
          <w:szCs w:val="24"/>
        </w:rPr>
        <w:t xml:space="preserve">to create </w:t>
      </w:r>
      <w:r w:rsidR="002E1C93" w:rsidRPr="00D75223">
        <w:rPr>
          <w:rFonts w:ascii="Arial" w:eastAsia="Calibri" w:hAnsi="Arial" w:cs="Arial"/>
          <w:sz w:val="24"/>
          <w:szCs w:val="24"/>
        </w:rPr>
        <w:t xml:space="preserve">new </w:t>
      </w:r>
      <w:r w:rsidR="001750F9" w:rsidRPr="00D75223">
        <w:rPr>
          <w:rFonts w:ascii="Arial" w:eastAsia="Calibri" w:hAnsi="Arial" w:cs="Arial"/>
          <w:sz w:val="24"/>
          <w:szCs w:val="24"/>
        </w:rPr>
        <w:t xml:space="preserve">opportunities to </w:t>
      </w:r>
      <w:r w:rsidR="001A7CCD" w:rsidRPr="00D75223">
        <w:rPr>
          <w:rFonts w:ascii="Arial" w:eastAsia="Calibri" w:hAnsi="Arial" w:cs="Arial"/>
          <w:sz w:val="24"/>
          <w:szCs w:val="24"/>
        </w:rPr>
        <w:t>so</w:t>
      </w:r>
      <w:r w:rsidR="0011556D" w:rsidRPr="00D75223">
        <w:rPr>
          <w:rFonts w:ascii="Arial" w:eastAsia="Calibri" w:hAnsi="Arial" w:cs="Arial"/>
          <w:sz w:val="24"/>
          <w:szCs w:val="24"/>
        </w:rPr>
        <w:t>urce data an</w:t>
      </w:r>
      <w:r w:rsidR="00904255" w:rsidRPr="00D75223">
        <w:rPr>
          <w:rFonts w:ascii="Arial" w:eastAsia="Calibri" w:hAnsi="Arial" w:cs="Arial"/>
          <w:sz w:val="24"/>
          <w:szCs w:val="24"/>
        </w:rPr>
        <w:t xml:space="preserve">d </w:t>
      </w:r>
      <w:r w:rsidR="00973E12" w:rsidRPr="00D75223">
        <w:rPr>
          <w:rFonts w:ascii="Arial" w:eastAsia="Calibri" w:hAnsi="Arial" w:cs="Arial"/>
          <w:sz w:val="24"/>
          <w:szCs w:val="24"/>
        </w:rPr>
        <w:t>partnerships</w:t>
      </w:r>
      <w:r w:rsidR="00B537DC" w:rsidRPr="00D75223">
        <w:rPr>
          <w:rFonts w:ascii="Arial" w:eastAsia="Calibri" w:hAnsi="Arial" w:cs="Arial"/>
          <w:sz w:val="24"/>
          <w:szCs w:val="24"/>
        </w:rPr>
        <w:t xml:space="preserve">. </w:t>
      </w:r>
      <w:r w:rsidR="004A585F" w:rsidRPr="00D75223">
        <w:rPr>
          <w:rFonts w:ascii="Arial" w:eastAsia="Calibri" w:hAnsi="Arial" w:cs="Arial"/>
          <w:sz w:val="24"/>
          <w:szCs w:val="24"/>
        </w:rPr>
        <w:t xml:space="preserve">This will be </w:t>
      </w:r>
      <w:r w:rsidR="0034299B" w:rsidRPr="00D75223">
        <w:rPr>
          <w:rFonts w:ascii="Arial" w:eastAsia="Calibri" w:hAnsi="Arial" w:cs="Arial"/>
          <w:sz w:val="24"/>
          <w:szCs w:val="24"/>
        </w:rPr>
        <w:t>categorised into c</w:t>
      </w:r>
      <w:r w:rsidR="00994F7D" w:rsidRPr="00D75223">
        <w:rPr>
          <w:rFonts w:ascii="Arial" w:eastAsia="Calibri" w:hAnsi="Arial" w:cs="Arial"/>
          <w:sz w:val="24"/>
          <w:szCs w:val="24"/>
        </w:rPr>
        <w:t xml:space="preserve">lear </w:t>
      </w:r>
      <w:r w:rsidR="00DE29F8" w:rsidRPr="00D75223">
        <w:rPr>
          <w:rFonts w:ascii="Arial" w:eastAsia="Calibri" w:hAnsi="Arial" w:cs="Arial"/>
          <w:sz w:val="24"/>
          <w:szCs w:val="24"/>
        </w:rPr>
        <w:t xml:space="preserve">approaches </w:t>
      </w:r>
      <w:r w:rsidR="006B2204" w:rsidRPr="00D75223">
        <w:rPr>
          <w:rFonts w:ascii="Arial" w:eastAsia="Calibri" w:hAnsi="Arial" w:cs="Arial"/>
          <w:sz w:val="24"/>
          <w:szCs w:val="24"/>
        </w:rPr>
        <w:t>to ensur</w:t>
      </w:r>
      <w:r w:rsidR="00802AF0" w:rsidRPr="00D75223">
        <w:rPr>
          <w:rFonts w:ascii="Arial" w:eastAsia="Calibri" w:hAnsi="Arial" w:cs="Arial"/>
          <w:sz w:val="24"/>
          <w:szCs w:val="24"/>
        </w:rPr>
        <w:t xml:space="preserve">e the right </w:t>
      </w:r>
      <w:r w:rsidR="00E63F3E" w:rsidRPr="00D75223">
        <w:rPr>
          <w:rFonts w:ascii="Arial" w:eastAsia="Calibri" w:hAnsi="Arial" w:cs="Arial"/>
          <w:sz w:val="24"/>
          <w:szCs w:val="24"/>
        </w:rPr>
        <w:t xml:space="preserve">people are </w:t>
      </w:r>
      <w:r w:rsidR="001420BC" w:rsidRPr="00D75223">
        <w:rPr>
          <w:rFonts w:ascii="Arial" w:eastAsia="Calibri" w:hAnsi="Arial" w:cs="Arial"/>
          <w:sz w:val="24"/>
          <w:szCs w:val="24"/>
        </w:rPr>
        <w:t xml:space="preserve">supported </w:t>
      </w:r>
      <w:r w:rsidR="00236D64" w:rsidRPr="00D75223">
        <w:rPr>
          <w:rFonts w:ascii="Arial" w:eastAsia="Calibri" w:hAnsi="Arial" w:cs="Arial"/>
          <w:sz w:val="24"/>
          <w:szCs w:val="24"/>
        </w:rPr>
        <w:t>s</w:t>
      </w:r>
      <w:r w:rsidR="00E60A43" w:rsidRPr="00D75223">
        <w:rPr>
          <w:rFonts w:ascii="Arial" w:eastAsia="Calibri" w:hAnsi="Arial" w:cs="Arial"/>
          <w:sz w:val="24"/>
          <w:szCs w:val="24"/>
        </w:rPr>
        <w:t xml:space="preserve">wiftly and </w:t>
      </w:r>
      <w:r w:rsidR="00F07A52" w:rsidRPr="00D75223">
        <w:rPr>
          <w:rFonts w:ascii="Arial" w:eastAsia="Calibri" w:hAnsi="Arial" w:cs="Arial"/>
          <w:sz w:val="24"/>
          <w:szCs w:val="24"/>
        </w:rPr>
        <w:t xml:space="preserve">effectively. </w:t>
      </w:r>
    </w:p>
    <w:p w14:paraId="6FA306AE" w14:textId="1B8E6668" w:rsidR="00997325" w:rsidRPr="00725AA3" w:rsidRDefault="155DF736" w:rsidP="00845604">
      <w:pPr>
        <w:pStyle w:val="Heading2"/>
        <w:rPr>
          <w:rStyle w:val="normaltextrun"/>
        </w:rPr>
      </w:pPr>
      <w:bookmarkStart w:id="42" w:name="_Toc196988045"/>
      <w:r w:rsidRPr="00725AA3">
        <w:rPr>
          <w:rStyle w:val="normaltextrun"/>
        </w:rPr>
        <w:lastRenderedPageBreak/>
        <w:t xml:space="preserve">Workforce </w:t>
      </w:r>
      <w:r w:rsidR="008D3B07" w:rsidRPr="00725AA3">
        <w:rPr>
          <w:rStyle w:val="normaltextrun"/>
        </w:rPr>
        <w:t>c</w:t>
      </w:r>
      <w:r w:rsidRPr="00725AA3">
        <w:rPr>
          <w:rStyle w:val="normaltextrun"/>
        </w:rPr>
        <w:t>apacity</w:t>
      </w:r>
      <w:bookmarkEnd w:id="42"/>
    </w:p>
    <w:p w14:paraId="6B5C76D9" w14:textId="7C09373C" w:rsidR="3A7AED5C" w:rsidRPr="00D75223" w:rsidRDefault="360F62CE" w:rsidP="004A4D56">
      <w:pPr>
        <w:rPr>
          <w:rFonts w:ascii="Arial" w:hAnsi="Arial" w:cs="Arial"/>
          <w:sz w:val="24"/>
          <w:szCs w:val="24"/>
        </w:rPr>
      </w:pPr>
      <w:r w:rsidRPr="00D75223">
        <w:rPr>
          <w:rFonts w:ascii="Arial" w:hAnsi="Arial" w:cs="Arial"/>
          <w:sz w:val="24"/>
          <w:szCs w:val="24"/>
        </w:rPr>
        <w:t xml:space="preserve">A </w:t>
      </w:r>
      <w:r w:rsidR="40ACE1A1" w:rsidRPr="00D75223">
        <w:rPr>
          <w:rFonts w:ascii="Arial" w:hAnsi="Arial" w:cs="Arial"/>
          <w:sz w:val="24"/>
          <w:szCs w:val="24"/>
        </w:rPr>
        <w:t xml:space="preserve">full </w:t>
      </w:r>
      <w:r w:rsidRPr="00D75223">
        <w:rPr>
          <w:rFonts w:ascii="Arial" w:hAnsi="Arial" w:cs="Arial"/>
          <w:sz w:val="24"/>
          <w:szCs w:val="24"/>
        </w:rPr>
        <w:t>w</w:t>
      </w:r>
      <w:r w:rsidR="5F20A9E1" w:rsidRPr="00D75223">
        <w:rPr>
          <w:rFonts w:ascii="Arial" w:hAnsi="Arial" w:cs="Arial"/>
          <w:sz w:val="24"/>
          <w:szCs w:val="24"/>
        </w:rPr>
        <w:t>orkforce capacity</w:t>
      </w:r>
      <w:r w:rsidR="1795DD04" w:rsidRPr="00D75223">
        <w:rPr>
          <w:rFonts w:ascii="Arial" w:hAnsi="Arial" w:cs="Arial"/>
          <w:sz w:val="24"/>
          <w:szCs w:val="24"/>
        </w:rPr>
        <w:t xml:space="preserve"> review took place </w:t>
      </w:r>
      <w:r w:rsidR="6C3962F4" w:rsidRPr="00D75223">
        <w:rPr>
          <w:rFonts w:ascii="Arial" w:hAnsi="Arial" w:cs="Arial"/>
          <w:sz w:val="24"/>
          <w:szCs w:val="24"/>
        </w:rPr>
        <w:t>in</w:t>
      </w:r>
      <w:r w:rsidR="1795DD04" w:rsidRPr="00D75223">
        <w:rPr>
          <w:rFonts w:ascii="Arial" w:hAnsi="Arial" w:cs="Arial"/>
          <w:sz w:val="24"/>
          <w:szCs w:val="24"/>
        </w:rPr>
        <w:t xml:space="preserve"> 2020</w:t>
      </w:r>
      <w:r w:rsidR="2657C4E3" w:rsidRPr="00D75223">
        <w:rPr>
          <w:rFonts w:ascii="Arial" w:hAnsi="Arial" w:cs="Arial"/>
          <w:sz w:val="24"/>
          <w:szCs w:val="24"/>
        </w:rPr>
        <w:t xml:space="preserve">. </w:t>
      </w:r>
      <w:r w:rsidR="2B87CA02" w:rsidRPr="00D75223">
        <w:rPr>
          <w:rFonts w:ascii="Arial" w:hAnsi="Arial" w:cs="Arial"/>
          <w:sz w:val="24"/>
          <w:szCs w:val="24"/>
        </w:rPr>
        <w:t>L</w:t>
      </w:r>
      <w:r w:rsidR="7FB4E79B" w:rsidRPr="00D75223">
        <w:rPr>
          <w:rFonts w:ascii="Arial" w:hAnsi="Arial" w:cs="Arial"/>
          <w:sz w:val="24"/>
          <w:szCs w:val="24"/>
        </w:rPr>
        <w:t>FRS</w:t>
      </w:r>
      <w:r w:rsidR="2B87CA02" w:rsidRPr="00D75223">
        <w:rPr>
          <w:rFonts w:ascii="Arial" w:hAnsi="Arial" w:cs="Arial"/>
          <w:sz w:val="24"/>
          <w:szCs w:val="24"/>
        </w:rPr>
        <w:t xml:space="preserve"> has taken part in the </w:t>
      </w:r>
      <w:r w:rsidR="377704F8" w:rsidRPr="00D75223">
        <w:rPr>
          <w:rFonts w:ascii="Arial" w:hAnsi="Arial" w:cs="Arial"/>
          <w:sz w:val="24"/>
          <w:szCs w:val="24"/>
        </w:rPr>
        <w:t xml:space="preserve">NFCC </w:t>
      </w:r>
      <w:r w:rsidR="6116A6C8" w:rsidRPr="00D75223">
        <w:rPr>
          <w:rFonts w:ascii="Arial" w:hAnsi="Arial" w:cs="Arial"/>
          <w:sz w:val="24"/>
          <w:szCs w:val="24"/>
        </w:rPr>
        <w:t>f</w:t>
      </w:r>
      <w:r w:rsidR="2B87CA02" w:rsidRPr="00D75223">
        <w:rPr>
          <w:rFonts w:ascii="Arial" w:hAnsi="Arial" w:cs="Arial"/>
          <w:sz w:val="24"/>
          <w:szCs w:val="24"/>
        </w:rPr>
        <w:t>irefighter utilis</w:t>
      </w:r>
      <w:r w:rsidR="66628153" w:rsidRPr="00D75223">
        <w:rPr>
          <w:rFonts w:ascii="Arial" w:hAnsi="Arial" w:cs="Arial"/>
          <w:sz w:val="24"/>
          <w:szCs w:val="24"/>
        </w:rPr>
        <w:t>a</w:t>
      </w:r>
      <w:r w:rsidR="2B87CA02" w:rsidRPr="00D75223">
        <w:rPr>
          <w:rFonts w:ascii="Arial" w:hAnsi="Arial" w:cs="Arial"/>
          <w:sz w:val="24"/>
          <w:szCs w:val="24"/>
        </w:rPr>
        <w:t xml:space="preserve">tion survey </w:t>
      </w:r>
      <w:r w:rsidR="48C701B7" w:rsidRPr="00D75223">
        <w:rPr>
          <w:rFonts w:ascii="Arial" w:hAnsi="Arial" w:cs="Arial"/>
          <w:sz w:val="24"/>
          <w:szCs w:val="24"/>
        </w:rPr>
        <w:t>in 2022 and 2023</w:t>
      </w:r>
      <w:r w:rsidR="6F511D2E" w:rsidRPr="00D75223">
        <w:rPr>
          <w:rFonts w:ascii="Arial" w:hAnsi="Arial" w:cs="Arial"/>
          <w:sz w:val="24"/>
          <w:szCs w:val="24"/>
        </w:rPr>
        <w:t>.</w:t>
      </w:r>
      <w:r w:rsidR="008D3B07">
        <w:rPr>
          <w:rFonts w:ascii="Arial" w:hAnsi="Arial" w:cs="Arial"/>
          <w:sz w:val="24"/>
          <w:szCs w:val="24"/>
        </w:rPr>
        <w:t xml:space="preserve"> </w:t>
      </w:r>
      <w:r w:rsidR="45CB015F" w:rsidRPr="00D75223">
        <w:rPr>
          <w:rFonts w:ascii="Arial" w:hAnsi="Arial" w:cs="Arial"/>
          <w:sz w:val="24"/>
          <w:szCs w:val="24"/>
        </w:rPr>
        <w:t xml:space="preserve">As part of the recent </w:t>
      </w:r>
      <w:r w:rsidR="008D3B07">
        <w:rPr>
          <w:rFonts w:ascii="Arial" w:hAnsi="Arial" w:cs="Arial"/>
          <w:sz w:val="24"/>
          <w:szCs w:val="24"/>
        </w:rPr>
        <w:t>e</w:t>
      </w:r>
      <w:r w:rsidR="45CB015F" w:rsidRPr="00D75223">
        <w:rPr>
          <w:rFonts w:ascii="Arial" w:hAnsi="Arial" w:cs="Arial"/>
          <w:sz w:val="24"/>
          <w:szCs w:val="24"/>
        </w:rPr>
        <w:t xml:space="preserve">mergency </w:t>
      </w:r>
      <w:r w:rsidR="008D3B07">
        <w:rPr>
          <w:rFonts w:ascii="Arial" w:hAnsi="Arial" w:cs="Arial"/>
          <w:sz w:val="24"/>
          <w:szCs w:val="24"/>
        </w:rPr>
        <w:t>c</w:t>
      </w:r>
      <w:r w:rsidR="45CB015F" w:rsidRPr="00D75223">
        <w:rPr>
          <w:rFonts w:ascii="Arial" w:hAnsi="Arial" w:cs="Arial"/>
          <w:sz w:val="24"/>
          <w:szCs w:val="24"/>
        </w:rPr>
        <w:t xml:space="preserve">over </w:t>
      </w:r>
      <w:r w:rsidR="008D3B07">
        <w:rPr>
          <w:rFonts w:ascii="Arial" w:hAnsi="Arial" w:cs="Arial"/>
          <w:sz w:val="24"/>
          <w:szCs w:val="24"/>
        </w:rPr>
        <w:t>r</w:t>
      </w:r>
      <w:r w:rsidR="45CB015F" w:rsidRPr="00D75223">
        <w:rPr>
          <w:rFonts w:ascii="Arial" w:hAnsi="Arial" w:cs="Arial"/>
          <w:sz w:val="24"/>
          <w:szCs w:val="24"/>
        </w:rPr>
        <w:t>eview 2022-25</w:t>
      </w:r>
      <w:r w:rsidR="008D3B07">
        <w:rPr>
          <w:rFonts w:ascii="Arial" w:hAnsi="Arial" w:cs="Arial"/>
          <w:sz w:val="24"/>
          <w:szCs w:val="24"/>
        </w:rPr>
        <w:t>,</w:t>
      </w:r>
      <w:r w:rsidR="45CB015F" w:rsidRPr="00D75223">
        <w:rPr>
          <w:rFonts w:ascii="Arial" w:hAnsi="Arial" w:cs="Arial"/>
          <w:sz w:val="24"/>
          <w:szCs w:val="24"/>
        </w:rPr>
        <w:t xml:space="preserve"> duty systems were changed leading to increased capacity and resilience. </w:t>
      </w:r>
    </w:p>
    <w:p w14:paraId="7006267A" w14:textId="11AA3958" w:rsidR="295DAF0F" w:rsidRPr="00D75223" w:rsidRDefault="295DAF0F" w:rsidP="004A4D56">
      <w:pPr>
        <w:rPr>
          <w:rFonts w:ascii="Arial" w:hAnsi="Arial" w:cs="Arial"/>
          <w:sz w:val="24"/>
          <w:szCs w:val="24"/>
        </w:rPr>
      </w:pPr>
      <w:r w:rsidRPr="00D75223">
        <w:rPr>
          <w:rFonts w:ascii="Arial" w:hAnsi="Arial" w:cs="Arial"/>
          <w:sz w:val="24"/>
          <w:szCs w:val="24"/>
        </w:rPr>
        <w:t xml:space="preserve">A daily work routine framework is available for all </w:t>
      </w:r>
      <w:r w:rsidR="008D3B07">
        <w:rPr>
          <w:rFonts w:ascii="Arial" w:hAnsi="Arial" w:cs="Arial"/>
          <w:sz w:val="24"/>
          <w:szCs w:val="24"/>
        </w:rPr>
        <w:t xml:space="preserve">wholetime </w:t>
      </w:r>
      <w:r w:rsidRPr="00D75223">
        <w:rPr>
          <w:rFonts w:ascii="Arial" w:hAnsi="Arial" w:cs="Arial"/>
          <w:sz w:val="24"/>
          <w:szCs w:val="24"/>
        </w:rPr>
        <w:t xml:space="preserve">crews, with outputs and outcomes captured through KPIs and local performance indicators already detailed. </w:t>
      </w:r>
      <w:r w:rsidR="1C212EFC" w:rsidRPr="00D75223">
        <w:rPr>
          <w:rFonts w:ascii="Arial" w:hAnsi="Arial" w:cs="Arial"/>
          <w:sz w:val="24"/>
          <w:szCs w:val="24"/>
        </w:rPr>
        <w:t>The Service aims to roll out the new sector productivity app / products being developed by the NFCC during 2025/</w:t>
      </w:r>
      <w:r w:rsidR="008D3B07">
        <w:rPr>
          <w:rFonts w:ascii="Arial" w:hAnsi="Arial" w:cs="Arial"/>
          <w:sz w:val="24"/>
          <w:szCs w:val="24"/>
        </w:rPr>
        <w:t>2</w:t>
      </w:r>
      <w:r w:rsidR="1C212EFC" w:rsidRPr="00D75223">
        <w:rPr>
          <w:rFonts w:ascii="Arial" w:hAnsi="Arial" w:cs="Arial"/>
          <w:sz w:val="24"/>
          <w:szCs w:val="24"/>
        </w:rPr>
        <w:t>6</w:t>
      </w:r>
      <w:r w:rsidR="4DD2EDC4" w:rsidRPr="00D75223">
        <w:rPr>
          <w:rFonts w:ascii="Arial" w:hAnsi="Arial" w:cs="Arial"/>
          <w:sz w:val="24"/>
          <w:szCs w:val="24"/>
        </w:rPr>
        <w:t>. At present, the Service does not capture specific daily workforce activity but relies on the per</w:t>
      </w:r>
      <w:r w:rsidR="2F13CF93" w:rsidRPr="00D75223">
        <w:rPr>
          <w:rFonts w:ascii="Arial" w:hAnsi="Arial" w:cs="Arial"/>
          <w:sz w:val="24"/>
          <w:szCs w:val="24"/>
        </w:rPr>
        <w:t xml:space="preserve">formance data to ensure effective and efficient service delivery is maintained. </w:t>
      </w:r>
    </w:p>
    <w:p w14:paraId="417D0600" w14:textId="18117814" w:rsidR="00997325" w:rsidRPr="00725AA3" w:rsidRDefault="00682CAB" w:rsidP="00845604">
      <w:pPr>
        <w:pStyle w:val="Heading2"/>
        <w:rPr>
          <w:rStyle w:val="normaltextrun"/>
        </w:rPr>
      </w:pPr>
      <w:bookmarkStart w:id="43" w:name="_Toc196988046"/>
      <w:r w:rsidRPr="00725AA3">
        <w:rPr>
          <w:rStyle w:val="normaltextrun"/>
        </w:rPr>
        <w:t xml:space="preserve">Meeting the 3% </w:t>
      </w:r>
      <w:r w:rsidR="008D3B07" w:rsidRPr="00725AA3">
        <w:rPr>
          <w:rStyle w:val="normaltextrun"/>
        </w:rPr>
        <w:t>p</w:t>
      </w:r>
      <w:r w:rsidRPr="00725AA3">
        <w:rPr>
          <w:rStyle w:val="normaltextrun"/>
        </w:rPr>
        <w:t xml:space="preserve">roductivity </w:t>
      </w:r>
      <w:r w:rsidR="008D3B07" w:rsidRPr="00725AA3">
        <w:rPr>
          <w:rStyle w:val="normaltextrun"/>
        </w:rPr>
        <w:t>t</w:t>
      </w:r>
      <w:r w:rsidRPr="00725AA3">
        <w:rPr>
          <w:rStyle w:val="normaltextrun"/>
        </w:rPr>
        <w:t>arget</w:t>
      </w:r>
      <w:bookmarkEnd w:id="43"/>
    </w:p>
    <w:p w14:paraId="7799BE54" w14:textId="02654413" w:rsidR="00682CAB" w:rsidRPr="00D75223" w:rsidRDefault="00682CAB" w:rsidP="004A4D56">
      <w:pPr>
        <w:rPr>
          <w:rFonts w:ascii="Arial" w:hAnsi="Arial" w:cs="Arial"/>
          <w:sz w:val="24"/>
          <w:szCs w:val="24"/>
        </w:rPr>
      </w:pPr>
      <w:r w:rsidRPr="00D75223">
        <w:rPr>
          <w:rFonts w:ascii="Arial" w:hAnsi="Arial" w:cs="Arial"/>
          <w:sz w:val="24"/>
          <w:szCs w:val="24"/>
        </w:rPr>
        <w:t xml:space="preserve">LFRS is well placed to deliver the 3% productivity increase as evidenced in this section through the various initiatives across the organisation. </w:t>
      </w:r>
    </w:p>
    <w:p w14:paraId="590F83A9" w14:textId="3840DD27" w:rsidR="002F29AC" w:rsidRPr="00D75223" w:rsidRDefault="002F29AC" w:rsidP="004A4D56">
      <w:pPr>
        <w:rPr>
          <w:rFonts w:ascii="Arial" w:hAnsi="Arial" w:cs="Arial"/>
          <w:i/>
          <w:sz w:val="24"/>
          <w:szCs w:val="24"/>
        </w:rPr>
      </w:pPr>
    </w:p>
    <w:sectPr w:rsidR="002F29AC" w:rsidRPr="00D7522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9A905" w14:textId="77777777" w:rsidR="00613D00" w:rsidRDefault="00613D00" w:rsidP="00254C79">
      <w:pPr>
        <w:spacing w:after="0" w:line="240" w:lineRule="auto"/>
      </w:pPr>
      <w:r>
        <w:separator/>
      </w:r>
    </w:p>
  </w:endnote>
  <w:endnote w:type="continuationSeparator" w:id="0">
    <w:p w14:paraId="7066A2F6" w14:textId="77777777" w:rsidR="00613D00" w:rsidRDefault="00613D00" w:rsidP="00254C79">
      <w:pPr>
        <w:spacing w:after="0" w:line="240" w:lineRule="auto"/>
      </w:pPr>
      <w:r>
        <w:continuationSeparator/>
      </w:r>
    </w:p>
  </w:endnote>
  <w:endnote w:type="continuationNotice" w:id="1">
    <w:p w14:paraId="47F52582" w14:textId="77777777" w:rsidR="00613D00" w:rsidRDefault="00613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459270"/>
      <w:docPartObj>
        <w:docPartGallery w:val="Page Numbers (Bottom of Page)"/>
        <w:docPartUnique/>
      </w:docPartObj>
    </w:sdtPr>
    <w:sdtEndPr>
      <w:rPr>
        <w:noProof/>
      </w:rPr>
    </w:sdtEndPr>
    <w:sdtContent>
      <w:p w14:paraId="0138B264" w14:textId="6A91BE76" w:rsidR="009D32C5" w:rsidRDefault="009D32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24B54C" w14:textId="77777777" w:rsidR="009D32C5" w:rsidRDefault="009D3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58517" w14:textId="77777777" w:rsidR="00613D00" w:rsidRDefault="00613D00" w:rsidP="00254C79">
      <w:pPr>
        <w:spacing w:after="0" w:line="240" w:lineRule="auto"/>
      </w:pPr>
      <w:r>
        <w:separator/>
      </w:r>
    </w:p>
  </w:footnote>
  <w:footnote w:type="continuationSeparator" w:id="0">
    <w:p w14:paraId="61876A6C" w14:textId="77777777" w:rsidR="00613D00" w:rsidRDefault="00613D00" w:rsidP="00254C79">
      <w:pPr>
        <w:spacing w:after="0" w:line="240" w:lineRule="auto"/>
      </w:pPr>
      <w:r>
        <w:continuationSeparator/>
      </w:r>
    </w:p>
  </w:footnote>
  <w:footnote w:type="continuationNotice" w:id="1">
    <w:p w14:paraId="69F5C200" w14:textId="77777777" w:rsidR="00613D00" w:rsidRDefault="00613D0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MzwKrHjVIuYm2" int2:id="UO6g42g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0801"/>
    <w:multiLevelType w:val="hybridMultilevel"/>
    <w:tmpl w:val="77AC7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1257C4"/>
    <w:multiLevelType w:val="hybridMultilevel"/>
    <w:tmpl w:val="669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2B19B"/>
    <w:multiLevelType w:val="hybridMultilevel"/>
    <w:tmpl w:val="BDDC4234"/>
    <w:lvl w:ilvl="0" w:tplc="1BAC0AB8">
      <w:start w:val="1"/>
      <w:numFmt w:val="bullet"/>
      <w:lvlText w:val=""/>
      <w:lvlJc w:val="left"/>
      <w:pPr>
        <w:ind w:left="720" w:hanging="360"/>
      </w:pPr>
      <w:rPr>
        <w:rFonts w:ascii="Symbol" w:hAnsi="Symbol" w:hint="default"/>
      </w:rPr>
    </w:lvl>
    <w:lvl w:ilvl="1" w:tplc="861EA4DA">
      <w:start w:val="1"/>
      <w:numFmt w:val="bullet"/>
      <w:lvlText w:val="o"/>
      <w:lvlJc w:val="left"/>
      <w:pPr>
        <w:ind w:left="1440" w:hanging="360"/>
      </w:pPr>
      <w:rPr>
        <w:rFonts w:ascii="Courier New" w:hAnsi="Courier New" w:hint="default"/>
      </w:rPr>
    </w:lvl>
    <w:lvl w:ilvl="2" w:tplc="B804F9D2">
      <w:start w:val="1"/>
      <w:numFmt w:val="bullet"/>
      <w:lvlText w:val=""/>
      <w:lvlJc w:val="left"/>
      <w:pPr>
        <w:ind w:left="2160" w:hanging="360"/>
      </w:pPr>
      <w:rPr>
        <w:rFonts w:ascii="Wingdings" w:hAnsi="Wingdings" w:hint="default"/>
      </w:rPr>
    </w:lvl>
    <w:lvl w:ilvl="3" w:tplc="8438CE08">
      <w:start w:val="1"/>
      <w:numFmt w:val="bullet"/>
      <w:lvlText w:val=""/>
      <w:lvlJc w:val="left"/>
      <w:pPr>
        <w:ind w:left="2880" w:hanging="360"/>
      </w:pPr>
      <w:rPr>
        <w:rFonts w:ascii="Symbol" w:hAnsi="Symbol" w:hint="default"/>
      </w:rPr>
    </w:lvl>
    <w:lvl w:ilvl="4" w:tplc="ADFE6B58">
      <w:start w:val="1"/>
      <w:numFmt w:val="bullet"/>
      <w:lvlText w:val="o"/>
      <w:lvlJc w:val="left"/>
      <w:pPr>
        <w:ind w:left="3600" w:hanging="360"/>
      </w:pPr>
      <w:rPr>
        <w:rFonts w:ascii="Courier New" w:hAnsi="Courier New" w:hint="default"/>
      </w:rPr>
    </w:lvl>
    <w:lvl w:ilvl="5" w:tplc="81A06726">
      <w:start w:val="1"/>
      <w:numFmt w:val="bullet"/>
      <w:lvlText w:val=""/>
      <w:lvlJc w:val="left"/>
      <w:pPr>
        <w:ind w:left="4320" w:hanging="360"/>
      </w:pPr>
      <w:rPr>
        <w:rFonts w:ascii="Wingdings" w:hAnsi="Wingdings" w:hint="default"/>
      </w:rPr>
    </w:lvl>
    <w:lvl w:ilvl="6" w:tplc="7B34E98A">
      <w:start w:val="1"/>
      <w:numFmt w:val="bullet"/>
      <w:lvlText w:val=""/>
      <w:lvlJc w:val="left"/>
      <w:pPr>
        <w:ind w:left="5040" w:hanging="360"/>
      </w:pPr>
      <w:rPr>
        <w:rFonts w:ascii="Symbol" w:hAnsi="Symbol" w:hint="default"/>
      </w:rPr>
    </w:lvl>
    <w:lvl w:ilvl="7" w:tplc="FD066B0C">
      <w:start w:val="1"/>
      <w:numFmt w:val="bullet"/>
      <w:lvlText w:val="o"/>
      <w:lvlJc w:val="left"/>
      <w:pPr>
        <w:ind w:left="5760" w:hanging="360"/>
      </w:pPr>
      <w:rPr>
        <w:rFonts w:ascii="Courier New" w:hAnsi="Courier New" w:hint="default"/>
      </w:rPr>
    </w:lvl>
    <w:lvl w:ilvl="8" w:tplc="2C121430">
      <w:start w:val="1"/>
      <w:numFmt w:val="bullet"/>
      <w:lvlText w:val=""/>
      <w:lvlJc w:val="left"/>
      <w:pPr>
        <w:ind w:left="6480" w:hanging="360"/>
      </w:pPr>
      <w:rPr>
        <w:rFonts w:ascii="Wingdings" w:hAnsi="Wingdings" w:hint="default"/>
      </w:rPr>
    </w:lvl>
  </w:abstractNum>
  <w:abstractNum w:abstractNumId="3" w15:restartNumberingAfterBreak="0">
    <w:nsid w:val="15CF5F81"/>
    <w:multiLevelType w:val="hybridMultilevel"/>
    <w:tmpl w:val="4886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B4E65"/>
    <w:multiLevelType w:val="hybridMultilevel"/>
    <w:tmpl w:val="2E3E528E"/>
    <w:lvl w:ilvl="0" w:tplc="CE96EF9E">
      <w:start w:val="1"/>
      <w:numFmt w:val="decimal"/>
      <w:lvlText w:val="%1."/>
      <w:lvlJc w:val="left"/>
      <w:pPr>
        <w:ind w:left="360" w:hanging="360"/>
      </w:pPr>
      <w:rPr>
        <w:rFonts w:eastAsiaTheme="minorHAnsi" w:hint="default"/>
        <w:color w:val="0D0D0D" w:themeColor="text1" w:themeTint="F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DB1935"/>
    <w:multiLevelType w:val="multilevel"/>
    <w:tmpl w:val="F3A6B266"/>
    <w:lvl w:ilvl="0">
      <w:start w:val="1"/>
      <w:numFmt w:val="lowerLetter"/>
      <w:lvlText w:val="%1."/>
      <w:lvlJc w:val="left"/>
      <w:pPr>
        <w:tabs>
          <w:tab w:val="num" w:pos="720"/>
        </w:tabs>
        <w:ind w:left="720" w:hanging="360"/>
      </w:pPr>
      <w:rPr>
        <w:rFonts w:ascii="Arial" w:eastAsia="Times New Roman" w:hAnsi="Arial" w:cs="Arial"/>
        <w:b/>
        <w:bCs/>
      </w:rPr>
    </w:lvl>
    <w:lvl w:ilvl="1">
      <w:start w:val="1"/>
      <w:numFmt w:val="lowerLetter"/>
      <w:lvlText w:val="%2)"/>
      <w:lvlJc w:val="left"/>
      <w:pPr>
        <w:ind w:left="1440" w:hanging="360"/>
      </w:pPr>
      <w:rPr>
        <w:rFonts w:ascii="Arial" w:hAnsi="Arial" w:cs="Arial" w:hint="default"/>
        <w:b/>
        <w:sz w:val="24"/>
        <w:szCs w:val="24"/>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F1B79"/>
    <w:multiLevelType w:val="hybridMultilevel"/>
    <w:tmpl w:val="8D406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C08A7"/>
    <w:multiLevelType w:val="hybridMultilevel"/>
    <w:tmpl w:val="54A01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70418F"/>
    <w:multiLevelType w:val="hybridMultilevel"/>
    <w:tmpl w:val="BAD6498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EEC51E1"/>
    <w:multiLevelType w:val="hybridMultilevel"/>
    <w:tmpl w:val="D3E6AA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260E70"/>
    <w:multiLevelType w:val="hybridMultilevel"/>
    <w:tmpl w:val="C7EEA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742E3"/>
    <w:multiLevelType w:val="hybridMultilevel"/>
    <w:tmpl w:val="30209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27CD9"/>
    <w:multiLevelType w:val="hybridMultilevel"/>
    <w:tmpl w:val="03644F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3" w15:restartNumberingAfterBreak="0">
    <w:nsid w:val="38DA41E0"/>
    <w:multiLevelType w:val="hybridMultilevel"/>
    <w:tmpl w:val="C1B6D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E2301"/>
    <w:multiLevelType w:val="hybridMultilevel"/>
    <w:tmpl w:val="1B18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57D59"/>
    <w:multiLevelType w:val="hybridMultilevel"/>
    <w:tmpl w:val="04EE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C5AE0"/>
    <w:multiLevelType w:val="hybridMultilevel"/>
    <w:tmpl w:val="1B8E9FF8"/>
    <w:lvl w:ilvl="0" w:tplc="B360F7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A56CE"/>
    <w:multiLevelType w:val="hybridMultilevel"/>
    <w:tmpl w:val="EE840480"/>
    <w:lvl w:ilvl="0" w:tplc="9B523244">
      <w:start w:val="1"/>
      <w:numFmt w:val="bullet"/>
      <w:lvlText w:val=""/>
      <w:lvlJc w:val="left"/>
      <w:pPr>
        <w:ind w:left="360" w:hanging="360"/>
      </w:pPr>
      <w:rPr>
        <w:rFonts w:ascii="Symbol" w:hAnsi="Symbol" w:hint="default"/>
      </w:rPr>
    </w:lvl>
    <w:lvl w:ilvl="1" w:tplc="AC22144E">
      <w:start w:val="1"/>
      <w:numFmt w:val="bullet"/>
      <w:lvlText w:val="o"/>
      <w:lvlJc w:val="left"/>
      <w:pPr>
        <w:ind w:left="1080" w:hanging="360"/>
      </w:pPr>
      <w:rPr>
        <w:rFonts w:ascii="Courier New" w:hAnsi="Courier New" w:hint="default"/>
      </w:rPr>
    </w:lvl>
    <w:lvl w:ilvl="2" w:tplc="37786EBE" w:tentative="1">
      <w:start w:val="1"/>
      <w:numFmt w:val="bullet"/>
      <w:lvlText w:val=""/>
      <w:lvlJc w:val="left"/>
      <w:pPr>
        <w:ind w:left="1800" w:hanging="360"/>
      </w:pPr>
      <w:rPr>
        <w:rFonts w:ascii="Wingdings" w:hAnsi="Wingdings" w:hint="default"/>
      </w:rPr>
    </w:lvl>
    <w:lvl w:ilvl="3" w:tplc="D848C6B4" w:tentative="1">
      <w:start w:val="1"/>
      <w:numFmt w:val="bullet"/>
      <w:lvlText w:val=""/>
      <w:lvlJc w:val="left"/>
      <w:pPr>
        <w:ind w:left="2520" w:hanging="360"/>
      </w:pPr>
      <w:rPr>
        <w:rFonts w:ascii="Symbol" w:hAnsi="Symbol" w:hint="default"/>
      </w:rPr>
    </w:lvl>
    <w:lvl w:ilvl="4" w:tplc="7FC049B2" w:tentative="1">
      <w:start w:val="1"/>
      <w:numFmt w:val="bullet"/>
      <w:lvlText w:val="o"/>
      <w:lvlJc w:val="left"/>
      <w:pPr>
        <w:ind w:left="3240" w:hanging="360"/>
      </w:pPr>
      <w:rPr>
        <w:rFonts w:ascii="Courier New" w:hAnsi="Courier New" w:hint="default"/>
      </w:rPr>
    </w:lvl>
    <w:lvl w:ilvl="5" w:tplc="A59613CE" w:tentative="1">
      <w:start w:val="1"/>
      <w:numFmt w:val="bullet"/>
      <w:lvlText w:val=""/>
      <w:lvlJc w:val="left"/>
      <w:pPr>
        <w:ind w:left="3960" w:hanging="360"/>
      </w:pPr>
      <w:rPr>
        <w:rFonts w:ascii="Wingdings" w:hAnsi="Wingdings" w:hint="default"/>
      </w:rPr>
    </w:lvl>
    <w:lvl w:ilvl="6" w:tplc="4816F2EA" w:tentative="1">
      <w:start w:val="1"/>
      <w:numFmt w:val="bullet"/>
      <w:lvlText w:val=""/>
      <w:lvlJc w:val="left"/>
      <w:pPr>
        <w:ind w:left="4680" w:hanging="360"/>
      </w:pPr>
      <w:rPr>
        <w:rFonts w:ascii="Symbol" w:hAnsi="Symbol" w:hint="default"/>
      </w:rPr>
    </w:lvl>
    <w:lvl w:ilvl="7" w:tplc="8D0A21F0" w:tentative="1">
      <w:start w:val="1"/>
      <w:numFmt w:val="bullet"/>
      <w:lvlText w:val="o"/>
      <w:lvlJc w:val="left"/>
      <w:pPr>
        <w:ind w:left="5400" w:hanging="360"/>
      </w:pPr>
      <w:rPr>
        <w:rFonts w:ascii="Courier New" w:hAnsi="Courier New" w:hint="default"/>
      </w:rPr>
    </w:lvl>
    <w:lvl w:ilvl="8" w:tplc="71343B94" w:tentative="1">
      <w:start w:val="1"/>
      <w:numFmt w:val="bullet"/>
      <w:lvlText w:val=""/>
      <w:lvlJc w:val="left"/>
      <w:pPr>
        <w:ind w:left="6120" w:hanging="360"/>
      </w:pPr>
      <w:rPr>
        <w:rFonts w:ascii="Wingdings" w:hAnsi="Wingdings" w:hint="default"/>
      </w:rPr>
    </w:lvl>
  </w:abstractNum>
  <w:abstractNum w:abstractNumId="18" w15:restartNumberingAfterBreak="0">
    <w:nsid w:val="429FB374"/>
    <w:multiLevelType w:val="hybridMultilevel"/>
    <w:tmpl w:val="83D40292"/>
    <w:lvl w:ilvl="0" w:tplc="D54A2458">
      <w:start w:val="1"/>
      <w:numFmt w:val="bullet"/>
      <w:lvlText w:val=""/>
      <w:lvlJc w:val="left"/>
      <w:pPr>
        <w:ind w:left="720" w:hanging="360"/>
      </w:pPr>
      <w:rPr>
        <w:rFonts w:ascii="Symbol" w:hAnsi="Symbol" w:hint="default"/>
      </w:rPr>
    </w:lvl>
    <w:lvl w:ilvl="1" w:tplc="CC48A0E8">
      <w:start w:val="1"/>
      <w:numFmt w:val="bullet"/>
      <w:lvlText w:val="o"/>
      <w:lvlJc w:val="left"/>
      <w:pPr>
        <w:ind w:left="1440" w:hanging="360"/>
      </w:pPr>
      <w:rPr>
        <w:rFonts w:ascii="Courier New" w:hAnsi="Courier New" w:hint="default"/>
      </w:rPr>
    </w:lvl>
    <w:lvl w:ilvl="2" w:tplc="78C0C8D2">
      <w:start w:val="1"/>
      <w:numFmt w:val="bullet"/>
      <w:lvlText w:val=""/>
      <w:lvlJc w:val="left"/>
      <w:pPr>
        <w:ind w:left="2160" w:hanging="360"/>
      </w:pPr>
      <w:rPr>
        <w:rFonts w:ascii="Wingdings" w:hAnsi="Wingdings" w:hint="default"/>
      </w:rPr>
    </w:lvl>
    <w:lvl w:ilvl="3" w:tplc="AC9A169E">
      <w:start w:val="1"/>
      <w:numFmt w:val="bullet"/>
      <w:lvlText w:val=""/>
      <w:lvlJc w:val="left"/>
      <w:pPr>
        <w:ind w:left="2880" w:hanging="360"/>
      </w:pPr>
      <w:rPr>
        <w:rFonts w:ascii="Symbol" w:hAnsi="Symbol" w:hint="default"/>
      </w:rPr>
    </w:lvl>
    <w:lvl w:ilvl="4" w:tplc="F03A87B2">
      <w:start w:val="1"/>
      <w:numFmt w:val="bullet"/>
      <w:lvlText w:val="o"/>
      <w:lvlJc w:val="left"/>
      <w:pPr>
        <w:ind w:left="3600" w:hanging="360"/>
      </w:pPr>
      <w:rPr>
        <w:rFonts w:ascii="Courier New" w:hAnsi="Courier New" w:hint="default"/>
      </w:rPr>
    </w:lvl>
    <w:lvl w:ilvl="5" w:tplc="40A67248">
      <w:start w:val="1"/>
      <w:numFmt w:val="bullet"/>
      <w:lvlText w:val=""/>
      <w:lvlJc w:val="left"/>
      <w:pPr>
        <w:ind w:left="4320" w:hanging="360"/>
      </w:pPr>
      <w:rPr>
        <w:rFonts w:ascii="Wingdings" w:hAnsi="Wingdings" w:hint="default"/>
      </w:rPr>
    </w:lvl>
    <w:lvl w:ilvl="6" w:tplc="AF68C4FC">
      <w:start w:val="1"/>
      <w:numFmt w:val="bullet"/>
      <w:lvlText w:val=""/>
      <w:lvlJc w:val="left"/>
      <w:pPr>
        <w:ind w:left="5040" w:hanging="360"/>
      </w:pPr>
      <w:rPr>
        <w:rFonts w:ascii="Symbol" w:hAnsi="Symbol" w:hint="default"/>
      </w:rPr>
    </w:lvl>
    <w:lvl w:ilvl="7" w:tplc="8FF4F2C8">
      <w:start w:val="1"/>
      <w:numFmt w:val="bullet"/>
      <w:lvlText w:val="o"/>
      <w:lvlJc w:val="left"/>
      <w:pPr>
        <w:ind w:left="5760" w:hanging="360"/>
      </w:pPr>
      <w:rPr>
        <w:rFonts w:ascii="Courier New" w:hAnsi="Courier New" w:hint="default"/>
      </w:rPr>
    </w:lvl>
    <w:lvl w:ilvl="8" w:tplc="95D82370">
      <w:start w:val="1"/>
      <w:numFmt w:val="bullet"/>
      <w:lvlText w:val=""/>
      <w:lvlJc w:val="left"/>
      <w:pPr>
        <w:ind w:left="6480" w:hanging="360"/>
      </w:pPr>
      <w:rPr>
        <w:rFonts w:ascii="Wingdings" w:hAnsi="Wingdings" w:hint="default"/>
      </w:rPr>
    </w:lvl>
  </w:abstractNum>
  <w:abstractNum w:abstractNumId="19" w15:restartNumberingAfterBreak="0">
    <w:nsid w:val="42C207D4"/>
    <w:multiLevelType w:val="hybridMultilevel"/>
    <w:tmpl w:val="168A018C"/>
    <w:lvl w:ilvl="0" w:tplc="A3BE5F9C">
      <w:start w:val="1"/>
      <w:numFmt w:val="bullet"/>
      <w:lvlText w:val=""/>
      <w:lvlJc w:val="left"/>
      <w:pPr>
        <w:ind w:left="720" w:hanging="360"/>
      </w:pPr>
      <w:rPr>
        <w:rFonts w:ascii="Symbol" w:hAnsi="Symbol" w:hint="default"/>
      </w:rPr>
    </w:lvl>
    <w:lvl w:ilvl="1" w:tplc="4DF086B6">
      <w:start w:val="1"/>
      <w:numFmt w:val="bullet"/>
      <w:lvlText w:val="o"/>
      <w:lvlJc w:val="left"/>
      <w:pPr>
        <w:ind w:left="1440" w:hanging="360"/>
      </w:pPr>
      <w:rPr>
        <w:rFonts w:ascii="Courier New" w:hAnsi="Courier New" w:hint="default"/>
      </w:rPr>
    </w:lvl>
    <w:lvl w:ilvl="2" w:tplc="9B383338">
      <w:start w:val="1"/>
      <w:numFmt w:val="bullet"/>
      <w:lvlText w:val=""/>
      <w:lvlJc w:val="left"/>
      <w:pPr>
        <w:ind w:left="2160" w:hanging="360"/>
      </w:pPr>
      <w:rPr>
        <w:rFonts w:ascii="Wingdings" w:hAnsi="Wingdings" w:hint="default"/>
      </w:rPr>
    </w:lvl>
    <w:lvl w:ilvl="3" w:tplc="40AA4CD2">
      <w:start w:val="1"/>
      <w:numFmt w:val="bullet"/>
      <w:lvlText w:val=""/>
      <w:lvlJc w:val="left"/>
      <w:pPr>
        <w:ind w:left="2880" w:hanging="360"/>
      </w:pPr>
      <w:rPr>
        <w:rFonts w:ascii="Symbol" w:hAnsi="Symbol" w:hint="default"/>
      </w:rPr>
    </w:lvl>
    <w:lvl w:ilvl="4" w:tplc="6C7AFBD6">
      <w:start w:val="1"/>
      <w:numFmt w:val="bullet"/>
      <w:lvlText w:val="o"/>
      <w:lvlJc w:val="left"/>
      <w:pPr>
        <w:ind w:left="3600" w:hanging="360"/>
      </w:pPr>
      <w:rPr>
        <w:rFonts w:ascii="Courier New" w:hAnsi="Courier New" w:hint="default"/>
      </w:rPr>
    </w:lvl>
    <w:lvl w:ilvl="5" w:tplc="E0388906">
      <w:start w:val="1"/>
      <w:numFmt w:val="bullet"/>
      <w:lvlText w:val=""/>
      <w:lvlJc w:val="left"/>
      <w:pPr>
        <w:ind w:left="4320" w:hanging="360"/>
      </w:pPr>
      <w:rPr>
        <w:rFonts w:ascii="Wingdings" w:hAnsi="Wingdings" w:hint="default"/>
      </w:rPr>
    </w:lvl>
    <w:lvl w:ilvl="6" w:tplc="1584ED92">
      <w:start w:val="1"/>
      <w:numFmt w:val="bullet"/>
      <w:lvlText w:val=""/>
      <w:lvlJc w:val="left"/>
      <w:pPr>
        <w:ind w:left="5040" w:hanging="360"/>
      </w:pPr>
      <w:rPr>
        <w:rFonts w:ascii="Symbol" w:hAnsi="Symbol" w:hint="default"/>
      </w:rPr>
    </w:lvl>
    <w:lvl w:ilvl="7" w:tplc="97146A10">
      <w:start w:val="1"/>
      <w:numFmt w:val="bullet"/>
      <w:lvlText w:val="o"/>
      <w:lvlJc w:val="left"/>
      <w:pPr>
        <w:ind w:left="5760" w:hanging="360"/>
      </w:pPr>
      <w:rPr>
        <w:rFonts w:ascii="Courier New" w:hAnsi="Courier New" w:hint="default"/>
      </w:rPr>
    </w:lvl>
    <w:lvl w:ilvl="8" w:tplc="74AECDE0">
      <w:start w:val="1"/>
      <w:numFmt w:val="bullet"/>
      <w:lvlText w:val=""/>
      <w:lvlJc w:val="left"/>
      <w:pPr>
        <w:ind w:left="6480" w:hanging="360"/>
      </w:pPr>
      <w:rPr>
        <w:rFonts w:ascii="Wingdings" w:hAnsi="Wingdings" w:hint="default"/>
      </w:rPr>
    </w:lvl>
  </w:abstractNum>
  <w:abstractNum w:abstractNumId="20" w15:restartNumberingAfterBreak="0">
    <w:nsid w:val="47FC45FB"/>
    <w:multiLevelType w:val="hybridMultilevel"/>
    <w:tmpl w:val="2E2A8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4567D"/>
    <w:multiLevelType w:val="hybridMultilevel"/>
    <w:tmpl w:val="96E0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214A5"/>
    <w:multiLevelType w:val="hybridMultilevel"/>
    <w:tmpl w:val="8354A83A"/>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15982FE"/>
    <w:multiLevelType w:val="hybridMultilevel"/>
    <w:tmpl w:val="85660190"/>
    <w:lvl w:ilvl="0" w:tplc="424A8F02">
      <w:start w:val="1"/>
      <w:numFmt w:val="bullet"/>
      <w:lvlText w:val=""/>
      <w:lvlJc w:val="left"/>
      <w:pPr>
        <w:ind w:left="720" w:hanging="360"/>
      </w:pPr>
      <w:rPr>
        <w:rFonts w:ascii="Symbol" w:hAnsi="Symbol" w:hint="default"/>
      </w:rPr>
    </w:lvl>
    <w:lvl w:ilvl="1" w:tplc="B4A23AA4">
      <w:start w:val="1"/>
      <w:numFmt w:val="bullet"/>
      <w:lvlText w:val="o"/>
      <w:lvlJc w:val="left"/>
      <w:pPr>
        <w:ind w:left="1440" w:hanging="360"/>
      </w:pPr>
      <w:rPr>
        <w:rFonts w:ascii="Courier New" w:hAnsi="Courier New" w:hint="default"/>
      </w:rPr>
    </w:lvl>
    <w:lvl w:ilvl="2" w:tplc="0C22BB74">
      <w:start w:val="1"/>
      <w:numFmt w:val="bullet"/>
      <w:lvlText w:val=""/>
      <w:lvlJc w:val="left"/>
      <w:pPr>
        <w:ind w:left="2160" w:hanging="360"/>
      </w:pPr>
      <w:rPr>
        <w:rFonts w:ascii="Wingdings" w:hAnsi="Wingdings" w:hint="default"/>
      </w:rPr>
    </w:lvl>
    <w:lvl w:ilvl="3" w:tplc="C90433DE">
      <w:start w:val="1"/>
      <w:numFmt w:val="bullet"/>
      <w:lvlText w:val=""/>
      <w:lvlJc w:val="left"/>
      <w:pPr>
        <w:ind w:left="2880" w:hanging="360"/>
      </w:pPr>
      <w:rPr>
        <w:rFonts w:ascii="Symbol" w:hAnsi="Symbol" w:hint="default"/>
      </w:rPr>
    </w:lvl>
    <w:lvl w:ilvl="4" w:tplc="19DA20B4">
      <w:start w:val="1"/>
      <w:numFmt w:val="bullet"/>
      <w:lvlText w:val="o"/>
      <w:lvlJc w:val="left"/>
      <w:pPr>
        <w:ind w:left="3600" w:hanging="360"/>
      </w:pPr>
      <w:rPr>
        <w:rFonts w:ascii="Courier New" w:hAnsi="Courier New" w:hint="default"/>
      </w:rPr>
    </w:lvl>
    <w:lvl w:ilvl="5" w:tplc="0638CC98">
      <w:start w:val="1"/>
      <w:numFmt w:val="bullet"/>
      <w:lvlText w:val=""/>
      <w:lvlJc w:val="left"/>
      <w:pPr>
        <w:ind w:left="4320" w:hanging="360"/>
      </w:pPr>
      <w:rPr>
        <w:rFonts w:ascii="Wingdings" w:hAnsi="Wingdings" w:hint="default"/>
      </w:rPr>
    </w:lvl>
    <w:lvl w:ilvl="6" w:tplc="866E9BE2">
      <w:start w:val="1"/>
      <w:numFmt w:val="bullet"/>
      <w:lvlText w:val=""/>
      <w:lvlJc w:val="left"/>
      <w:pPr>
        <w:ind w:left="5040" w:hanging="360"/>
      </w:pPr>
      <w:rPr>
        <w:rFonts w:ascii="Symbol" w:hAnsi="Symbol" w:hint="default"/>
      </w:rPr>
    </w:lvl>
    <w:lvl w:ilvl="7" w:tplc="CB421870">
      <w:start w:val="1"/>
      <w:numFmt w:val="bullet"/>
      <w:lvlText w:val="o"/>
      <w:lvlJc w:val="left"/>
      <w:pPr>
        <w:ind w:left="5760" w:hanging="360"/>
      </w:pPr>
      <w:rPr>
        <w:rFonts w:ascii="Courier New" w:hAnsi="Courier New" w:hint="default"/>
      </w:rPr>
    </w:lvl>
    <w:lvl w:ilvl="8" w:tplc="F2B001F2">
      <w:start w:val="1"/>
      <w:numFmt w:val="bullet"/>
      <w:lvlText w:val=""/>
      <w:lvlJc w:val="left"/>
      <w:pPr>
        <w:ind w:left="6480" w:hanging="360"/>
      </w:pPr>
      <w:rPr>
        <w:rFonts w:ascii="Wingdings" w:hAnsi="Wingdings" w:hint="default"/>
      </w:rPr>
    </w:lvl>
  </w:abstractNum>
  <w:abstractNum w:abstractNumId="24" w15:restartNumberingAfterBreak="0">
    <w:nsid w:val="527EBE9C"/>
    <w:multiLevelType w:val="hybridMultilevel"/>
    <w:tmpl w:val="FFFFFFFF"/>
    <w:lvl w:ilvl="0" w:tplc="C4B86AF2">
      <w:start w:val="1"/>
      <w:numFmt w:val="bullet"/>
      <w:lvlText w:val=""/>
      <w:lvlJc w:val="left"/>
      <w:pPr>
        <w:ind w:left="720" w:hanging="360"/>
      </w:pPr>
      <w:rPr>
        <w:rFonts w:ascii="Symbol" w:hAnsi="Symbol" w:hint="default"/>
      </w:rPr>
    </w:lvl>
    <w:lvl w:ilvl="1" w:tplc="2EB09F30">
      <w:start w:val="1"/>
      <w:numFmt w:val="bullet"/>
      <w:lvlText w:val="o"/>
      <w:lvlJc w:val="left"/>
      <w:pPr>
        <w:ind w:left="1440" w:hanging="360"/>
      </w:pPr>
      <w:rPr>
        <w:rFonts w:ascii="Courier New" w:hAnsi="Courier New" w:hint="default"/>
      </w:rPr>
    </w:lvl>
    <w:lvl w:ilvl="2" w:tplc="5F386CD0">
      <w:start w:val="1"/>
      <w:numFmt w:val="bullet"/>
      <w:lvlText w:val=""/>
      <w:lvlJc w:val="left"/>
      <w:pPr>
        <w:ind w:left="2160" w:hanging="360"/>
      </w:pPr>
      <w:rPr>
        <w:rFonts w:ascii="Wingdings" w:hAnsi="Wingdings" w:hint="default"/>
      </w:rPr>
    </w:lvl>
    <w:lvl w:ilvl="3" w:tplc="E5D84A1C">
      <w:start w:val="1"/>
      <w:numFmt w:val="bullet"/>
      <w:lvlText w:val=""/>
      <w:lvlJc w:val="left"/>
      <w:pPr>
        <w:ind w:left="2880" w:hanging="360"/>
      </w:pPr>
      <w:rPr>
        <w:rFonts w:ascii="Symbol" w:hAnsi="Symbol" w:hint="default"/>
      </w:rPr>
    </w:lvl>
    <w:lvl w:ilvl="4" w:tplc="69C41BA4">
      <w:start w:val="1"/>
      <w:numFmt w:val="bullet"/>
      <w:lvlText w:val="o"/>
      <w:lvlJc w:val="left"/>
      <w:pPr>
        <w:ind w:left="3600" w:hanging="360"/>
      </w:pPr>
      <w:rPr>
        <w:rFonts w:ascii="Courier New" w:hAnsi="Courier New" w:hint="default"/>
      </w:rPr>
    </w:lvl>
    <w:lvl w:ilvl="5" w:tplc="E07C9A24">
      <w:start w:val="1"/>
      <w:numFmt w:val="bullet"/>
      <w:lvlText w:val=""/>
      <w:lvlJc w:val="left"/>
      <w:pPr>
        <w:ind w:left="4320" w:hanging="360"/>
      </w:pPr>
      <w:rPr>
        <w:rFonts w:ascii="Wingdings" w:hAnsi="Wingdings" w:hint="default"/>
      </w:rPr>
    </w:lvl>
    <w:lvl w:ilvl="6" w:tplc="EC88D058">
      <w:start w:val="1"/>
      <w:numFmt w:val="bullet"/>
      <w:lvlText w:val=""/>
      <w:lvlJc w:val="left"/>
      <w:pPr>
        <w:ind w:left="5040" w:hanging="360"/>
      </w:pPr>
      <w:rPr>
        <w:rFonts w:ascii="Symbol" w:hAnsi="Symbol" w:hint="default"/>
      </w:rPr>
    </w:lvl>
    <w:lvl w:ilvl="7" w:tplc="6B9262C4">
      <w:start w:val="1"/>
      <w:numFmt w:val="bullet"/>
      <w:lvlText w:val="o"/>
      <w:lvlJc w:val="left"/>
      <w:pPr>
        <w:ind w:left="5760" w:hanging="360"/>
      </w:pPr>
      <w:rPr>
        <w:rFonts w:ascii="Courier New" w:hAnsi="Courier New" w:hint="default"/>
      </w:rPr>
    </w:lvl>
    <w:lvl w:ilvl="8" w:tplc="8B56DF94">
      <w:start w:val="1"/>
      <w:numFmt w:val="bullet"/>
      <w:lvlText w:val=""/>
      <w:lvlJc w:val="left"/>
      <w:pPr>
        <w:ind w:left="6480" w:hanging="360"/>
      </w:pPr>
      <w:rPr>
        <w:rFonts w:ascii="Wingdings" w:hAnsi="Wingdings" w:hint="default"/>
      </w:rPr>
    </w:lvl>
  </w:abstractNum>
  <w:abstractNum w:abstractNumId="25" w15:restartNumberingAfterBreak="0">
    <w:nsid w:val="54AE5488"/>
    <w:multiLevelType w:val="hybridMultilevel"/>
    <w:tmpl w:val="A080E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422ECD"/>
    <w:multiLevelType w:val="hybridMultilevel"/>
    <w:tmpl w:val="704C8560"/>
    <w:lvl w:ilvl="0" w:tplc="2C984AD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B04773"/>
    <w:multiLevelType w:val="hybridMultilevel"/>
    <w:tmpl w:val="76B0C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DE13AE"/>
    <w:multiLevelType w:val="hybridMultilevel"/>
    <w:tmpl w:val="FF5032F0"/>
    <w:lvl w:ilvl="0" w:tplc="67B4EFD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F128F"/>
    <w:multiLevelType w:val="hybridMultilevel"/>
    <w:tmpl w:val="893E777A"/>
    <w:lvl w:ilvl="0" w:tplc="EE74690A">
      <w:start w:val="1"/>
      <w:numFmt w:val="upperLetter"/>
      <w:lvlText w:val="%1)"/>
      <w:lvlJc w:val="left"/>
      <w:pPr>
        <w:ind w:left="720" w:hanging="360"/>
      </w:pPr>
    </w:lvl>
    <w:lvl w:ilvl="1" w:tplc="288843A0">
      <w:start w:val="1"/>
      <w:numFmt w:val="lowerLetter"/>
      <w:lvlText w:val="%2."/>
      <w:lvlJc w:val="left"/>
      <w:pPr>
        <w:ind w:left="1440" w:hanging="360"/>
      </w:pPr>
    </w:lvl>
    <w:lvl w:ilvl="2" w:tplc="A13ACDC6">
      <w:start w:val="1"/>
      <w:numFmt w:val="lowerRoman"/>
      <w:lvlText w:val="%3."/>
      <w:lvlJc w:val="right"/>
      <w:pPr>
        <w:ind w:left="2160" w:hanging="180"/>
      </w:pPr>
    </w:lvl>
    <w:lvl w:ilvl="3" w:tplc="9E245D32">
      <w:start w:val="1"/>
      <w:numFmt w:val="decimal"/>
      <w:lvlText w:val="%4."/>
      <w:lvlJc w:val="left"/>
      <w:pPr>
        <w:ind w:left="2880" w:hanging="360"/>
      </w:pPr>
    </w:lvl>
    <w:lvl w:ilvl="4" w:tplc="B64405E6">
      <w:start w:val="1"/>
      <w:numFmt w:val="lowerLetter"/>
      <w:lvlText w:val="%5."/>
      <w:lvlJc w:val="left"/>
      <w:pPr>
        <w:ind w:left="3600" w:hanging="360"/>
      </w:pPr>
    </w:lvl>
    <w:lvl w:ilvl="5" w:tplc="8618C788">
      <w:start w:val="1"/>
      <w:numFmt w:val="lowerRoman"/>
      <w:lvlText w:val="%6."/>
      <w:lvlJc w:val="right"/>
      <w:pPr>
        <w:ind w:left="4320" w:hanging="180"/>
      </w:pPr>
    </w:lvl>
    <w:lvl w:ilvl="6" w:tplc="1EB42B00">
      <w:start w:val="1"/>
      <w:numFmt w:val="decimal"/>
      <w:lvlText w:val="%7."/>
      <w:lvlJc w:val="left"/>
      <w:pPr>
        <w:ind w:left="5040" w:hanging="360"/>
      </w:pPr>
    </w:lvl>
    <w:lvl w:ilvl="7" w:tplc="0B9473EA">
      <w:start w:val="1"/>
      <w:numFmt w:val="lowerLetter"/>
      <w:lvlText w:val="%8."/>
      <w:lvlJc w:val="left"/>
      <w:pPr>
        <w:ind w:left="5760" w:hanging="360"/>
      </w:pPr>
    </w:lvl>
    <w:lvl w:ilvl="8" w:tplc="59FA5146">
      <w:start w:val="1"/>
      <w:numFmt w:val="lowerRoman"/>
      <w:lvlText w:val="%9."/>
      <w:lvlJc w:val="right"/>
      <w:pPr>
        <w:ind w:left="6480" w:hanging="180"/>
      </w:pPr>
    </w:lvl>
  </w:abstractNum>
  <w:abstractNum w:abstractNumId="30" w15:restartNumberingAfterBreak="0">
    <w:nsid w:val="60B1347E"/>
    <w:multiLevelType w:val="hybridMultilevel"/>
    <w:tmpl w:val="7ED8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6F5BF3"/>
    <w:multiLevelType w:val="hybridMultilevel"/>
    <w:tmpl w:val="79AAE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03B17"/>
    <w:multiLevelType w:val="hybridMultilevel"/>
    <w:tmpl w:val="C8DAE112"/>
    <w:lvl w:ilvl="0" w:tplc="30A45A8E">
      <w:start w:val="1"/>
      <w:numFmt w:val="bullet"/>
      <w:lvlText w:val=""/>
      <w:lvlJc w:val="left"/>
      <w:pPr>
        <w:ind w:left="720" w:hanging="360"/>
      </w:pPr>
      <w:rPr>
        <w:rFonts w:ascii="Symbol" w:hAnsi="Symbol" w:hint="default"/>
      </w:rPr>
    </w:lvl>
    <w:lvl w:ilvl="1" w:tplc="83524FE6">
      <w:start w:val="1"/>
      <w:numFmt w:val="bullet"/>
      <w:lvlText w:val="o"/>
      <w:lvlJc w:val="left"/>
      <w:pPr>
        <w:ind w:left="1440" w:hanging="360"/>
      </w:pPr>
      <w:rPr>
        <w:rFonts w:ascii="Courier New" w:hAnsi="Courier New" w:hint="default"/>
      </w:rPr>
    </w:lvl>
    <w:lvl w:ilvl="2" w:tplc="BAD6131A">
      <w:start w:val="1"/>
      <w:numFmt w:val="bullet"/>
      <w:lvlText w:val=""/>
      <w:lvlJc w:val="left"/>
      <w:pPr>
        <w:ind w:left="2160" w:hanging="360"/>
      </w:pPr>
      <w:rPr>
        <w:rFonts w:ascii="Wingdings" w:hAnsi="Wingdings" w:hint="default"/>
      </w:rPr>
    </w:lvl>
    <w:lvl w:ilvl="3" w:tplc="2BA81E64">
      <w:start w:val="1"/>
      <w:numFmt w:val="bullet"/>
      <w:lvlText w:val=""/>
      <w:lvlJc w:val="left"/>
      <w:pPr>
        <w:ind w:left="2880" w:hanging="360"/>
      </w:pPr>
      <w:rPr>
        <w:rFonts w:ascii="Symbol" w:hAnsi="Symbol" w:hint="default"/>
      </w:rPr>
    </w:lvl>
    <w:lvl w:ilvl="4" w:tplc="5E9AD850">
      <w:start w:val="1"/>
      <w:numFmt w:val="bullet"/>
      <w:lvlText w:val="o"/>
      <w:lvlJc w:val="left"/>
      <w:pPr>
        <w:ind w:left="3600" w:hanging="360"/>
      </w:pPr>
      <w:rPr>
        <w:rFonts w:ascii="Courier New" w:hAnsi="Courier New" w:hint="default"/>
      </w:rPr>
    </w:lvl>
    <w:lvl w:ilvl="5" w:tplc="0B3E9804">
      <w:start w:val="1"/>
      <w:numFmt w:val="bullet"/>
      <w:lvlText w:val=""/>
      <w:lvlJc w:val="left"/>
      <w:pPr>
        <w:ind w:left="4320" w:hanging="360"/>
      </w:pPr>
      <w:rPr>
        <w:rFonts w:ascii="Wingdings" w:hAnsi="Wingdings" w:hint="default"/>
      </w:rPr>
    </w:lvl>
    <w:lvl w:ilvl="6" w:tplc="72E66F2A">
      <w:start w:val="1"/>
      <w:numFmt w:val="bullet"/>
      <w:lvlText w:val=""/>
      <w:lvlJc w:val="left"/>
      <w:pPr>
        <w:ind w:left="5040" w:hanging="360"/>
      </w:pPr>
      <w:rPr>
        <w:rFonts w:ascii="Symbol" w:hAnsi="Symbol" w:hint="default"/>
      </w:rPr>
    </w:lvl>
    <w:lvl w:ilvl="7" w:tplc="01E654AC">
      <w:start w:val="1"/>
      <w:numFmt w:val="bullet"/>
      <w:lvlText w:val="o"/>
      <w:lvlJc w:val="left"/>
      <w:pPr>
        <w:ind w:left="5760" w:hanging="360"/>
      </w:pPr>
      <w:rPr>
        <w:rFonts w:ascii="Courier New" w:hAnsi="Courier New" w:hint="default"/>
      </w:rPr>
    </w:lvl>
    <w:lvl w:ilvl="8" w:tplc="CD00ED8E">
      <w:start w:val="1"/>
      <w:numFmt w:val="bullet"/>
      <w:lvlText w:val=""/>
      <w:lvlJc w:val="left"/>
      <w:pPr>
        <w:ind w:left="6480" w:hanging="360"/>
      </w:pPr>
      <w:rPr>
        <w:rFonts w:ascii="Wingdings" w:hAnsi="Wingdings" w:hint="default"/>
      </w:rPr>
    </w:lvl>
  </w:abstractNum>
  <w:abstractNum w:abstractNumId="33" w15:restartNumberingAfterBreak="0">
    <w:nsid w:val="78AA66B2"/>
    <w:multiLevelType w:val="hybridMultilevel"/>
    <w:tmpl w:val="174AD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323032"/>
    <w:multiLevelType w:val="hybridMultilevel"/>
    <w:tmpl w:val="D06C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773918">
    <w:abstractNumId w:val="2"/>
  </w:num>
  <w:num w:numId="2" w16cid:durableId="871311104">
    <w:abstractNumId w:val="23"/>
  </w:num>
  <w:num w:numId="3" w16cid:durableId="1703245246">
    <w:abstractNumId w:val="19"/>
  </w:num>
  <w:num w:numId="4" w16cid:durableId="259679324">
    <w:abstractNumId w:val="18"/>
  </w:num>
  <w:num w:numId="5" w16cid:durableId="626357728">
    <w:abstractNumId w:val="24"/>
  </w:num>
  <w:num w:numId="6" w16cid:durableId="1537501666">
    <w:abstractNumId w:val="25"/>
  </w:num>
  <w:num w:numId="7" w16cid:durableId="1293100186">
    <w:abstractNumId w:val="20"/>
  </w:num>
  <w:num w:numId="8" w16cid:durableId="1657104097">
    <w:abstractNumId w:val="4"/>
  </w:num>
  <w:num w:numId="9" w16cid:durableId="442000425">
    <w:abstractNumId w:val="5"/>
  </w:num>
  <w:num w:numId="10" w16cid:durableId="921447552">
    <w:abstractNumId w:val="1"/>
  </w:num>
  <w:num w:numId="11" w16cid:durableId="1616522110">
    <w:abstractNumId w:val="27"/>
  </w:num>
  <w:num w:numId="12" w16cid:durableId="856696533">
    <w:abstractNumId w:val="12"/>
  </w:num>
  <w:num w:numId="13" w16cid:durableId="1672833727">
    <w:abstractNumId w:val="6"/>
  </w:num>
  <w:num w:numId="14" w16cid:durableId="2016759325">
    <w:abstractNumId w:val="9"/>
  </w:num>
  <w:num w:numId="15" w16cid:durableId="2108888365">
    <w:abstractNumId w:val="11"/>
  </w:num>
  <w:num w:numId="16" w16cid:durableId="270288884">
    <w:abstractNumId w:val="10"/>
  </w:num>
  <w:num w:numId="17" w16cid:durableId="118913084">
    <w:abstractNumId w:val="0"/>
  </w:num>
  <w:num w:numId="18" w16cid:durableId="621352062">
    <w:abstractNumId w:val="0"/>
  </w:num>
  <w:num w:numId="19" w16cid:durableId="931277989">
    <w:abstractNumId w:val="30"/>
  </w:num>
  <w:num w:numId="20" w16cid:durableId="2084645968">
    <w:abstractNumId w:val="7"/>
  </w:num>
  <w:num w:numId="21" w16cid:durableId="2110463710">
    <w:abstractNumId w:val="31"/>
  </w:num>
  <w:num w:numId="22" w16cid:durableId="270666221">
    <w:abstractNumId w:val="34"/>
  </w:num>
  <w:num w:numId="23" w16cid:durableId="1404260273">
    <w:abstractNumId w:val="33"/>
  </w:num>
  <w:num w:numId="24" w16cid:durableId="144904531">
    <w:abstractNumId w:val="21"/>
  </w:num>
  <w:num w:numId="25" w16cid:durableId="869608982">
    <w:abstractNumId w:val="22"/>
  </w:num>
  <w:num w:numId="26" w16cid:durableId="255945759">
    <w:abstractNumId w:val="26"/>
  </w:num>
  <w:num w:numId="27" w16cid:durableId="603997764">
    <w:abstractNumId w:val="15"/>
  </w:num>
  <w:num w:numId="28" w16cid:durableId="143131418">
    <w:abstractNumId w:val="13"/>
  </w:num>
  <w:num w:numId="29" w16cid:durableId="1392264170">
    <w:abstractNumId w:val="14"/>
  </w:num>
  <w:num w:numId="30" w16cid:durableId="1470130683">
    <w:abstractNumId w:val="3"/>
  </w:num>
  <w:num w:numId="31" w16cid:durableId="383330221">
    <w:abstractNumId w:val="17"/>
  </w:num>
  <w:num w:numId="32" w16cid:durableId="290015700">
    <w:abstractNumId w:val="29"/>
  </w:num>
  <w:num w:numId="33" w16cid:durableId="394353249">
    <w:abstractNumId w:val="32"/>
  </w:num>
  <w:num w:numId="34" w16cid:durableId="1618486815">
    <w:abstractNumId w:val="8"/>
  </w:num>
  <w:num w:numId="35" w16cid:durableId="1647665055">
    <w:abstractNumId w:val="28"/>
  </w:num>
  <w:num w:numId="36" w16cid:durableId="5489553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DA"/>
    <w:rsid w:val="00001C08"/>
    <w:rsid w:val="0000237A"/>
    <w:rsid w:val="0000247C"/>
    <w:rsid w:val="000036A6"/>
    <w:rsid w:val="00004A44"/>
    <w:rsid w:val="000053EB"/>
    <w:rsid w:val="000071C6"/>
    <w:rsid w:val="00011807"/>
    <w:rsid w:val="00011CA1"/>
    <w:rsid w:val="000143BF"/>
    <w:rsid w:val="0002186A"/>
    <w:rsid w:val="00023B92"/>
    <w:rsid w:val="00024381"/>
    <w:rsid w:val="00024E91"/>
    <w:rsid w:val="00025D24"/>
    <w:rsid w:val="00027A9A"/>
    <w:rsid w:val="00034456"/>
    <w:rsid w:val="000352EC"/>
    <w:rsid w:val="000361A6"/>
    <w:rsid w:val="0003658B"/>
    <w:rsid w:val="0003676D"/>
    <w:rsid w:val="0004124D"/>
    <w:rsid w:val="00052D6F"/>
    <w:rsid w:val="00054106"/>
    <w:rsid w:val="00054BD9"/>
    <w:rsid w:val="000569D6"/>
    <w:rsid w:val="000617EE"/>
    <w:rsid w:val="000629E0"/>
    <w:rsid w:val="00066AF6"/>
    <w:rsid w:val="00067556"/>
    <w:rsid w:val="00067C35"/>
    <w:rsid w:val="00074EBF"/>
    <w:rsid w:val="00075120"/>
    <w:rsid w:val="00075FB6"/>
    <w:rsid w:val="000763F0"/>
    <w:rsid w:val="00077029"/>
    <w:rsid w:val="00080A3B"/>
    <w:rsid w:val="00080FEE"/>
    <w:rsid w:val="000849AF"/>
    <w:rsid w:val="00090B35"/>
    <w:rsid w:val="000922C4"/>
    <w:rsid w:val="00094031"/>
    <w:rsid w:val="00095AC0"/>
    <w:rsid w:val="00096045"/>
    <w:rsid w:val="00097CC1"/>
    <w:rsid w:val="000A00B2"/>
    <w:rsid w:val="000A00C6"/>
    <w:rsid w:val="000A21B2"/>
    <w:rsid w:val="000A67A4"/>
    <w:rsid w:val="000B3A11"/>
    <w:rsid w:val="000B4145"/>
    <w:rsid w:val="000B4979"/>
    <w:rsid w:val="000B54A4"/>
    <w:rsid w:val="000B63EE"/>
    <w:rsid w:val="000B6991"/>
    <w:rsid w:val="000B7285"/>
    <w:rsid w:val="000C0A88"/>
    <w:rsid w:val="000C0C35"/>
    <w:rsid w:val="000C138D"/>
    <w:rsid w:val="000C2542"/>
    <w:rsid w:val="000C48E9"/>
    <w:rsid w:val="000C49AA"/>
    <w:rsid w:val="000C6AEB"/>
    <w:rsid w:val="000D0FBC"/>
    <w:rsid w:val="000D3BF9"/>
    <w:rsid w:val="000D57FC"/>
    <w:rsid w:val="000D62AE"/>
    <w:rsid w:val="000D655D"/>
    <w:rsid w:val="000E0B48"/>
    <w:rsid w:val="000E13FC"/>
    <w:rsid w:val="000E151C"/>
    <w:rsid w:val="000E228B"/>
    <w:rsid w:val="000E22AF"/>
    <w:rsid w:val="000E37C5"/>
    <w:rsid w:val="000E4A20"/>
    <w:rsid w:val="000E4ECE"/>
    <w:rsid w:val="000E5D66"/>
    <w:rsid w:val="000E6B37"/>
    <w:rsid w:val="000E778D"/>
    <w:rsid w:val="000E79F4"/>
    <w:rsid w:val="000F3550"/>
    <w:rsid w:val="001010C1"/>
    <w:rsid w:val="00101A06"/>
    <w:rsid w:val="00101D28"/>
    <w:rsid w:val="00101EB2"/>
    <w:rsid w:val="0010330B"/>
    <w:rsid w:val="0010372D"/>
    <w:rsid w:val="001074B9"/>
    <w:rsid w:val="00113AE1"/>
    <w:rsid w:val="001149DA"/>
    <w:rsid w:val="0011556D"/>
    <w:rsid w:val="00116079"/>
    <w:rsid w:val="00116279"/>
    <w:rsid w:val="00117503"/>
    <w:rsid w:val="00122677"/>
    <w:rsid w:val="001230AD"/>
    <w:rsid w:val="001233E8"/>
    <w:rsid w:val="001248DE"/>
    <w:rsid w:val="0012532C"/>
    <w:rsid w:val="00126519"/>
    <w:rsid w:val="00127D4A"/>
    <w:rsid w:val="0013007A"/>
    <w:rsid w:val="00131942"/>
    <w:rsid w:val="001333E1"/>
    <w:rsid w:val="001420BC"/>
    <w:rsid w:val="001461A0"/>
    <w:rsid w:val="00147C00"/>
    <w:rsid w:val="00152392"/>
    <w:rsid w:val="0015399A"/>
    <w:rsid w:val="00155DAD"/>
    <w:rsid w:val="00156C74"/>
    <w:rsid w:val="001571EF"/>
    <w:rsid w:val="00162AC7"/>
    <w:rsid w:val="00163CA5"/>
    <w:rsid w:val="001648B4"/>
    <w:rsid w:val="001650F7"/>
    <w:rsid w:val="00170DF5"/>
    <w:rsid w:val="001716EC"/>
    <w:rsid w:val="00171764"/>
    <w:rsid w:val="00171843"/>
    <w:rsid w:val="001729EE"/>
    <w:rsid w:val="0017441F"/>
    <w:rsid w:val="001750F9"/>
    <w:rsid w:val="001754C2"/>
    <w:rsid w:val="00175844"/>
    <w:rsid w:val="001762E0"/>
    <w:rsid w:val="0017664B"/>
    <w:rsid w:val="00176E8E"/>
    <w:rsid w:val="00182E7B"/>
    <w:rsid w:val="0018574F"/>
    <w:rsid w:val="0018639C"/>
    <w:rsid w:val="00186A2A"/>
    <w:rsid w:val="00186AC0"/>
    <w:rsid w:val="00191C3F"/>
    <w:rsid w:val="00191D69"/>
    <w:rsid w:val="001A7103"/>
    <w:rsid w:val="001A783E"/>
    <w:rsid w:val="001A7CCD"/>
    <w:rsid w:val="001B43F9"/>
    <w:rsid w:val="001B78D9"/>
    <w:rsid w:val="001C1D8E"/>
    <w:rsid w:val="001C282A"/>
    <w:rsid w:val="001C2FE3"/>
    <w:rsid w:val="001C328D"/>
    <w:rsid w:val="001C3CAC"/>
    <w:rsid w:val="001C3FB3"/>
    <w:rsid w:val="001C558F"/>
    <w:rsid w:val="001C6255"/>
    <w:rsid w:val="001C6C73"/>
    <w:rsid w:val="001C6C7D"/>
    <w:rsid w:val="001D4FFD"/>
    <w:rsid w:val="001E1AF9"/>
    <w:rsid w:val="001E2665"/>
    <w:rsid w:val="001E3071"/>
    <w:rsid w:val="001E30C3"/>
    <w:rsid w:val="001E4649"/>
    <w:rsid w:val="001E5ECB"/>
    <w:rsid w:val="001F0376"/>
    <w:rsid w:val="001F1811"/>
    <w:rsid w:val="001F523E"/>
    <w:rsid w:val="001F6F9E"/>
    <w:rsid w:val="001F7C51"/>
    <w:rsid w:val="00202E74"/>
    <w:rsid w:val="002037D5"/>
    <w:rsid w:val="00210FC5"/>
    <w:rsid w:val="002146E3"/>
    <w:rsid w:val="00214AF6"/>
    <w:rsid w:val="00215BA2"/>
    <w:rsid w:val="00215F9D"/>
    <w:rsid w:val="002236CE"/>
    <w:rsid w:val="00224E95"/>
    <w:rsid w:val="00230739"/>
    <w:rsid w:val="00230896"/>
    <w:rsid w:val="0023145A"/>
    <w:rsid w:val="0023311E"/>
    <w:rsid w:val="002331EE"/>
    <w:rsid w:val="0023320E"/>
    <w:rsid w:val="00233BC8"/>
    <w:rsid w:val="00234175"/>
    <w:rsid w:val="00234F45"/>
    <w:rsid w:val="002355D0"/>
    <w:rsid w:val="00235CDA"/>
    <w:rsid w:val="00236D64"/>
    <w:rsid w:val="00241FA1"/>
    <w:rsid w:val="00242A42"/>
    <w:rsid w:val="00244ABA"/>
    <w:rsid w:val="00246254"/>
    <w:rsid w:val="002508B0"/>
    <w:rsid w:val="0025164F"/>
    <w:rsid w:val="00252EBD"/>
    <w:rsid w:val="00253C06"/>
    <w:rsid w:val="00253CA0"/>
    <w:rsid w:val="00254035"/>
    <w:rsid w:val="0025492B"/>
    <w:rsid w:val="00254C79"/>
    <w:rsid w:val="00260501"/>
    <w:rsid w:val="00260EB1"/>
    <w:rsid w:val="00262AB9"/>
    <w:rsid w:val="00264566"/>
    <w:rsid w:val="002672C5"/>
    <w:rsid w:val="002673B2"/>
    <w:rsid w:val="0027015F"/>
    <w:rsid w:val="002739B4"/>
    <w:rsid w:val="00275F29"/>
    <w:rsid w:val="002761AE"/>
    <w:rsid w:val="00276E23"/>
    <w:rsid w:val="0028043C"/>
    <w:rsid w:val="002819A7"/>
    <w:rsid w:val="00283765"/>
    <w:rsid w:val="00283B59"/>
    <w:rsid w:val="00284F69"/>
    <w:rsid w:val="00285DF3"/>
    <w:rsid w:val="00286709"/>
    <w:rsid w:val="00286992"/>
    <w:rsid w:val="00286AF3"/>
    <w:rsid w:val="002873A4"/>
    <w:rsid w:val="00287B59"/>
    <w:rsid w:val="00290F95"/>
    <w:rsid w:val="0029631D"/>
    <w:rsid w:val="002964D1"/>
    <w:rsid w:val="0029674E"/>
    <w:rsid w:val="002A2DE7"/>
    <w:rsid w:val="002A3945"/>
    <w:rsid w:val="002A5EF1"/>
    <w:rsid w:val="002B0DF8"/>
    <w:rsid w:val="002B1A25"/>
    <w:rsid w:val="002B4470"/>
    <w:rsid w:val="002B4AA9"/>
    <w:rsid w:val="002B53DB"/>
    <w:rsid w:val="002B6A72"/>
    <w:rsid w:val="002B6B33"/>
    <w:rsid w:val="002B748F"/>
    <w:rsid w:val="002C3C3D"/>
    <w:rsid w:val="002C61D1"/>
    <w:rsid w:val="002C6C80"/>
    <w:rsid w:val="002C77DA"/>
    <w:rsid w:val="002C7CB1"/>
    <w:rsid w:val="002D7B77"/>
    <w:rsid w:val="002E1526"/>
    <w:rsid w:val="002E1C93"/>
    <w:rsid w:val="002E2954"/>
    <w:rsid w:val="002E29EC"/>
    <w:rsid w:val="002E6EDF"/>
    <w:rsid w:val="002E731E"/>
    <w:rsid w:val="002E7B42"/>
    <w:rsid w:val="002F1B2C"/>
    <w:rsid w:val="002F29AC"/>
    <w:rsid w:val="002F2ED3"/>
    <w:rsid w:val="002F4065"/>
    <w:rsid w:val="002F62B1"/>
    <w:rsid w:val="00300B31"/>
    <w:rsid w:val="00302C5C"/>
    <w:rsid w:val="003035E2"/>
    <w:rsid w:val="00303E76"/>
    <w:rsid w:val="00305D53"/>
    <w:rsid w:val="00307FE4"/>
    <w:rsid w:val="00310E24"/>
    <w:rsid w:val="003132F2"/>
    <w:rsid w:val="00313E46"/>
    <w:rsid w:val="00314F49"/>
    <w:rsid w:val="003234F8"/>
    <w:rsid w:val="0032441D"/>
    <w:rsid w:val="00325C30"/>
    <w:rsid w:val="00327EF8"/>
    <w:rsid w:val="003303AF"/>
    <w:rsid w:val="00331E8B"/>
    <w:rsid w:val="00332198"/>
    <w:rsid w:val="00335BB3"/>
    <w:rsid w:val="0033708A"/>
    <w:rsid w:val="00337344"/>
    <w:rsid w:val="0034299B"/>
    <w:rsid w:val="003444A4"/>
    <w:rsid w:val="00347B4E"/>
    <w:rsid w:val="00347EBE"/>
    <w:rsid w:val="00351EC0"/>
    <w:rsid w:val="0035257B"/>
    <w:rsid w:val="003548F8"/>
    <w:rsid w:val="00354DA5"/>
    <w:rsid w:val="00356CEE"/>
    <w:rsid w:val="00361DBB"/>
    <w:rsid w:val="00361F3C"/>
    <w:rsid w:val="0036515C"/>
    <w:rsid w:val="003678E3"/>
    <w:rsid w:val="00371C5F"/>
    <w:rsid w:val="00373D25"/>
    <w:rsid w:val="00380E41"/>
    <w:rsid w:val="00383A84"/>
    <w:rsid w:val="00384B50"/>
    <w:rsid w:val="00385261"/>
    <w:rsid w:val="0038544E"/>
    <w:rsid w:val="00386581"/>
    <w:rsid w:val="003867AC"/>
    <w:rsid w:val="00387EC7"/>
    <w:rsid w:val="00390622"/>
    <w:rsid w:val="00390D15"/>
    <w:rsid w:val="00397173"/>
    <w:rsid w:val="003A108D"/>
    <w:rsid w:val="003A51F7"/>
    <w:rsid w:val="003A5678"/>
    <w:rsid w:val="003A764E"/>
    <w:rsid w:val="003B25B0"/>
    <w:rsid w:val="003B273C"/>
    <w:rsid w:val="003B32D1"/>
    <w:rsid w:val="003B3518"/>
    <w:rsid w:val="003B38BF"/>
    <w:rsid w:val="003B50AF"/>
    <w:rsid w:val="003C1061"/>
    <w:rsid w:val="003C3AF0"/>
    <w:rsid w:val="003C4D3D"/>
    <w:rsid w:val="003C5450"/>
    <w:rsid w:val="003C54F9"/>
    <w:rsid w:val="003D162B"/>
    <w:rsid w:val="003D42F1"/>
    <w:rsid w:val="003D5BCA"/>
    <w:rsid w:val="003E0012"/>
    <w:rsid w:val="003E014A"/>
    <w:rsid w:val="003E1A10"/>
    <w:rsid w:val="003E598A"/>
    <w:rsid w:val="003E5ACF"/>
    <w:rsid w:val="003E87B7"/>
    <w:rsid w:val="003F2BE6"/>
    <w:rsid w:val="003F2FB2"/>
    <w:rsid w:val="003F4688"/>
    <w:rsid w:val="003F4FF0"/>
    <w:rsid w:val="003F63C3"/>
    <w:rsid w:val="00404E88"/>
    <w:rsid w:val="004054E1"/>
    <w:rsid w:val="00407E79"/>
    <w:rsid w:val="00414AC4"/>
    <w:rsid w:val="00415F00"/>
    <w:rsid w:val="00417B35"/>
    <w:rsid w:val="00420AAD"/>
    <w:rsid w:val="00420ED1"/>
    <w:rsid w:val="00422240"/>
    <w:rsid w:val="00423AF9"/>
    <w:rsid w:val="00424D4D"/>
    <w:rsid w:val="004261D0"/>
    <w:rsid w:val="004269FA"/>
    <w:rsid w:val="00426CDD"/>
    <w:rsid w:val="00430199"/>
    <w:rsid w:val="00433036"/>
    <w:rsid w:val="00433C3D"/>
    <w:rsid w:val="00434979"/>
    <w:rsid w:val="00434C65"/>
    <w:rsid w:val="0044239C"/>
    <w:rsid w:val="004425E9"/>
    <w:rsid w:val="004528D2"/>
    <w:rsid w:val="00453075"/>
    <w:rsid w:val="00454279"/>
    <w:rsid w:val="00457587"/>
    <w:rsid w:val="00457641"/>
    <w:rsid w:val="00457668"/>
    <w:rsid w:val="004715BB"/>
    <w:rsid w:val="00473321"/>
    <w:rsid w:val="00475415"/>
    <w:rsid w:val="0047723F"/>
    <w:rsid w:val="004774CF"/>
    <w:rsid w:val="00480CB6"/>
    <w:rsid w:val="004811DD"/>
    <w:rsid w:val="0048139D"/>
    <w:rsid w:val="0048301B"/>
    <w:rsid w:val="00485C84"/>
    <w:rsid w:val="00486CD6"/>
    <w:rsid w:val="00486D16"/>
    <w:rsid w:val="00487C6A"/>
    <w:rsid w:val="00487F24"/>
    <w:rsid w:val="00490D90"/>
    <w:rsid w:val="00492F8C"/>
    <w:rsid w:val="004968DD"/>
    <w:rsid w:val="00496BCB"/>
    <w:rsid w:val="004A194F"/>
    <w:rsid w:val="004A4033"/>
    <w:rsid w:val="004A4D56"/>
    <w:rsid w:val="004A585F"/>
    <w:rsid w:val="004B2262"/>
    <w:rsid w:val="004B24C1"/>
    <w:rsid w:val="004B2745"/>
    <w:rsid w:val="004B30DF"/>
    <w:rsid w:val="004B3E26"/>
    <w:rsid w:val="004B4DBF"/>
    <w:rsid w:val="004B508D"/>
    <w:rsid w:val="004B65BD"/>
    <w:rsid w:val="004B7ABC"/>
    <w:rsid w:val="004B7FF6"/>
    <w:rsid w:val="004C0143"/>
    <w:rsid w:val="004C0DFD"/>
    <w:rsid w:val="004C2F5C"/>
    <w:rsid w:val="004C2FE1"/>
    <w:rsid w:val="004C3775"/>
    <w:rsid w:val="004C3CD0"/>
    <w:rsid w:val="004C5708"/>
    <w:rsid w:val="004C5EC8"/>
    <w:rsid w:val="004D0673"/>
    <w:rsid w:val="004D100E"/>
    <w:rsid w:val="004D1961"/>
    <w:rsid w:val="004D1B2D"/>
    <w:rsid w:val="004D33BD"/>
    <w:rsid w:val="004D3993"/>
    <w:rsid w:val="004D3F60"/>
    <w:rsid w:val="004D6F34"/>
    <w:rsid w:val="004E5054"/>
    <w:rsid w:val="004E52EF"/>
    <w:rsid w:val="004E6082"/>
    <w:rsid w:val="004E7267"/>
    <w:rsid w:val="004E75D4"/>
    <w:rsid w:val="004E7C52"/>
    <w:rsid w:val="004F572A"/>
    <w:rsid w:val="004F7727"/>
    <w:rsid w:val="004FC6D9"/>
    <w:rsid w:val="0050347C"/>
    <w:rsid w:val="00503A25"/>
    <w:rsid w:val="0050409E"/>
    <w:rsid w:val="00504297"/>
    <w:rsid w:val="005044C0"/>
    <w:rsid w:val="00506DB5"/>
    <w:rsid w:val="005105C8"/>
    <w:rsid w:val="00512DB7"/>
    <w:rsid w:val="00516037"/>
    <w:rsid w:val="00522ABE"/>
    <w:rsid w:val="0052314F"/>
    <w:rsid w:val="00525CB8"/>
    <w:rsid w:val="00525D23"/>
    <w:rsid w:val="005268A4"/>
    <w:rsid w:val="005305C5"/>
    <w:rsid w:val="005326E0"/>
    <w:rsid w:val="005354C3"/>
    <w:rsid w:val="00541CCC"/>
    <w:rsid w:val="005427FF"/>
    <w:rsid w:val="0054364B"/>
    <w:rsid w:val="00544630"/>
    <w:rsid w:val="00544F28"/>
    <w:rsid w:val="00545261"/>
    <w:rsid w:val="005453FB"/>
    <w:rsid w:val="005473DA"/>
    <w:rsid w:val="005526FE"/>
    <w:rsid w:val="005540EF"/>
    <w:rsid w:val="00554425"/>
    <w:rsid w:val="00562DC8"/>
    <w:rsid w:val="005634AB"/>
    <w:rsid w:val="00565554"/>
    <w:rsid w:val="0056626C"/>
    <w:rsid w:val="0056672E"/>
    <w:rsid w:val="00571D52"/>
    <w:rsid w:val="00574DCE"/>
    <w:rsid w:val="005777EA"/>
    <w:rsid w:val="00581CFA"/>
    <w:rsid w:val="00581E2B"/>
    <w:rsid w:val="00584951"/>
    <w:rsid w:val="0059142F"/>
    <w:rsid w:val="0059272C"/>
    <w:rsid w:val="005927AC"/>
    <w:rsid w:val="005937C7"/>
    <w:rsid w:val="005949A0"/>
    <w:rsid w:val="005A0E5B"/>
    <w:rsid w:val="005A390D"/>
    <w:rsid w:val="005A5317"/>
    <w:rsid w:val="005A54DB"/>
    <w:rsid w:val="005A6A04"/>
    <w:rsid w:val="005A6BD5"/>
    <w:rsid w:val="005A7FBF"/>
    <w:rsid w:val="005B07E0"/>
    <w:rsid w:val="005B1F74"/>
    <w:rsid w:val="005B1F88"/>
    <w:rsid w:val="005B26F3"/>
    <w:rsid w:val="005B40A2"/>
    <w:rsid w:val="005B4B0A"/>
    <w:rsid w:val="005B5A6D"/>
    <w:rsid w:val="005B64E7"/>
    <w:rsid w:val="005B679E"/>
    <w:rsid w:val="005C02D5"/>
    <w:rsid w:val="005C10BF"/>
    <w:rsid w:val="005C12D3"/>
    <w:rsid w:val="005C2B41"/>
    <w:rsid w:val="005C351A"/>
    <w:rsid w:val="005C5524"/>
    <w:rsid w:val="005C5BE0"/>
    <w:rsid w:val="005C7326"/>
    <w:rsid w:val="005C7C19"/>
    <w:rsid w:val="005D44DA"/>
    <w:rsid w:val="005E028F"/>
    <w:rsid w:val="005E464E"/>
    <w:rsid w:val="005E4CAA"/>
    <w:rsid w:val="005E7B2D"/>
    <w:rsid w:val="005F202A"/>
    <w:rsid w:val="005F3AF6"/>
    <w:rsid w:val="005F52B4"/>
    <w:rsid w:val="005F5A91"/>
    <w:rsid w:val="0060274A"/>
    <w:rsid w:val="00602D0E"/>
    <w:rsid w:val="006042FE"/>
    <w:rsid w:val="00605E81"/>
    <w:rsid w:val="00606B09"/>
    <w:rsid w:val="0061357F"/>
    <w:rsid w:val="00613D00"/>
    <w:rsid w:val="00614CEE"/>
    <w:rsid w:val="00615358"/>
    <w:rsid w:val="0061765C"/>
    <w:rsid w:val="00617ADE"/>
    <w:rsid w:val="00617FA3"/>
    <w:rsid w:val="006205C6"/>
    <w:rsid w:val="00621D7F"/>
    <w:rsid w:val="0062387E"/>
    <w:rsid w:val="006247BB"/>
    <w:rsid w:val="00626A4A"/>
    <w:rsid w:val="00631427"/>
    <w:rsid w:val="006332A5"/>
    <w:rsid w:val="0063715D"/>
    <w:rsid w:val="00641E15"/>
    <w:rsid w:val="006423D5"/>
    <w:rsid w:val="0064280C"/>
    <w:rsid w:val="0064533A"/>
    <w:rsid w:val="00645725"/>
    <w:rsid w:val="006460E3"/>
    <w:rsid w:val="00647016"/>
    <w:rsid w:val="00647355"/>
    <w:rsid w:val="00650ABC"/>
    <w:rsid w:val="00651D7B"/>
    <w:rsid w:val="006523AC"/>
    <w:rsid w:val="00652678"/>
    <w:rsid w:val="00653BE6"/>
    <w:rsid w:val="0065427D"/>
    <w:rsid w:val="00654CC9"/>
    <w:rsid w:val="00655BE9"/>
    <w:rsid w:val="00657ADD"/>
    <w:rsid w:val="006645FC"/>
    <w:rsid w:val="006664AD"/>
    <w:rsid w:val="006671C8"/>
    <w:rsid w:val="00667ACD"/>
    <w:rsid w:val="0067023F"/>
    <w:rsid w:val="00671010"/>
    <w:rsid w:val="00671868"/>
    <w:rsid w:val="00671B21"/>
    <w:rsid w:val="00673D18"/>
    <w:rsid w:val="00674DF0"/>
    <w:rsid w:val="006754AD"/>
    <w:rsid w:val="00675DE3"/>
    <w:rsid w:val="00675F82"/>
    <w:rsid w:val="006766DD"/>
    <w:rsid w:val="00680D92"/>
    <w:rsid w:val="00681906"/>
    <w:rsid w:val="006825DC"/>
    <w:rsid w:val="00682CAB"/>
    <w:rsid w:val="006840AA"/>
    <w:rsid w:val="00686ADF"/>
    <w:rsid w:val="0068728E"/>
    <w:rsid w:val="006874FD"/>
    <w:rsid w:val="00687F47"/>
    <w:rsid w:val="0069032D"/>
    <w:rsid w:val="00690BF4"/>
    <w:rsid w:val="00692F33"/>
    <w:rsid w:val="00695128"/>
    <w:rsid w:val="00695AD2"/>
    <w:rsid w:val="006963FD"/>
    <w:rsid w:val="006A513C"/>
    <w:rsid w:val="006A5161"/>
    <w:rsid w:val="006A5C97"/>
    <w:rsid w:val="006B0186"/>
    <w:rsid w:val="006B067B"/>
    <w:rsid w:val="006B2204"/>
    <w:rsid w:val="006B2516"/>
    <w:rsid w:val="006B3367"/>
    <w:rsid w:val="006B5165"/>
    <w:rsid w:val="006B6901"/>
    <w:rsid w:val="006B7C10"/>
    <w:rsid w:val="006C39F8"/>
    <w:rsid w:val="006C3B16"/>
    <w:rsid w:val="006C5B90"/>
    <w:rsid w:val="006C66BD"/>
    <w:rsid w:val="006C68F0"/>
    <w:rsid w:val="006D085B"/>
    <w:rsid w:val="006D10ED"/>
    <w:rsid w:val="006D1642"/>
    <w:rsid w:val="006D3F99"/>
    <w:rsid w:val="006E01F5"/>
    <w:rsid w:val="006E0D87"/>
    <w:rsid w:val="006E34C3"/>
    <w:rsid w:val="006E36C1"/>
    <w:rsid w:val="006E55A4"/>
    <w:rsid w:val="006E5D05"/>
    <w:rsid w:val="006E63A2"/>
    <w:rsid w:val="006E6EC8"/>
    <w:rsid w:val="006F0321"/>
    <w:rsid w:val="006F5041"/>
    <w:rsid w:val="006F5786"/>
    <w:rsid w:val="006F7B40"/>
    <w:rsid w:val="007044BE"/>
    <w:rsid w:val="00704855"/>
    <w:rsid w:val="00706457"/>
    <w:rsid w:val="00711DEE"/>
    <w:rsid w:val="00713904"/>
    <w:rsid w:val="00724AC0"/>
    <w:rsid w:val="00725AA3"/>
    <w:rsid w:val="0072B9FF"/>
    <w:rsid w:val="00732BCB"/>
    <w:rsid w:val="0073415D"/>
    <w:rsid w:val="00735853"/>
    <w:rsid w:val="00740562"/>
    <w:rsid w:val="00740F0B"/>
    <w:rsid w:val="0074149D"/>
    <w:rsid w:val="00741A79"/>
    <w:rsid w:val="007447E0"/>
    <w:rsid w:val="00747552"/>
    <w:rsid w:val="0075359E"/>
    <w:rsid w:val="00753CA6"/>
    <w:rsid w:val="00757705"/>
    <w:rsid w:val="007604A3"/>
    <w:rsid w:val="007610AC"/>
    <w:rsid w:val="007618A8"/>
    <w:rsid w:val="00761CEC"/>
    <w:rsid w:val="0076202F"/>
    <w:rsid w:val="00767720"/>
    <w:rsid w:val="00767E28"/>
    <w:rsid w:val="00770AE0"/>
    <w:rsid w:val="007710B4"/>
    <w:rsid w:val="007733F1"/>
    <w:rsid w:val="00773DB1"/>
    <w:rsid w:val="00774616"/>
    <w:rsid w:val="007756C5"/>
    <w:rsid w:val="00776674"/>
    <w:rsid w:val="00780045"/>
    <w:rsid w:val="00780F6B"/>
    <w:rsid w:val="0078242E"/>
    <w:rsid w:val="007837FD"/>
    <w:rsid w:val="00783AE1"/>
    <w:rsid w:val="00785464"/>
    <w:rsid w:val="0078644E"/>
    <w:rsid w:val="00786D72"/>
    <w:rsid w:val="00792C39"/>
    <w:rsid w:val="0079380F"/>
    <w:rsid w:val="00796479"/>
    <w:rsid w:val="0079679A"/>
    <w:rsid w:val="007A626A"/>
    <w:rsid w:val="007A6E47"/>
    <w:rsid w:val="007B2418"/>
    <w:rsid w:val="007B3C2E"/>
    <w:rsid w:val="007B533A"/>
    <w:rsid w:val="007B6599"/>
    <w:rsid w:val="007B6977"/>
    <w:rsid w:val="007C19FE"/>
    <w:rsid w:val="007C1A27"/>
    <w:rsid w:val="007C1A96"/>
    <w:rsid w:val="007C2C0E"/>
    <w:rsid w:val="007C3F75"/>
    <w:rsid w:val="007C4867"/>
    <w:rsid w:val="007C5932"/>
    <w:rsid w:val="007D264F"/>
    <w:rsid w:val="007D40A8"/>
    <w:rsid w:val="007E02DE"/>
    <w:rsid w:val="007E1B4F"/>
    <w:rsid w:val="007E4543"/>
    <w:rsid w:val="007F1752"/>
    <w:rsid w:val="007F27B1"/>
    <w:rsid w:val="007F3A90"/>
    <w:rsid w:val="007F4298"/>
    <w:rsid w:val="007F610B"/>
    <w:rsid w:val="007F712A"/>
    <w:rsid w:val="0080211B"/>
    <w:rsid w:val="008024B5"/>
    <w:rsid w:val="00802AF0"/>
    <w:rsid w:val="00802EA8"/>
    <w:rsid w:val="008049B4"/>
    <w:rsid w:val="00812246"/>
    <w:rsid w:val="0081325A"/>
    <w:rsid w:val="00813B2E"/>
    <w:rsid w:val="008156A2"/>
    <w:rsid w:val="008203BB"/>
    <w:rsid w:val="0082067C"/>
    <w:rsid w:val="0082132D"/>
    <w:rsid w:val="00821E71"/>
    <w:rsid w:val="0082307E"/>
    <w:rsid w:val="008233F7"/>
    <w:rsid w:val="008251F5"/>
    <w:rsid w:val="00826F5B"/>
    <w:rsid w:val="00826FC5"/>
    <w:rsid w:val="008279D7"/>
    <w:rsid w:val="008305A6"/>
    <w:rsid w:val="00831FBF"/>
    <w:rsid w:val="0083287D"/>
    <w:rsid w:val="00834E83"/>
    <w:rsid w:val="00837755"/>
    <w:rsid w:val="008420B8"/>
    <w:rsid w:val="00844E8C"/>
    <w:rsid w:val="00845604"/>
    <w:rsid w:val="00846692"/>
    <w:rsid w:val="00846BFF"/>
    <w:rsid w:val="00851373"/>
    <w:rsid w:val="0085171F"/>
    <w:rsid w:val="00854C79"/>
    <w:rsid w:val="0085527B"/>
    <w:rsid w:val="008556A9"/>
    <w:rsid w:val="008576C7"/>
    <w:rsid w:val="0086031C"/>
    <w:rsid w:val="008629B0"/>
    <w:rsid w:val="008642A1"/>
    <w:rsid w:val="008650F1"/>
    <w:rsid w:val="008671AD"/>
    <w:rsid w:val="008701D1"/>
    <w:rsid w:val="0087100F"/>
    <w:rsid w:val="00871D29"/>
    <w:rsid w:val="00874E0F"/>
    <w:rsid w:val="00877845"/>
    <w:rsid w:val="00877DD8"/>
    <w:rsid w:val="00880EAC"/>
    <w:rsid w:val="008825C5"/>
    <w:rsid w:val="00883884"/>
    <w:rsid w:val="00885EDC"/>
    <w:rsid w:val="0088630B"/>
    <w:rsid w:val="00890A0C"/>
    <w:rsid w:val="00891409"/>
    <w:rsid w:val="0089367D"/>
    <w:rsid w:val="008947FD"/>
    <w:rsid w:val="008956BA"/>
    <w:rsid w:val="00895CCD"/>
    <w:rsid w:val="00896944"/>
    <w:rsid w:val="00896DDC"/>
    <w:rsid w:val="008A149D"/>
    <w:rsid w:val="008A223C"/>
    <w:rsid w:val="008A46A0"/>
    <w:rsid w:val="008A56D3"/>
    <w:rsid w:val="008A5981"/>
    <w:rsid w:val="008A5994"/>
    <w:rsid w:val="008A5A92"/>
    <w:rsid w:val="008A5E82"/>
    <w:rsid w:val="008A71C0"/>
    <w:rsid w:val="008A7D2C"/>
    <w:rsid w:val="008B0ED7"/>
    <w:rsid w:val="008B47AA"/>
    <w:rsid w:val="008B562F"/>
    <w:rsid w:val="008B6C93"/>
    <w:rsid w:val="008C1676"/>
    <w:rsid w:val="008C1DAE"/>
    <w:rsid w:val="008C56B3"/>
    <w:rsid w:val="008C6FA4"/>
    <w:rsid w:val="008D217E"/>
    <w:rsid w:val="008D3B07"/>
    <w:rsid w:val="008D3BD5"/>
    <w:rsid w:val="008D4DA0"/>
    <w:rsid w:val="008D54D1"/>
    <w:rsid w:val="008D5737"/>
    <w:rsid w:val="008D5AD8"/>
    <w:rsid w:val="008E06E0"/>
    <w:rsid w:val="008E10BE"/>
    <w:rsid w:val="008E1EEC"/>
    <w:rsid w:val="008E6323"/>
    <w:rsid w:val="008E6BA0"/>
    <w:rsid w:val="008F048A"/>
    <w:rsid w:val="008F10F1"/>
    <w:rsid w:val="008F1350"/>
    <w:rsid w:val="008F1C43"/>
    <w:rsid w:val="008F24B1"/>
    <w:rsid w:val="008F5056"/>
    <w:rsid w:val="008F526E"/>
    <w:rsid w:val="00904255"/>
    <w:rsid w:val="00905A40"/>
    <w:rsid w:val="00906943"/>
    <w:rsid w:val="009109F1"/>
    <w:rsid w:val="00912320"/>
    <w:rsid w:val="009127DC"/>
    <w:rsid w:val="00912B37"/>
    <w:rsid w:val="0091351C"/>
    <w:rsid w:val="00914511"/>
    <w:rsid w:val="009161A0"/>
    <w:rsid w:val="00922A34"/>
    <w:rsid w:val="009232BB"/>
    <w:rsid w:val="00923CF4"/>
    <w:rsid w:val="009246D7"/>
    <w:rsid w:val="00925463"/>
    <w:rsid w:val="00941062"/>
    <w:rsid w:val="009416A2"/>
    <w:rsid w:val="00942939"/>
    <w:rsid w:val="00944024"/>
    <w:rsid w:val="00944476"/>
    <w:rsid w:val="0095109E"/>
    <w:rsid w:val="0095183F"/>
    <w:rsid w:val="009525A2"/>
    <w:rsid w:val="00953FC7"/>
    <w:rsid w:val="0095491B"/>
    <w:rsid w:val="00955034"/>
    <w:rsid w:val="00955173"/>
    <w:rsid w:val="009561CC"/>
    <w:rsid w:val="009566B8"/>
    <w:rsid w:val="00961588"/>
    <w:rsid w:val="009619AF"/>
    <w:rsid w:val="0096636C"/>
    <w:rsid w:val="0096660A"/>
    <w:rsid w:val="009714E5"/>
    <w:rsid w:val="00973E12"/>
    <w:rsid w:val="0097504F"/>
    <w:rsid w:val="00977437"/>
    <w:rsid w:val="00977D6D"/>
    <w:rsid w:val="00990351"/>
    <w:rsid w:val="009917B7"/>
    <w:rsid w:val="00992149"/>
    <w:rsid w:val="00994F7D"/>
    <w:rsid w:val="00997325"/>
    <w:rsid w:val="009A03A8"/>
    <w:rsid w:val="009A0AF5"/>
    <w:rsid w:val="009A0E68"/>
    <w:rsid w:val="009B12AB"/>
    <w:rsid w:val="009B2219"/>
    <w:rsid w:val="009B3095"/>
    <w:rsid w:val="009B6AAE"/>
    <w:rsid w:val="009B6D7F"/>
    <w:rsid w:val="009B741E"/>
    <w:rsid w:val="009C206A"/>
    <w:rsid w:val="009C2D22"/>
    <w:rsid w:val="009C4FF0"/>
    <w:rsid w:val="009C7659"/>
    <w:rsid w:val="009D0094"/>
    <w:rsid w:val="009D0B6A"/>
    <w:rsid w:val="009D32C5"/>
    <w:rsid w:val="009D37B4"/>
    <w:rsid w:val="009D6A59"/>
    <w:rsid w:val="009E1470"/>
    <w:rsid w:val="009E16DA"/>
    <w:rsid w:val="009E1C54"/>
    <w:rsid w:val="009E38B5"/>
    <w:rsid w:val="009E3BE9"/>
    <w:rsid w:val="009E4061"/>
    <w:rsid w:val="009E4CD6"/>
    <w:rsid w:val="009E4F91"/>
    <w:rsid w:val="009E5E4D"/>
    <w:rsid w:val="009F1405"/>
    <w:rsid w:val="009F32C6"/>
    <w:rsid w:val="009F35D3"/>
    <w:rsid w:val="009F57AE"/>
    <w:rsid w:val="009F630C"/>
    <w:rsid w:val="00A019AC"/>
    <w:rsid w:val="00A01FBE"/>
    <w:rsid w:val="00A03922"/>
    <w:rsid w:val="00A03B90"/>
    <w:rsid w:val="00A065B6"/>
    <w:rsid w:val="00A06B26"/>
    <w:rsid w:val="00A07276"/>
    <w:rsid w:val="00A077AD"/>
    <w:rsid w:val="00A11B15"/>
    <w:rsid w:val="00A1306B"/>
    <w:rsid w:val="00A14FF8"/>
    <w:rsid w:val="00A17F18"/>
    <w:rsid w:val="00A200D9"/>
    <w:rsid w:val="00A20105"/>
    <w:rsid w:val="00A211EA"/>
    <w:rsid w:val="00A264A5"/>
    <w:rsid w:val="00A26A62"/>
    <w:rsid w:val="00A31547"/>
    <w:rsid w:val="00A41976"/>
    <w:rsid w:val="00A42849"/>
    <w:rsid w:val="00A444EE"/>
    <w:rsid w:val="00A45D8A"/>
    <w:rsid w:val="00A4754C"/>
    <w:rsid w:val="00A549E7"/>
    <w:rsid w:val="00A55CED"/>
    <w:rsid w:val="00A56A9C"/>
    <w:rsid w:val="00A57828"/>
    <w:rsid w:val="00A5A2FC"/>
    <w:rsid w:val="00A60022"/>
    <w:rsid w:val="00A61CAE"/>
    <w:rsid w:val="00A61E28"/>
    <w:rsid w:val="00A6235E"/>
    <w:rsid w:val="00A648D1"/>
    <w:rsid w:val="00A65261"/>
    <w:rsid w:val="00A65CBC"/>
    <w:rsid w:val="00A66267"/>
    <w:rsid w:val="00A6716A"/>
    <w:rsid w:val="00A713CF"/>
    <w:rsid w:val="00A73157"/>
    <w:rsid w:val="00A77195"/>
    <w:rsid w:val="00A851A8"/>
    <w:rsid w:val="00A85E14"/>
    <w:rsid w:val="00A91D62"/>
    <w:rsid w:val="00A9639E"/>
    <w:rsid w:val="00A96620"/>
    <w:rsid w:val="00A976EF"/>
    <w:rsid w:val="00AA1DF1"/>
    <w:rsid w:val="00AA3CB1"/>
    <w:rsid w:val="00AA6CE7"/>
    <w:rsid w:val="00AB1FD6"/>
    <w:rsid w:val="00AB3686"/>
    <w:rsid w:val="00AB432B"/>
    <w:rsid w:val="00AB664F"/>
    <w:rsid w:val="00AB7471"/>
    <w:rsid w:val="00AC13D0"/>
    <w:rsid w:val="00AC1725"/>
    <w:rsid w:val="00AC3995"/>
    <w:rsid w:val="00AC3FF0"/>
    <w:rsid w:val="00AC546F"/>
    <w:rsid w:val="00AC5E2A"/>
    <w:rsid w:val="00AC7181"/>
    <w:rsid w:val="00AC7F6C"/>
    <w:rsid w:val="00AD0CE0"/>
    <w:rsid w:val="00AD2ADB"/>
    <w:rsid w:val="00AD2C3C"/>
    <w:rsid w:val="00AD3663"/>
    <w:rsid w:val="00AD3B0D"/>
    <w:rsid w:val="00AD3E03"/>
    <w:rsid w:val="00AD4928"/>
    <w:rsid w:val="00AD7EF9"/>
    <w:rsid w:val="00AE0696"/>
    <w:rsid w:val="00AE13F9"/>
    <w:rsid w:val="00AE162A"/>
    <w:rsid w:val="00AE28D0"/>
    <w:rsid w:val="00AE2CA0"/>
    <w:rsid w:val="00AE2F46"/>
    <w:rsid w:val="00AE36B9"/>
    <w:rsid w:val="00AE3B0B"/>
    <w:rsid w:val="00AE3EA4"/>
    <w:rsid w:val="00AE6A0D"/>
    <w:rsid w:val="00AF10CD"/>
    <w:rsid w:val="00AF29D6"/>
    <w:rsid w:val="00AF4D0D"/>
    <w:rsid w:val="00AF7FF4"/>
    <w:rsid w:val="00B03095"/>
    <w:rsid w:val="00B03517"/>
    <w:rsid w:val="00B042AB"/>
    <w:rsid w:val="00B05148"/>
    <w:rsid w:val="00B070F7"/>
    <w:rsid w:val="00B12FD3"/>
    <w:rsid w:val="00B13354"/>
    <w:rsid w:val="00B13CC0"/>
    <w:rsid w:val="00B157F3"/>
    <w:rsid w:val="00B17F24"/>
    <w:rsid w:val="00B23E9C"/>
    <w:rsid w:val="00B27A47"/>
    <w:rsid w:val="00B31287"/>
    <w:rsid w:val="00B31D03"/>
    <w:rsid w:val="00B35E98"/>
    <w:rsid w:val="00B3718E"/>
    <w:rsid w:val="00B379DB"/>
    <w:rsid w:val="00B413DD"/>
    <w:rsid w:val="00B4235F"/>
    <w:rsid w:val="00B44CD5"/>
    <w:rsid w:val="00B453C5"/>
    <w:rsid w:val="00B470E6"/>
    <w:rsid w:val="00B51D7A"/>
    <w:rsid w:val="00B52C62"/>
    <w:rsid w:val="00B537DC"/>
    <w:rsid w:val="00B549CC"/>
    <w:rsid w:val="00B577B6"/>
    <w:rsid w:val="00B600F5"/>
    <w:rsid w:val="00B60637"/>
    <w:rsid w:val="00B60B1A"/>
    <w:rsid w:val="00B62251"/>
    <w:rsid w:val="00B63FA8"/>
    <w:rsid w:val="00B6439B"/>
    <w:rsid w:val="00B7214B"/>
    <w:rsid w:val="00B72961"/>
    <w:rsid w:val="00B73B95"/>
    <w:rsid w:val="00B7413F"/>
    <w:rsid w:val="00B74749"/>
    <w:rsid w:val="00B8024B"/>
    <w:rsid w:val="00B818DA"/>
    <w:rsid w:val="00B85DBE"/>
    <w:rsid w:val="00B8644B"/>
    <w:rsid w:val="00B95CB7"/>
    <w:rsid w:val="00B95F96"/>
    <w:rsid w:val="00B96367"/>
    <w:rsid w:val="00BA417A"/>
    <w:rsid w:val="00BA47FE"/>
    <w:rsid w:val="00BA57DE"/>
    <w:rsid w:val="00BA5862"/>
    <w:rsid w:val="00BB15E1"/>
    <w:rsid w:val="00BB4402"/>
    <w:rsid w:val="00BB53CA"/>
    <w:rsid w:val="00BB547D"/>
    <w:rsid w:val="00BB549E"/>
    <w:rsid w:val="00BB5A33"/>
    <w:rsid w:val="00BC3AA7"/>
    <w:rsid w:val="00BD0A40"/>
    <w:rsid w:val="00BD3177"/>
    <w:rsid w:val="00BD3B1F"/>
    <w:rsid w:val="00BD5295"/>
    <w:rsid w:val="00BE03A3"/>
    <w:rsid w:val="00BE04A1"/>
    <w:rsid w:val="00BE0EDE"/>
    <w:rsid w:val="00BE1FF4"/>
    <w:rsid w:val="00BE23C7"/>
    <w:rsid w:val="00BE2F64"/>
    <w:rsid w:val="00BE39BA"/>
    <w:rsid w:val="00BE4A4A"/>
    <w:rsid w:val="00BE5432"/>
    <w:rsid w:val="00BE7145"/>
    <w:rsid w:val="00BF1459"/>
    <w:rsid w:val="00BF1AF6"/>
    <w:rsid w:val="00BF41CB"/>
    <w:rsid w:val="00BF4888"/>
    <w:rsid w:val="00BF7AD8"/>
    <w:rsid w:val="00C01004"/>
    <w:rsid w:val="00C03482"/>
    <w:rsid w:val="00C05213"/>
    <w:rsid w:val="00C05E6B"/>
    <w:rsid w:val="00C0E2BD"/>
    <w:rsid w:val="00C12C19"/>
    <w:rsid w:val="00C169B4"/>
    <w:rsid w:val="00C16A22"/>
    <w:rsid w:val="00C23E3A"/>
    <w:rsid w:val="00C26991"/>
    <w:rsid w:val="00C30185"/>
    <w:rsid w:val="00C33F75"/>
    <w:rsid w:val="00C34443"/>
    <w:rsid w:val="00C359EF"/>
    <w:rsid w:val="00C44A41"/>
    <w:rsid w:val="00C45670"/>
    <w:rsid w:val="00C478BD"/>
    <w:rsid w:val="00C50CE5"/>
    <w:rsid w:val="00C50F19"/>
    <w:rsid w:val="00C510D8"/>
    <w:rsid w:val="00C520B4"/>
    <w:rsid w:val="00C57135"/>
    <w:rsid w:val="00C57147"/>
    <w:rsid w:val="00C579CE"/>
    <w:rsid w:val="00C60AD8"/>
    <w:rsid w:val="00C60B7D"/>
    <w:rsid w:val="00C61043"/>
    <w:rsid w:val="00C6144D"/>
    <w:rsid w:val="00C63547"/>
    <w:rsid w:val="00C64CA9"/>
    <w:rsid w:val="00C64F16"/>
    <w:rsid w:val="00C65C5C"/>
    <w:rsid w:val="00C70C31"/>
    <w:rsid w:val="00C717AC"/>
    <w:rsid w:val="00C74009"/>
    <w:rsid w:val="00C77BB4"/>
    <w:rsid w:val="00C80947"/>
    <w:rsid w:val="00C80BC4"/>
    <w:rsid w:val="00C835A9"/>
    <w:rsid w:val="00C86D65"/>
    <w:rsid w:val="00C87868"/>
    <w:rsid w:val="00C90F23"/>
    <w:rsid w:val="00C90F61"/>
    <w:rsid w:val="00C921D1"/>
    <w:rsid w:val="00C92983"/>
    <w:rsid w:val="00C939A4"/>
    <w:rsid w:val="00C93D5D"/>
    <w:rsid w:val="00C94843"/>
    <w:rsid w:val="00CA14C9"/>
    <w:rsid w:val="00CA210B"/>
    <w:rsid w:val="00CA41F7"/>
    <w:rsid w:val="00CA79D7"/>
    <w:rsid w:val="00CB0205"/>
    <w:rsid w:val="00CB0868"/>
    <w:rsid w:val="00CB0D12"/>
    <w:rsid w:val="00CB3ED0"/>
    <w:rsid w:val="00CB4735"/>
    <w:rsid w:val="00CC06E7"/>
    <w:rsid w:val="00CC105B"/>
    <w:rsid w:val="00CC184C"/>
    <w:rsid w:val="00CC1963"/>
    <w:rsid w:val="00CC3EEB"/>
    <w:rsid w:val="00CC5565"/>
    <w:rsid w:val="00CC6162"/>
    <w:rsid w:val="00CC6788"/>
    <w:rsid w:val="00CD174E"/>
    <w:rsid w:val="00CD6EE2"/>
    <w:rsid w:val="00CE054C"/>
    <w:rsid w:val="00CE0789"/>
    <w:rsid w:val="00CE15DD"/>
    <w:rsid w:val="00CE32F7"/>
    <w:rsid w:val="00CE3BFB"/>
    <w:rsid w:val="00CE4C15"/>
    <w:rsid w:val="00CE78BB"/>
    <w:rsid w:val="00CF0FE8"/>
    <w:rsid w:val="00CF22E1"/>
    <w:rsid w:val="00CF33C2"/>
    <w:rsid w:val="00CF3D8C"/>
    <w:rsid w:val="00CF4DCC"/>
    <w:rsid w:val="00CF4EF7"/>
    <w:rsid w:val="00CF553E"/>
    <w:rsid w:val="00CF6C0D"/>
    <w:rsid w:val="00D000C0"/>
    <w:rsid w:val="00D07A9E"/>
    <w:rsid w:val="00D14D14"/>
    <w:rsid w:val="00D15E7E"/>
    <w:rsid w:val="00D16597"/>
    <w:rsid w:val="00D20372"/>
    <w:rsid w:val="00D246E7"/>
    <w:rsid w:val="00D24BDA"/>
    <w:rsid w:val="00D2766D"/>
    <w:rsid w:val="00D31644"/>
    <w:rsid w:val="00D318D0"/>
    <w:rsid w:val="00D332CA"/>
    <w:rsid w:val="00D335DE"/>
    <w:rsid w:val="00D34695"/>
    <w:rsid w:val="00D460DF"/>
    <w:rsid w:val="00D46AC7"/>
    <w:rsid w:val="00D47463"/>
    <w:rsid w:val="00D47B07"/>
    <w:rsid w:val="00D51114"/>
    <w:rsid w:val="00D522AA"/>
    <w:rsid w:val="00D529FD"/>
    <w:rsid w:val="00D53ABE"/>
    <w:rsid w:val="00D54D44"/>
    <w:rsid w:val="00D5611B"/>
    <w:rsid w:val="00D566FF"/>
    <w:rsid w:val="00D67267"/>
    <w:rsid w:val="00D678F5"/>
    <w:rsid w:val="00D67E84"/>
    <w:rsid w:val="00D700F1"/>
    <w:rsid w:val="00D71D19"/>
    <w:rsid w:val="00D73B9D"/>
    <w:rsid w:val="00D74CE4"/>
    <w:rsid w:val="00D75223"/>
    <w:rsid w:val="00D7622D"/>
    <w:rsid w:val="00D77FB5"/>
    <w:rsid w:val="00D80E14"/>
    <w:rsid w:val="00D83252"/>
    <w:rsid w:val="00D8407B"/>
    <w:rsid w:val="00D84CEF"/>
    <w:rsid w:val="00D84F84"/>
    <w:rsid w:val="00D86EA4"/>
    <w:rsid w:val="00D905F2"/>
    <w:rsid w:val="00D90741"/>
    <w:rsid w:val="00D92928"/>
    <w:rsid w:val="00D931CD"/>
    <w:rsid w:val="00D939BF"/>
    <w:rsid w:val="00D942E9"/>
    <w:rsid w:val="00D955E1"/>
    <w:rsid w:val="00D966D0"/>
    <w:rsid w:val="00D968AA"/>
    <w:rsid w:val="00DA05DF"/>
    <w:rsid w:val="00DA0AAE"/>
    <w:rsid w:val="00DA10AB"/>
    <w:rsid w:val="00DA2C83"/>
    <w:rsid w:val="00DA3B51"/>
    <w:rsid w:val="00DA5586"/>
    <w:rsid w:val="00DA6362"/>
    <w:rsid w:val="00DA7C99"/>
    <w:rsid w:val="00DB4767"/>
    <w:rsid w:val="00DB4BF1"/>
    <w:rsid w:val="00DB5B66"/>
    <w:rsid w:val="00DC3B31"/>
    <w:rsid w:val="00DC454B"/>
    <w:rsid w:val="00DC738F"/>
    <w:rsid w:val="00DD01C1"/>
    <w:rsid w:val="00DD0474"/>
    <w:rsid w:val="00DD0BF9"/>
    <w:rsid w:val="00DD0FAA"/>
    <w:rsid w:val="00DD5404"/>
    <w:rsid w:val="00DD6CFB"/>
    <w:rsid w:val="00DE29F8"/>
    <w:rsid w:val="00DE3273"/>
    <w:rsid w:val="00DE6E8E"/>
    <w:rsid w:val="00DE79F0"/>
    <w:rsid w:val="00DE7F32"/>
    <w:rsid w:val="00DF0831"/>
    <w:rsid w:val="00DF23B6"/>
    <w:rsid w:val="00DF5E8D"/>
    <w:rsid w:val="00DF63E9"/>
    <w:rsid w:val="00DF6C32"/>
    <w:rsid w:val="00E02C32"/>
    <w:rsid w:val="00E04772"/>
    <w:rsid w:val="00E060B3"/>
    <w:rsid w:val="00E0623A"/>
    <w:rsid w:val="00E069FC"/>
    <w:rsid w:val="00E10552"/>
    <w:rsid w:val="00E11A61"/>
    <w:rsid w:val="00E11EC3"/>
    <w:rsid w:val="00E12B9D"/>
    <w:rsid w:val="00E134FF"/>
    <w:rsid w:val="00E14E4A"/>
    <w:rsid w:val="00E15E43"/>
    <w:rsid w:val="00E20905"/>
    <w:rsid w:val="00E247E7"/>
    <w:rsid w:val="00E24A7E"/>
    <w:rsid w:val="00E26021"/>
    <w:rsid w:val="00E3205F"/>
    <w:rsid w:val="00E32728"/>
    <w:rsid w:val="00E33CFC"/>
    <w:rsid w:val="00E33E4C"/>
    <w:rsid w:val="00E33EA6"/>
    <w:rsid w:val="00E345BE"/>
    <w:rsid w:val="00E34E16"/>
    <w:rsid w:val="00E37970"/>
    <w:rsid w:val="00E40702"/>
    <w:rsid w:val="00E40F79"/>
    <w:rsid w:val="00E41156"/>
    <w:rsid w:val="00E413F9"/>
    <w:rsid w:val="00E42526"/>
    <w:rsid w:val="00E43677"/>
    <w:rsid w:val="00E43BE2"/>
    <w:rsid w:val="00E44FD6"/>
    <w:rsid w:val="00E47D88"/>
    <w:rsid w:val="00E50C40"/>
    <w:rsid w:val="00E560CC"/>
    <w:rsid w:val="00E56631"/>
    <w:rsid w:val="00E56EAD"/>
    <w:rsid w:val="00E575A5"/>
    <w:rsid w:val="00E60A43"/>
    <w:rsid w:val="00E620B7"/>
    <w:rsid w:val="00E62D3E"/>
    <w:rsid w:val="00E6369A"/>
    <w:rsid w:val="00E6386A"/>
    <w:rsid w:val="00E63F3E"/>
    <w:rsid w:val="00E64E94"/>
    <w:rsid w:val="00E65224"/>
    <w:rsid w:val="00E66A1A"/>
    <w:rsid w:val="00E80666"/>
    <w:rsid w:val="00E8183C"/>
    <w:rsid w:val="00E84675"/>
    <w:rsid w:val="00E846EA"/>
    <w:rsid w:val="00E84A99"/>
    <w:rsid w:val="00E86F95"/>
    <w:rsid w:val="00E97E9E"/>
    <w:rsid w:val="00E97F86"/>
    <w:rsid w:val="00EA0166"/>
    <w:rsid w:val="00EA030F"/>
    <w:rsid w:val="00EA09A6"/>
    <w:rsid w:val="00EA2665"/>
    <w:rsid w:val="00EA2819"/>
    <w:rsid w:val="00EA4C2D"/>
    <w:rsid w:val="00EA4EAD"/>
    <w:rsid w:val="00EA4F97"/>
    <w:rsid w:val="00EA5164"/>
    <w:rsid w:val="00EB1521"/>
    <w:rsid w:val="00EB1C6F"/>
    <w:rsid w:val="00EB3AC3"/>
    <w:rsid w:val="00EB545B"/>
    <w:rsid w:val="00EB64AA"/>
    <w:rsid w:val="00EB6FEF"/>
    <w:rsid w:val="00EC2B0E"/>
    <w:rsid w:val="00EC4C88"/>
    <w:rsid w:val="00ED0309"/>
    <w:rsid w:val="00ED2FE9"/>
    <w:rsid w:val="00ED4255"/>
    <w:rsid w:val="00EE082F"/>
    <w:rsid w:val="00EE2031"/>
    <w:rsid w:val="00EE2E26"/>
    <w:rsid w:val="00EE3E43"/>
    <w:rsid w:val="00EE44D8"/>
    <w:rsid w:val="00EE772D"/>
    <w:rsid w:val="00EE7923"/>
    <w:rsid w:val="00EF0299"/>
    <w:rsid w:val="00EF2AE5"/>
    <w:rsid w:val="00EF36C0"/>
    <w:rsid w:val="00EF38EA"/>
    <w:rsid w:val="00EF4B5B"/>
    <w:rsid w:val="00F00029"/>
    <w:rsid w:val="00F04045"/>
    <w:rsid w:val="00F04543"/>
    <w:rsid w:val="00F04AD6"/>
    <w:rsid w:val="00F05364"/>
    <w:rsid w:val="00F063F4"/>
    <w:rsid w:val="00F06804"/>
    <w:rsid w:val="00F07A52"/>
    <w:rsid w:val="00F07D85"/>
    <w:rsid w:val="00F1103A"/>
    <w:rsid w:val="00F15564"/>
    <w:rsid w:val="00F1724B"/>
    <w:rsid w:val="00F17A02"/>
    <w:rsid w:val="00F17CC7"/>
    <w:rsid w:val="00F20D45"/>
    <w:rsid w:val="00F20E19"/>
    <w:rsid w:val="00F211C9"/>
    <w:rsid w:val="00F21D46"/>
    <w:rsid w:val="00F23415"/>
    <w:rsid w:val="00F24B52"/>
    <w:rsid w:val="00F252EA"/>
    <w:rsid w:val="00F27BF5"/>
    <w:rsid w:val="00F31904"/>
    <w:rsid w:val="00F32777"/>
    <w:rsid w:val="00F34FF3"/>
    <w:rsid w:val="00F37468"/>
    <w:rsid w:val="00F40C99"/>
    <w:rsid w:val="00F41404"/>
    <w:rsid w:val="00F431EA"/>
    <w:rsid w:val="00F4574E"/>
    <w:rsid w:val="00F463CC"/>
    <w:rsid w:val="00F46874"/>
    <w:rsid w:val="00F50051"/>
    <w:rsid w:val="00F504F0"/>
    <w:rsid w:val="00F53330"/>
    <w:rsid w:val="00F54435"/>
    <w:rsid w:val="00F577B9"/>
    <w:rsid w:val="00F62BD3"/>
    <w:rsid w:val="00F65339"/>
    <w:rsid w:val="00F6616B"/>
    <w:rsid w:val="00F67FD8"/>
    <w:rsid w:val="00F6CFFF"/>
    <w:rsid w:val="00F72FB7"/>
    <w:rsid w:val="00F7363E"/>
    <w:rsid w:val="00F73ACE"/>
    <w:rsid w:val="00F7597A"/>
    <w:rsid w:val="00F75AB5"/>
    <w:rsid w:val="00F76379"/>
    <w:rsid w:val="00F8030E"/>
    <w:rsid w:val="00F81B92"/>
    <w:rsid w:val="00F82183"/>
    <w:rsid w:val="00F82597"/>
    <w:rsid w:val="00F835E0"/>
    <w:rsid w:val="00F8418F"/>
    <w:rsid w:val="00F846A7"/>
    <w:rsid w:val="00F85FFE"/>
    <w:rsid w:val="00F860EE"/>
    <w:rsid w:val="00F871DF"/>
    <w:rsid w:val="00F87A14"/>
    <w:rsid w:val="00F90D5F"/>
    <w:rsid w:val="00F94F76"/>
    <w:rsid w:val="00F954BC"/>
    <w:rsid w:val="00F9657E"/>
    <w:rsid w:val="00F96782"/>
    <w:rsid w:val="00F9732F"/>
    <w:rsid w:val="00FA09F9"/>
    <w:rsid w:val="00FA16E0"/>
    <w:rsid w:val="00FA17A9"/>
    <w:rsid w:val="00FA45C4"/>
    <w:rsid w:val="00FA477A"/>
    <w:rsid w:val="00FA6FF9"/>
    <w:rsid w:val="00FB2E4B"/>
    <w:rsid w:val="00FB3133"/>
    <w:rsid w:val="00FB32CD"/>
    <w:rsid w:val="00FB3688"/>
    <w:rsid w:val="00FB4252"/>
    <w:rsid w:val="00FC05A3"/>
    <w:rsid w:val="00FC0DD0"/>
    <w:rsid w:val="00FC0EFD"/>
    <w:rsid w:val="00FD14B2"/>
    <w:rsid w:val="00FD1AE1"/>
    <w:rsid w:val="00FD1B20"/>
    <w:rsid w:val="00FD1FB7"/>
    <w:rsid w:val="00FD2029"/>
    <w:rsid w:val="00FD2668"/>
    <w:rsid w:val="00FD5234"/>
    <w:rsid w:val="00FD763D"/>
    <w:rsid w:val="00FE0DF6"/>
    <w:rsid w:val="00FE1D65"/>
    <w:rsid w:val="00FE47F1"/>
    <w:rsid w:val="00FE501F"/>
    <w:rsid w:val="00FE5E23"/>
    <w:rsid w:val="00FF12B9"/>
    <w:rsid w:val="00FF5493"/>
    <w:rsid w:val="00FF6485"/>
    <w:rsid w:val="0104BF74"/>
    <w:rsid w:val="01069E74"/>
    <w:rsid w:val="014C019A"/>
    <w:rsid w:val="0167F94C"/>
    <w:rsid w:val="0177569A"/>
    <w:rsid w:val="0187BB9C"/>
    <w:rsid w:val="019C0E94"/>
    <w:rsid w:val="01AD56D7"/>
    <w:rsid w:val="01B1710B"/>
    <w:rsid w:val="01C41B29"/>
    <w:rsid w:val="01C9B89B"/>
    <w:rsid w:val="021887A8"/>
    <w:rsid w:val="021DFD53"/>
    <w:rsid w:val="0222765A"/>
    <w:rsid w:val="022D1C24"/>
    <w:rsid w:val="02334F2C"/>
    <w:rsid w:val="025E5C20"/>
    <w:rsid w:val="026DC6A1"/>
    <w:rsid w:val="028789EE"/>
    <w:rsid w:val="02A3D5B1"/>
    <w:rsid w:val="02A64873"/>
    <w:rsid w:val="02AA3322"/>
    <w:rsid w:val="02B0BA52"/>
    <w:rsid w:val="02C0408A"/>
    <w:rsid w:val="02C13324"/>
    <w:rsid w:val="02C365A0"/>
    <w:rsid w:val="02E0EACC"/>
    <w:rsid w:val="02E4B36D"/>
    <w:rsid w:val="02EFA741"/>
    <w:rsid w:val="030A9B11"/>
    <w:rsid w:val="0357B1A1"/>
    <w:rsid w:val="035F436F"/>
    <w:rsid w:val="035FE873"/>
    <w:rsid w:val="03664C68"/>
    <w:rsid w:val="03668C29"/>
    <w:rsid w:val="03673C11"/>
    <w:rsid w:val="037269EF"/>
    <w:rsid w:val="0376AD4F"/>
    <w:rsid w:val="037BF57E"/>
    <w:rsid w:val="039967AD"/>
    <w:rsid w:val="03BB9419"/>
    <w:rsid w:val="03CB3671"/>
    <w:rsid w:val="03DE26A8"/>
    <w:rsid w:val="0402DB92"/>
    <w:rsid w:val="0434115B"/>
    <w:rsid w:val="0449A0E3"/>
    <w:rsid w:val="047E32CA"/>
    <w:rsid w:val="049AE174"/>
    <w:rsid w:val="04A27A1B"/>
    <w:rsid w:val="04A59FEB"/>
    <w:rsid w:val="04E904D5"/>
    <w:rsid w:val="052E2E5F"/>
    <w:rsid w:val="056D1408"/>
    <w:rsid w:val="056F74EF"/>
    <w:rsid w:val="05771D96"/>
    <w:rsid w:val="0578B177"/>
    <w:rsid w:val="057BD6BC"/>
    <w:rsid w:val="05AAB018"/>
    <w:rsid w:val="05C4D0B7"/>
    <w:rsid w:val="05E05188"/>
    <w:rsid w:val="06188875"/>
    <w:rsid w:val="0622324C"/>
    <w:rsid w:val="063BB8B8"/>
    <w:rsid w:val="0649F278"/>
    <w:rsid w:val="065179D1"/>
    <w:rsid w:val="0660DA45"/>
    <w:rsid w:val="0669A579"/>
    <w:rsid w:val="0675CD3F"/>
    <w:rsid w:val="06786954"/>
    <w:rsid w:val="068B7167"/>
    <w:rsid w:val="069DD13E"/>
    <w:rsid w:val="06B9056D"/>
    <w:rsid w:val="06C24B4A"/>
    <w:rsid w:val="06D5B5B6"/>
    <w:rsid w:val="06DC3E78"/>
    <w:rsid w:val="06E932B1"/>
    <w:rsid w:val="07047AD0"/>
    <w:rsid w:val="070C61CC"/>
    <w:rsid w:val="072C04A3"/>
    <w:rsid w:val="07404402"/>
    <w:rsid w:val="07440A1A"/>
    <w:rsid w:val="07BFF3BE"/>
    <w:rsid w:val="07E6981E"/>
    <w:rsid w:val="07FAFD7E"/>
    <w:rsid w:val="07FBC5A9"/>
    <w:rsid w:val="0810312E"/>
    <w:rsid w:val="08294264"/>
    <w:rsid w:val="084126E1"/>
    <w:rsid w:val="0851C208"/>
    <w:rsid w:val="085B1038"/>
    <w:rsid w:val="086738E7"/>
    <w:rsid w:val="0887AFF9"/>
    <w:rsid w:val="08AABE55"/>
    <w:rsid w:val="08BBA8EC"/>
    <w:rsid w:val="09280531"/>
    <w:rsid w:val="0943F2DB"/>
    <w:rsid w:val="09581702"/>
    <w:rsid w:val="095C8FC9"/>
    <w:rsid w:val="0981446B"/>
    <w:rsid w:val="09C3CF45"/>
    <w:rsid w:val="09D64005"/>
    <w:rsid w:val="09EC754D"/>
    <w:rsid w:val="09EFF89D"/>
    <w:rsid w:val="09F48447"/>
    <w:rsid w:val="09F52937"/>
    <w:rsid w:val="09F586CB"/>
    <w:rsid w:val="0A1172B8"/>
    <w:rsid w:val="0A29290D"/>
    <w:rsid w:val="0A65B30B"/>
    <w:rsid w:val="0A770EE4"/>
    <w:rsid w:val="0A7EBCD7"/>
    <w:rsid w:val="0A853FC6"/>
    <w:rsid w:val="0A928D4E"/>
    <w:rsid w:val="0AF0FC9D"/>
    <w:rsid w:val="0AF8CB3A"/>
    <w:rsid w:val="0B18537D"/>
    <w:rsid w:val="0B1B49AA"/>
    <w:rsid w:val="0B1C4BB7"/>
    <w:rsid w:val="0B96D838"/>
    <w:rsid w:val="0B986173"/>
    <w:rsid w:val="0BAF593F"/>
    <w:rsid w:val="0BC7D04C"/>
    <w:rsid w:val="0BC7D340"/>
    <w:rsid w:val="0BC9B857"/>
    <w:rsid w:val="0BCBA4D9"/>
    <w:rsid w:val="0C030F95"/>
    <w:rsid w:val="0C07299B"/>
    <w:rsid w:val="0C27176C"/>
    <w:rsid w:val="0C364533"/>
    <w:rsid w:val="0C3FF1BE"/>
    <w:rsid w:val="0C6E7C29"/>
    <w:rsid w:val="0C95D604"/>
    <w:rsid w:val="0CCD2ED0"/>
    <w:rsid w:val="0CE7D675"/>
    <w:rsid w:val="0CFA2B80"/>
    <w:rsid w:val="0D38BBF3"/>
    <w:rsid w:val="0D7237CB"/>
    <w:rsid w:val="0D9A1225"/>
    <w:rsid w:val="0DB30270"/>
    <w:rsid w:val="0DB3F04A"/>
    <w:rsid w:val="0DE90311"/>
    <w:rsid w:val="0DEABD2D"/>
    <w:rsid w:val="0DF6D70E"/>
    <w:rsid w:val="0E36AA22"/>
    <w:rsid w:val="0E46B97F"/>
    <w:rsid w:val="0E48ADCF"/>
    <w:rsid w:val="0E4D65E8"/>
    <w:rsid w:val="0E8257E3"/>
    <w:rsid w:val="0EB6B96F"/>
    <w:rsid w:val="0EBA2AD8"/>
    <w:rsid w:val="0EDB0563"/>
    <w:rsid w:val="0EE044D4"/>
    <w:rsid w:val="0F04FD19"/>
    <w:rsid w:val="0F0A9277"/>
    <w:rsid w:val="0F337183"/>
    <w:rsid w:val="0F35C5C5"/>
    <w:rsid w:val="0F360E8F"/>
    <w:rsid w:val="0F3E0D27"/>
    <w:rsid w:val="0F52FCD5"/>
    <w:rsid w:val="0F5FBEB9"/>
    <w:rsid w:val="0FA3A981"/>
    <w:rsid w:val="0FB054E1"/>
    <w:rsid w:val="0FBD0D8E"/>
    <w:rsid w:val="0FDADC38"/>
    <w:rsid w:val="0FE6E9AC"/>
    <w:rsid w:val="0FF860B1"/>
    <w:rsid w:val="0FFB37B3"/>
    <w:rsid w:val="10061B34"/>
    <w:rsid w:val="1016CB9A"/>
    <w:rsid w:val="104658DB"/>
    <w:rsid w:val="106EA173"/>
    <w:rsid w:val="10714A24"/>
    <w:rsid w:val="109A5843"/>
    <w:rsid w:val="10C5FEA3"/>
    <w:rsid w:val="10D11B95"/>
    <w:rsid w:val="10EB1EEB"/>
    <w:rsid w:val="10F36852"/>
    <w:rsid w:val="10FC7ED2"/>
    <w:rsid w:val="11126336"/>
    <w:rsid w:val="111E0FEB"/>
    <w:rsid w:val="11501ECA"/>
    <w:rsid w:val="11A54A89"/>
    <w:rsid w:val="11B32A15"/>
    <w:rsid w:val="11B544C7"/>
    <w:rsid w:val="11D3C1B0"/>
    <w:rsid w:val="11DC6218"/>
    <w:rsid w:val="12046D9F"/>
    <w:rsid w:val="12259C44"/>
    <w:rsid w:val="123E5026"/>
    <w:rsid w:val="124DF939"/>
    <w:rsid w:val="1255C5BE"/>
    <w:rsid w:val="12592956"/>
    <w:rsid w:val="127A2527"/>
    <w:rsid w:val="12813D57"/>
    <w:rsid w:val="128E809C"/>
    <w:rsid w:val="128F8541"/>
    <w:rsid w:val="12A33D13"/>
    <w:rsid w:val="12AF676B"/>
    <w:rsid w:val="12BFEB68"/>
    <w:rsid w:val="12ECFF27"/>
    <w:rsid w:val="12FC0D8B"/>
    <w:rsid w:val="1307A58E"/>
    <w:rsid w:val="1310F779"/>
    <w:rsid w:val="1341FB96"/>
    <w:rsid w:val="135B804F"/>
    <w:rsid w:val="1361607E"/>
    <w:rsid w:val="136241E2"/>
    <w:rsid w:val="13673F31"/>
    <w:rsid w:val="1376FF74"/>
    <w:rsid w:val="1392D4B9"/>
    <w:rsid w:val="1393B171"/>
    <w:rsid w:val="139D1D53"/>
    <w:rsid w:val="13B1ACAA"/>
    <w:rsid w:val="13B375C9"/>
    <w:rsid w:val="13C0C411"/>
    <w:rsid w:val="13CEA971"/>
    <w:rsid w:val="13EA82A7"/>
    <w:rsid w:val="13F562F2"/>
    <w:rsid w:val="140D3B1F"/>
    <w:rsid w:val="1411C2E4"/>
    <w:rsid w:val="142171FA"/>
    <w:rsid w:val="14225CD0"/>
    <w:rsid w:val="144B37CC"/>
    <w:rsid w:val="14554E26"/>
    <w:rsid w:val="14598772"/>
    <w:rsid w:val="14872F61"/>
    <w:rsid w:val="14D0D7E9"/>
    <w:rsid w:val="14F6BF21"/>
    <w:rsid w:val="14FFE634"/>
    <w:rsid w:val="15079BF7"/>
    <w:rsid w:val="1514A707"/>
    <w:rsid w:val="153CC787"/>
    <w:rsid w:val="153DD988"/>
    <w:rsid w:val="153FB64E"/>
    <w:rsid w:val="155DF736"/>
    <w:rsid w:val="15862592"/>
    <w:rsid w:val="15975B97"/>
    <w:rsid w:val="15BF6AB8"/>
    <w:rsid w:val="15D7BA16"/>
    <w:rsid w:val="15DBA8A9"/>
    <w:rsid w:val="15E682F5"/>
    <w:rsid w:val="15EF0E63"/>
    <w:rsid w:val="15F6320E"/>
    <w:rsid w:val="160BB382"/>
    <w:rsid w:val="163B5B10"/>
    <w:rsid w:val="165D71D6"/>
    <w:rsid w:val="166A035D"/>
    <w:rsid w:val="1678820B"/>
    <w:rsid w:val="168EED84"/>
    <w:rsid w:val="169A75BA"/>
    <w:rsid w:val="16B9B0AF"/>
    <w:rsid w:val="16C3C4FC"/>
    <w:rsid w:val="16CD16B7"/>
    <w:rsid w:val="16D77F91"/>
    <w:rsid w:val="16E03132"/>
    <w:rsid w:val="170BCCC0"/>
    <w:rsid w:val="1714EE93"/>
    <w:rsid w:val="171816F5"/>
    <w:rsid w:val="17245AD0"/>
    <w:rsid w:val="17351488"/>
    <w:rsid w:val="173916F0"/>
    <w:rsid w:val="17486837"/>
    <w:rsid w:val="1786ED2A"/>
    <w:rsid w:val="1793B547"/>
    <w:rsid w:val="1795DD04"/>
    <w:rsid w:val="17C456F5"/>
    <w:rsid w:val="17C74DD4"/>
    <w:rsid w:val="17CB95F4"/>
    <w:rsid w:val="17DCD43E"/>
    <w:rsid w:val="17DD232B"/>
    <w:rsid w:val="17DE3980"/>
    <w:rsid w:val="17F910EA"/>
    <w:rsid w:val="17F980A6"/>
    <w:rsid w:val="180058C5"/>
    <w:rsid w:val="1842C751"/>
    <w:rsid w:val="18495226"/>
    <w:rsid w:val="188C65B3"/>
    <w:rsid w:val="18A60EED"/>
    <w:rsid w:val="18B18FDE"/>
    <w:rsid w:val="18B53053"/>
    <w:rsid w:val="18C69073"/>
    <w:rsid w:val="18CF8696"/>
    <w:rsid w:val="1905F4A2"/>
    <w:rsid w:val="192ACF66"/>
    <w:rsid w:val="192E6249"/>
    <w:rsid w:val="196C782F"/>
    <w:rsid w:val="197C094C"/>
    <w:rsid w:val="19C79529"/>
    <w:rsid w:val="19C7DC92"/>
    <w:rsid w:val="19C9A89F"/>
    <w:rsid w:val="19CBA3D4"/>
    <w:rsid w:val="19D0AAA1"/>
    <w:rsid w:val="19EBDFA6"/>
    <w:rsid w:val="1A1AD5AC"/>
    <w:rsid w:val="1A1BEB2B"/>
    <w:rsid w:val="1A4553F7"/>
    <w:rsid w:val="1A873B5E"/>
    <w:rsid w:val="1A88D6D8"/>
    <w:rsid w:val="1AADE4EB"/>
    <w:rsid w:val="1AC21DFE"/>
    <w:rsid w:val="1ACD8E11"/>
    <w:rsid w:val="1ACE1287"/>
    <w:rsid w:val="1ADD9A7B"/>
    <w:rsid w:val="1ADDCC57"/>
    <w:rsid w:val="1AE8EB95"/>
    <w:rsid w:val="1B0172CC"/>
    <w:rsid w:val="1B078CDE"/>
    <w:rsid w:val="1B3A3EBF"/>
    <w:rsid w:val="1B58238F"/>
    <w:rsid w:val="1B86803A"/>
    <w:rsid w:val="1B8C0AFE"/>
    <w:rsid w:val="1B8C7EF5"/>
    <w:rsid w:val="1B9DAF83"/>
    <w:rsid w:val="1BB9C63D"/>
    <w:rsid w:val="1BC1AF77"/>
    <w:rsid w:val="1BC8988C"/>
    <w:rsid w:val="1BD25BDC"/>
    <w:rsid w:val="1C212EFC"/>
    <w:rsid w:val="1C24A739"/>
    <w:rsid w:val="1C2F9003"/>
    <w:rsid w:val="1C3279CA"/>
    <w:rsid w:val="1C5C8C0D"/>
    <w:rsid w:val="1C70283E"/>
    <w:rsid w:val="1C7730E6"/>
    <w:rsid w:val="1C831EAF"/>
    <w:rsid w:val="1C848C1D"/>
    <w:rsid w:val="1C9ABEF7"/>
    <w:rsid w:val="1CCB3E7D"/>
    <w:rsid w:val="1CCB50B1"/>
    <w:rsid w:val="1CCF246C"/>
    <w:rsid w:val="1CD7F540"/>
    <w:rsid w:val="1D07D684"/>
    <w:rsid w:val="1D69F8B4"/>
    <w:rsid w:val="1D7E67E9"/>
    <w:rsid w:val="1D8CB93D"/>
    <w:rsid w:val="1D9E1970"/>
    <w:rsid w:val="1DA0860F"/>
    <w:rsid w:val="1DDFFEC9"/>
    <w:rsid w:val="1DE2FAB9"/>
    <w:rsid w:val="1DE67EFF"/>
    <w:rsid w:val="1DE8F22A"/>
    <w:rsid w:val="1E03ECB8"/>
    <w:rsid w:val="1E13DD92"/>
    <w:rsid w:val="1E15FA72"/>
    <w:rsid w:val="1E295489"/>
    <w:rsid w:val="1E2A4A5B"/>
    <w:rsid w:val="1E475BC8"/>
    <w:rsid w:val="1E47DA1A"/>
    <w:rsid w:val="1E491A41"/>
    <w:rsid w:val="1E499B2F"/>
    <w:rsid w:val="1E644C7D"/>
    <w:rsid w:val="1E6D0837"/>
    <w:rsid w:val="1E71E1D4"/>
    <w:rsid w:val="1E9F573A"/>
    <w:rsid w:val="1EA46140"/>
    <w:rsid w:val="1ED9A490"/>
    <w:rsid w:val="1EDB90A4"/>
    <w:rsid w:val="1EE67D70"/>
    <w:rsid w:val="1F0F77F7"/>
    <w:rsid w:val="1F120A39"/>
    <w:rsid w:val="1F1E0D33"/>
    <w:rsid w:val="1F20E991"/>
    <w:rsid w:val="1F628C22"/>
    <w:rsid w:val="1F69E872"/>
    <w:rsid w:val="1F961B52"/>
    <w:rsid w:val="1FA76CEC"/>
    <w:rsid w:val="1FC4A1A8"/>
    <w:rsid w:val="1FC68BDC"/>
    <w:rsid w:val="1FE746CA"/>
    <w:rsid w:val="200128C8"/>
    <w:rsid w:val="20057707"/>
    <w:rsid w:val="200A13B0"/>
    <w:rsid w:val="202082DE"/>
    <w:rsid w:val="205D1437"/>
    <w:rsid w:val="205F90A4"/>
    <w:rsid w:val="207C9865"/>
    <w:rsid w:val="208F61DD"/>
    <w:rsid w:val="2095F9F8"/>
    <w:rsid w:val="209FA888"/>
    <w:rsid w:val="20A4D558"/>
    <w:rsid w:val="20A54CA8"/>
    <w:rsid w:val="20B28C29"/>
    <w:rsid w:val="20C646BA"/>
    <w:rsid w:val="20C7A68D"/>
    <w:rsid w:val="20D2FA8C"/>
    <w:rsid w:val="20EE21E9"/>
    <w:rsid w:val="2114C189"/>
    <w:rsid w:val="2118F2E1"/>
    <w:rsid w:val="21288DED"/>
    <w:rsid w:val="21432BEF"/>
    <w:rsid w:val="214D995B"/>
    <w:rsid w:val="2155CE82"/>
    <w:rsid w:val="2179C2FB"/>
    <w:rsid w:val="217A5106"/>
    <w:rsid w:val="2192C3C8"/>
    <w:rsid w:val="219EE2C4"/>
    <w:rsid w:val="21B1F819"/>
    <w:rsid w:val="21B3F30E"/>
    <w:rsid w:val="21D23BE4"/>
    <w:rsid w:val="21DCF326"/>
    <w:rsid w:val="22323559"/>
    <w:rsid w:val="224966F7"/>
    <w:rsid w:val="2265254F"/>
    <w:rsid w:val="22860082"/>
    <w:rsid w:val="22A8D0F4"/>
    <w:rsid w:val="22AFD208"/>
    <w:rsid w:val="22D4AF3B"/>
    <w:rsid w:val="22E0F4DE"/>
    <w:rsid w:val="22F98588"/>
    <w:rsid w:val="2308F32F"/>
    <w:rsid w:val="2329EF4B"/>
    <w:rsid w:val="235440F5"/>
    <w:rsid w:val="238469E9"/>
    <w:rsid w:val="238D6C77"/>
    <w:rsid w:val="2390B9E0"/>
    <w:rsid w:val="23B65BDB"/>
    <w:rsid w:val="23B7C752"/>
    <w:rsid w:val="23BC58F6"/>
    <w:rsid w:val="23C326AE"/>
    <w:rsid w:val="23CC392C"/>
    <w:rsid w:val="23D45738"/>
    <w:rsid w:val="23DAA5D3"/>
    <w:rsid w:val="23DF3AD4"/>
    <w:rsid w:val="23E104B6"/>
    <w:rsid w:val="23E7D573"/>
    <w:rsid w:val="23EE5D06"/>
    <w:rsid w:val="2400F984"/>
    <w:rsid w:val="2402655F"/>
    <w:rsid w:val="240892F6"/>
    <w:rsid w:val="2419D278"/>
    <w:rsid w:val="241D648B"/>
    <w:rsid w:val="243A5813"/>
    <w:rsid w:val="24543103"/>
    <w:rsid w:val="247A20A9"/>
    <w:rsid w:val="248A806A"/>
    <w:rsid w:val="248DB39D"/>
    <w:rsid w:val="24BCE144"/>
    <w:rsid w:val="24C97C23"/>
    <w:rsid w:val="24E1BFF9"/>
    <w:rsid w:val="24ECC004"/>
    <w:rsid w:val="250880C4"/>
    <w:rsid w:val="2509813A"/>
    <w:rsid w:val="25175B23"/>
    <w:rsid w:val="252C122B"/>
    <w:rsid w:val="2531B8EE"/>
    <w:rsid w:val="255E0806"/>
    <w:rsid w:val="257A2E4E"/>
    <w:rsid w:val="25952776"/>
    <w:rsid w:val="25CA4626"/>
    <w:rsid w:val="25D262E6"/>
    <w:rsid w:val="25E4A4E7"/>
    <w:rsid w:val="25EB4DCC"/>
    <w:rsid w:val="262414D1"/>
    <w:rsid w:val="26503925"/>
    <w:rsid w:val="2657C4E3"/>
    <w:rsid w:val="2666123E"/>
    <w:rsid w:val="26666650"/>
    <w:rsid w:val="267ACF55"/>
    <w:rsid w:val="2689E500"/>
    <w:rsid w:val="268FC163"/>
    <w:rsid w:val="26A8C00F"/>
    <w:rsid w:val="270C3ABF"/>
    <w:rsid w:val="2753566A"/>
    <w:rsid w:val="275ECD21"/>
    <w:rsid w:val="277210D3"/>
    <w:rsid w:val="277B1BE6"/>
    <w:rsid w:val="2783D48C"/>
    <w:rsid w:val="27927300"/>
    <w:rsid w:val="27DBDF2B"/>
    <w:rsid w:val="27E8B432"/>
    <w:rsid w:val="27EA1B28"/>
    <w:rsid w:val="27F85AA1"/>
    <w:rsid w:val="28109156"/>
    <w:rsid w:val="283B2B48"/>
    <w:rsid w:val="283B9420"/>
    <w:rsid w:val="285D48B7"/>
    <w:rsid w:val="28649620"/>
    <w:rsid w:val="28CD081A"/>
    <w:rsid w:val="28EB263C"/>
    <w:rsid w:val="2930E900"/>
    <w:rsid w:val="29357E4F"/>
    <w:rsid w:val="293D48C5"/>
    <w:rsid w:val="2943DC16"/>
    <w:rsid w:val="295DAF0F"/>
    <w:rsid w:val="2962ED69"/>
    <w:rsid w:val="2965A82B"/>
    <w:rsid w:val="29737A84"/>
    <w:rsid w:val="2973C7AF"/>
    <w:rsid w:val="299403F5"/>
    <w:rsid w:val="29AD4E60"/>
    <w:rsid w:val="29B057C0"/>
    <w:rsid w:val="29B7B784"/>
    <w:rsid w:val="29BE2A2B"/>
    <w:rsid w:val="29C40641"/>
    <w:rsid w:val="29D4FC76"/>
    <w:rsid w:val="29D95ABA"/>
    <w:rsid w:val="29E0FE6B"/>
    <w:rsid w:val="2A650F66"/>
    <w:rsid w:val="2A68FB44"/>
    <w:rsid w:val="2A7B6ABF"/>
    <w:rsid w:val="2A91B356"/>
    <w:rsid w:val="2A95DCAC"/>
    <w:rsid w:val="2AA48812"/>
    <w:rsid w:val="2AC6B7B9"/>
    <w:rsid w:val="2ACAF7E5"/>
    <w:rsid w:val="2AFBA140"/>
    <w:rsid w:val="2B04DEB9"/>
    <w:rsid w:val="2B1D92EF"/>
    <w:rsid w:val="2B1DA61A"/>
    <w:rsid w:val="2B316067"/>
    <w:rsid w:val="2B472CBB"/>
    <w:rsid w:val="2B4889D2"/>
    <w:rsid w:val="2B6788CD"/>
    <w:rsid w:val="2B685CDD"/>
    <w:rsid w:val="2B871AD4"/>
    <w:rsid w:val="2B87CA02"/>
    <w:rsid w:val="2BAD3513"/>
    <w:rsid w:val="2BB08CE2"/>
    <w:rsid w:val="2BCCE45C"/>
    <w:rsid w:val="2BD2060B"/>
    <w:rsid w:val="2BEA0FA4"/>
    <w:rsid w:val="2C345EED"/>
    <w:rsid w:val="2C47C6B4"/>
    <w:rsid w:val="2C595A33"/>
    <w:rsid w:val="2C5C8B80"/>
    <w:rsid w:val="2C6DB23A"/>
    <w:rsid w:val="2C7D84C7"/>
    <w:rsid w:val="2C88AA27"/>
    <w:rsid w:val="2CB1A87A"/>
    <w:rsid w:val="2CBEEE3D"/>
    <w:rsid w:val="2CC6E7CB"/>
    <w:rsid w:val="2CD934B6"/>
    <w:rsid w:val="2CF52670"/>
    <w:rsid w:val="2D12F96D"/>
    <w:rsid w:val="2D155E13"/>
    <w:rsid w:val="2D1C0990"/>
    <w:rsid w:val="2D3D0442"/>
    <w:rsid w:val="2D41BFEA"/>
    <w:rsid w:val="2D81ACF1"/>
    <w:rsid w:val="2D9AB092"/>
    <w:rsid w:val="2DBEA8BF"/>
    <w:rsid w:val="2DBEBFB5"/>
    <w:rsid w:val="2DC83659"/>
    <w:rsid w:val="2DCA5363"/>
    <w:rsid w:val="2DE375CC"/>
    <w:rsid w:val="2E0FE26F"/>
    <w:rsid w:val="2E1C5C7E"/>
    <w:rsid w:val="2E3E34E6"/>
    <w:rsid w:val="2E4B79B1"/>
    <w:rsid w:val="2E54F61C"/>
    <w:rsid w:val="2E5F7B22"/>
    <w:rsid w:val="2E8D663B"/>
    <w:rsid w:val="2EE6E833"/>
    <w:rsid w:val="2F020B01"/>
    <w:rsid w:val="2F087DA9"/>
    <w:rsid w:val="2F13CF93"/>
    <w:rsid w:val="2F23501F"/>
    <w:rsid w:val="2F4ACEB2"/>
    <w:rsid w:val="2F608C75"/>
    <w:rsid w:val="2F69BA8E"/>
    <w:rsid w:val="2F9160EC"/>
    <w:rsid w:val="2F94F8AD"/>
    <w:rsid w:val="2F9DD77F"/>
    <w:rsid w:val="2FAA957E"/>
    <w:rsid w:val="2FADC24B"/>
    <w:rsid w:val="2FB3CEC8"/>
    <w:rsid w:val="2FD6B7F3"/>
    <w:rsid w:val="2FDE69B2"/>
    <w:rsid w:val="304B3380"/>
    <w:rsid w:val="304FA989"/>
    <w:rsid w:val="30507EBF"/>
    <w:rsid w:val="309B7194"/>
    <w:rsid w:val="30AC11EF"/>
    <w:rsid w:val="30B5D7D4"/>
    <w:rsid w:val="30C45901"/>
    <w:rsid w:val="30E49370"/>
    <w:rsid w:val="30F230AF"/>
    <w:rsid w:val="31107596"/>
    <w:rsid w:val="31318DB2"/>
    <w:rsid w:val="3141CC13"/>
    <w:rsid w:val="317B0085"/>
    <w:rsid w:val="31856939"/>
    <w:rsid w:val="3191F6FA"/>
    <w:rsid w:val="319D044C"/>
    <w:rsid w:val="31A31780"/>
    <w:rsid w:val="31B87911"/>
    <w:rsid w:val="31ED4AC5"/>
    <w:rsid w:val="32226FFF"/>
    <w:rsid w:val="3241CE24"/>
    <w:rsid w:val="324A40F6"/>
    <w:rsid w:val="325E3E87"/>
    <w:rsid w:val="32A4E5AA"/>
    <w:rsid w:val="32AA7076"/>
    <w:rsid w:val="32AFC16B"/>
    <w:rsid w:val="32BE0B55"/>
    <w:rsid w:val="32F66503"/>
    <w:rsid w:val="32FC2756"/>
    <w:rsid w:val="3325ED34"/>
    <w:rsid w:val="332A1BDE"/>
    <w:rsid w:val="332F2FDA"/>
    <w:rsid w:val="33302B80"/>
    <w:rsid w:val="33881F81"/>
    <w:rsid w:val="33A15076"/>
    <w:rsid w:val="33A53C49"/>
    <w:rsid w:val="33CA9E21"/>
    <w:rsid w:val="33DD3FD8"/>
    <w:rsid w:val="341200F8"/>
    <w:rsid w:val="342956EF"/>
    <w:rsid w:val="34480D6E"/>
    <w:rsid w:val="345BCB27"/>
    <w:rsid w:val="3462D9AC"/>
    <w:rsid w:val="3484B5FD"/>
    <w:rsid w:val="3497CA49"/>
    <w:rsid w:val="34A53936"/>
    <w:rsid w:val="34E9FF9E"/>
    <w:rsid w:val="351B95E8"/>
    <w:rsid w:val="35205630"/>
    <w:rsid w:val="352E65AB"/>
    <w:rsid w:val="355594AD"/>
    <w:rsid w:val="356E273F"/>
    <w:rsid w:val="35797811"/>
    <w:rsid w:val="35A99B13"/>
    <w:rsid w:val="35AFB799"/>
    <w:rsid w:val="35B27B60"/>
    <w:rsid w:val="35EC4865"/>
    <w:rsid w:val="360F62CE"/>
    <w:rsid w:val="363F375D"/>
    <w:rsid w:val="364CDFB0"/>
    <w:rsid w:val="364DCE04"/>
    <w:rsid w:val="36A422C1"/>
    <w:rsid w:val="36A49E15"/>
    <w:rsid w:val="36BFC043"/>
    <w:rsid w:val="36C758EB"/>
    <w:rsid w:val="36CEF06B"/>
    <w:rsid w:val="36D3BC0E"/>
    <w:rsid w:val="36E6CE56"/>
    <w:rsid w:val="36FC5484"/>
    <w:rsid w:val="36FC7691"/>
    <w:rsid w:val="3723292F"/>
    <w:rsid w:val="37325F9D"/>
    <w:rsid w:val="37532396"/>
    <w:rsid w:val="377704F8"/>
    <w:rsid w:val="37999A4D"/>
    <w:rsid w:val="37A49569"/>
    <w:rsid w:val="37B4698F"/>
    <w:rsid w:val="37C0E8A5"/>
    <w:rsid w:val="37CA9C46"/>
    <w:rsid w:val="37DBD237"/>
    <w:rsid w:val="37F9E591"/>
    <w:rsid w:val="38151B0A"/>
    <w:rsid w:val="3815F456"/>
    <w:rsid w:val="381C99DB"/>
    <w:rsid w:val="381F2047"/>
    <w:rsid w:val="382FA362"/>
    <w:rsid w:val="383E2AE6"/>
    <w:rsid w:val="3841E2CF"/>
    <w:rsid w:val="386DFD4C"/>
    <w:rsid w:val="38790E2F"/>
    <w:rsid w:val="3886960D"/>
    <w:rsid w:val="388FEB56"/>
    <w:rsid w:val="38BCA7D5"/>
    <w:rsid w:val="38C8E21F"/>
    <w:rsid w:val="38CEB763"/>
    <w:rsid w:val="38EA68A9"/>
    <w:rsid w:val="38F95C29"/>
    <w:rsid w:val="391091DC"/>
    <w:rsid w:val="392B8575"/>
    <w:rsid w:val="39380A41"/>
    <w:rsid w:val="394209ED"/>
    <w:rsid w:val="3945518C"/>
    <w:rsid w:val="396B89A4"/>
    <w:rsid w:val="396FD447"/>
    <w:rsid w:val="3991A165"/>
    <w:rsid w:val="39A5140F"/>
    <w:rsid w:val="39DBA5C7"/>
    <w:rsid w:val="39EE8592"/>
    <w:rsid w:val="39F9D294"/>
    <w:rsid w:val="3A0906AC"/>
    <w:rsid w:val="3A0C62BC"/>
    <w:rsid w:val="3A14CC52"/>
    <w:rsid w:val="3A2D2CFC"/>
    <w:rsid w:val="3A31658B"/>
    <w:rsid w:val="3A40BE62"/>
    <w:rsid w:val="3A42031C"/>
    <w:rsid w:val="3A42D27A"/>
    <w:rsid w:val="3A6D9BEC"/>
    <w:rsid w:val="3A7AED5C"/>
    <w:rsid w:val="3A956809"/>
    <w:rsid w:val="3A9BF60F"/>
    <w:rsid w:val="3AA577FC"/>
    <w:rsid w:val="3AAB4E18"/>
    <w:rsid w:val="3ABC5DB0"/>
    <w:rsid w:val="3AF51093"/>
    <w:rsid w:val="3B1A47C8"/>
    <w:rsid w:val="3B2E264B"/>
    <w:rsid w:val="3B33F558"/>
    <w:rsid w:val="3B5F23AA"/>
    <w:rsid w:val="3B61ACDB"/>
    <w:rsid w:val="3B61AF38"/>
    <w:rsid w:val="3B935A43"/>
    <w:rsid w:val="3BAD3785"/>
    <w:rsid w:val="3BBA649F"/>
    <w:rsid w:val="3BC40833"/>
    <w:rsid w:val="3BD8DEF6"/>
    <w:rsid w:val="3BF65E42"/>
    <w:rsid w:val="3C05D0C0"/>
    <w:rsid w:val="3C12A6C7"/>
    <w:rsid w:val="3C14CF1A"/>
    <w:rsid w:val="3C1F323D"/>
    <w:rsid w:val="3C21F964"/>
    <w:rsid w:val="3C224E2A"/>
    <w:rsid w:val="3C3BBE9D"/>
    <w:rsid w:val="3C5C1A85"/>
    <w:rsid w:val="3C6C3893"/>
    <w:rsid w:val="3C9026E2"/>
    <w:rsid w:val="3CC2484B"/>
    <w:rsid w:val="3CCB943E"/>
    <w:rsid w:val="3CDFC0FD"/>
    <w:rsid w:val="3CF424BD"/>
    <w:rsid w:val="3CFD99B2"/>
    <w:rsid w:val="3D0E1D67"/>
    <w:rsid w:val="3D2DFEA4"/>
    <w:rsid w:val="3D3ECF50"/>
    <w:rsid w:val="3D428E39"/>
    <w:rsid w:val="3D4711FE"/>
    <w:rsid w:val="3D5E9C67"/>
    <w:rsid w:val="3D950705"/>
    <w:rsid w:val="3DC31BCD"/>
    <w:rsid w:val="3DD4F287"/>
    <w:rsid w:val="3DEF36CB"/>
    <w:rsid w:val="3DF06481"/>
    <w:rsid w:val="3DF42E38"/>
    <w:rsid w:val="3E0183B0"/>
    <w:rsid w:val="3E077617"/>
    <w:rsid w:val="3E1D9446"/>
    <w:rsid w:val="3E2A4BFF"/>
    <w:rsid w:val="3E34D04E"/>
    <w:rsid w:val="3E916C79"/>
    <w:rsid w:val="3E9EA770"/>
    <w:rsid w:val="3EAA5AA2"/>
    <w:rsid w:val="3EAE75F5"/>
    <w:rsid w:val="3EB06383"/>
    <w:rsid w:val="3ED0ACBB"/>
    <w:rsid w:val="3EF64DF4"/>
    <w:rsid w:val="3EFC04CD"/>
    <w:rsid w:val="3F137915"/>
    <w:rsid w:val="3F2027EF"/>
    <w:rsid w:val="3F204534"/>
    <w:rsid w:val="3F34ADC5"/>
    <w:rsid w:val="3F4F14C0"/>
    <w:rsid w:val="3F50F7CF"/>
    <w:rsid w:val="3F72550B"/>
    <w:rsid w:val="3F819CE2"/>
    <w:rsid w:val="3F82747D"/>
    <w:rsid w:val="3F874E9E"/>
    <w:rsid w:val="3F8CAE49"/>
    <w:rsid w:val="3FB08080"/>
    <w:rsid w:val="40069042"/>
    <w:rsid w:val="402A28C0"/>
    <w:rsid w:val="4044C452"/>
    <w:rsid w:val="4049FCA8"/>
    <w:rsid w:val="406AC08D"/>
    <w:rsid w:val="40781079"/>
    <w:rsid w:val="4078439F"/>
    <w:rsid w:val="4093A39A"/>
    <w:rsid w:val="40ACE1A1"/>
    <w:rsid w:val="40D8ED46"/>
    <w:rsid w:val="40E2B2BD"/>
    <w:rsid w:val="40E3D4FF"/>
    <w:rsid w:val="410F9938"/>
    <w:rsid w:val="4112AA0C"/>
    <w:rsid w:val="412904D0"/>
    <w:rsid w:val="4129D77A"/>
    <w:rsid w:val="412A756D"/>
    <w:rsid w:val="4140A11C"/>
    <w:rsid w:val="414BCAF6"/>
    <w:rsid w:val="41BE99F2"/>
    <w:rsid w:val="41CE3366"/>
    <w:rsid w:val="41DC9662"/>
    <w:rsid w:val="41E5F324"/>
    <w:rsid w:val="42064763"/>
    <w:rsid w:val="42183DC2"/>
    <w:rsid w:val="423AE87B"/>
    <w:rsid w:val="4245E3F0"/>
    <w:rsid w:val="424AB8F8"/>
    <w:rsid w:val="4262545D"/>
    <w:rsid w:val="42706755"/>
    <w:rsid w:val="427899D6"/>
    <w:rsid w:val="427B1F71"/>
    <w:rsid w:val="427BA894"/>
    <w:rsid w:val="42BFF9A5"/>
    <w:rsid w:val="42C58F45"/>
    <w:rsid w:val="42E9ABC7"/>
    <w:rsid w:val="4302C115"/>
    <w:rsid w:val="431E6306"/>
    <w:rsid w:val="432B7CC1"/>
    <w:rsid w:val="434E7CC7"/>
    <w:rsid w:val="4350C2CC"/>
    <w:rsid w:val="436F2DC6"/>
    <w:rsid w:val="4378FFA2"/>
    <w:rsid w:val="4384C9B8"/>
    <w:rsid w:val="43C12CDE"/>
    <w:rsid w:val="43CDA384"/>
    <w:rsid w:val="43DF99D0"/>
    <w:rsid w:val="43E0410C"/>
    <w:rsid w:val="43E8CAE8"/>
    <w:rsid w:val="4406A8F7"/>
    <w:rsid w:val="4406EAA4"/>
    <w:rsid w:val="44073B41"/>
    <w:rsid w:val="44215525"/>
    <w:rsid w:val="44216005"/>
    <w:rsid w:val="4465262D"/>
    <w:rsid w:val="4472F72B"/>
    <w:rsid w:val="448FEF0C"/>
    <w:rsid w:val="449032B3"/>
    <w:rsid w:val="44C30D5E"/>
    <w:rsid w:val="44CAF1F2"/>
    <w:rsid w:val="44CB4C26"/>
    <w:rsid w:val="44DC728A"/>
    <w:rsid w:val="44F36593"/>
    <w:rsid w:val="451656A9"/>
    <w:rsid w:val="451E9743"/>
    <w:rsid w:val="4544D46C"/>
    <w:rsid w:val="454EDDFB"/>
    <w:rsid w:val="4570B697"/>
    <w:rsid w:val="45A07D2C"/>
    <w:rsid w:val="45ABB860"/>
    <w:rsid w:val="45B4C5B6"/>
    <w:rsid w:val="45B7393B"/>
    <w:rsid w:val="45BA75BF"/>
    <w:rsid w:val="45BCB5A8"/>
    <w:rsid w:val="45CB015F"/>
    <w:rsid w:val="45DE35CA"/>
    <w:rsid w:val="45EEA603"/>
    <w:rsid w:val="4615432D"/>
    <w:rsid w:val="46366E73"/>
    <w:rsid w:val="4642E0E7"/>
    <w:rsid w:val="464C377F"/>
    <w:rsid w:val="46597A2D"/>
    <w:rsid w:val="4678C249"/>
    <w:rsid w:val="467F3F24"/>
    <w:rsid w:val="46BA67A4"/>
    <w:rsid w:val="46CE95CA"/>
    <w:rsid w:val="46D73213"/>
    <w:rsid w:val="46DAA659"/>
    <w:rsid w:val="46DE3A55"/>
    <w:rsid w:val="46E1A6C5"/>
    <w:rsid w:val="46E490E1"/>
    <w:rsid w:val="46F76C2E"/>
    <w:rsid w:val="470255E5"/>
    <w:rsid w:val="470B2E87"/>
    <w:rsid w:val="47138A36"/>
    <w:rsid w:val="47353BD5"/>
    <w:rsid w:val="47488367"/>
    <w:rsid w:val="474CE41D"/>
    <w:rsid w:val="4756A220"/>
    <w:rsid w:val="475C51A9"/>
    <w:rsid w:val="47639C25"/>
    <w:rsid w:val="477D4D1A"/>
    <w:rsid w:val="4781AAA6"/>
    <w:rsid w:val="4782E98D"/>
    <w:rsid w:val="4793B4EA"/>
    <w:rsid w:val="47A40742"/>
    <w:rsid w:val="47BE3267"/>
    <w:rsid w:val="47DC930A"/>
    <w:rsid w:val="47DEF527"/>
    <w:rsid w:val="47DFC29C"/>
    <w:rsid w:val="48068003"/>
    <w:rsid w:val="4818BC2F"/>
    <w:rsid w:val="48388DFE"/>
    <w:rsid w:val="483C465A"/>
    <w:rsid w:val="48478C0E"/>
    <w:rsid w:val="48793436"/>
    <w:rsid w:val="488CBB2C"/>
    <w:rsid w:val="489BF3F4"/>
    <w:rsid w:val="48A12341"/>
    <w:rsid w:val="48AACE8E"/>
    <w:rsid w:val="48BABE4D"/>
    <w:rsid w:val="48C701B7"/>
    <w:rsid w:val="48CFA2DC"/>
    <w:rsid w:val="48E453C8"/>
    <w:rsid w:val="48F86479"/>
    <w:rsid w:val="48FF4D25"/>
    <w:rsid w:val="49036016"/>
    <w:rsid w:val="4912914B"/>
    <w:rsid w:val="491BE314"/>
    <w:rsid w:val="49269F72"/>
    <w:rsid w:val="4933C7D7"/>
    <w:rsid w:val="49419909"/>
    <w:rsid w:val="49507B0F"/>
    <w:rsid w:val="495816B3"/>
    <w:rsid w:val="4982AA19"/>
    <w:rsid w:val="49A60256"/>
    <w:rsid w:val="49D377B3"/>
    <w:rsid w:val="49D915CE"/>
    <w:rsid w:val="49DF7EDF"/>
    <w:rsid w:val="49F01367"/>
    <w:rsid w:val="49F20866"/>
    <w:rsid w:val="4A274FC4"/>
    <w:rsid w:val="4A2A740C"/>
    <w:rsid w:val="4A4080AC"/>
    <w:rsid w:val="4A5FAEEE"/>
    <w:rsid w:val="4AA284DB"/>
    <w:rsid w:val="4AA647D5"/>
    <w:rsid w:val="4AA97BBF"/>
    <w:rsid w:val="4AAD5634"/>
    <w:rsid w:val="4AAF69A1"/>
    <w:rsid w:val="4ABA3045"/>
    <w:rsid w:val="4ABB8F4E"/>
    <w:rsid w:val="4ACB4C7B"/>
    <w:rsid w:val="4AF4ADF0"/>
    <w:rsid w:val="4B4527E6"/>
    <w:rsid w:val="4B47D345"/>
    <w:rsid w:val="4B5484D9"/>
    <w:rsid w:val="4B6394BF"/>
    <w:rsid w:val="4B716069"/>
    <w:rsid w:val="4B723610"/>
    <w:rsid w:val="4B963BD5"/>
    <w:rsid w:val="4BD2C568"/>
    <w:rsid w:val="4BE585C0"/>
    <w:rsid w:val="4C104FD3"/>
    <w:rsid w:val="4C1D61AC"/>
    <w:rsid w:val="4C354C4F"/>
    <w:rsid w:val="4C3AB7F2"/>
    <w:rsid w:val="4C3C5F4F"/>
    <w:rsid w:val="4C3E8855"/>
    <w:rsid w:val="4C5E1A2F"/>
    <w:rsid w:val="4C7A417D"/>
    <w:rsid w:val="4C854529"/>
    <w:rsid w:val="4C8A1D3D"/>
    <w:rsid w:val="4C984564"/>
    <w:rsid w:val="4D02B5C5"/>
    <w:rsid w:val="4D1D1238"/>
    <w:rsid w:val="4D2A06FC"/>
    <w:rsid w:val="4D5E946B"/>
    <w:rsid w:val="4D727032"/>
    <w:rsid w:val="4D88956C"/>
    <w:rsid w:val="4D92CAD9"/>
    <w:rsid w:val="4DA8DE92"/>
    <w:rsid w:val="4DACD3E0"/>
    <w:rsid w:val="4DD2EDC4"/>
    <w:rsid w:val="4DE08D95"/>
    <w:rsid w:val="4DFF6489"/>
    <w:rsid w:val="4E08D3B2"/>
    <w:rsid w:val="4E1B3157"/>
    <w:rsid w:val="4E2160FF"/>
    <w:rsid w:val="4E47578C"/>
    <w:rsid w:val="4E510441"/>
    <w:rsid w:val="4E5A6FD6"/>
    <w:rsid w:val="4EA6C80E"/>
    <w:rsid w:val="4ED0B3E1"/>
    <w:rsid w:val="4EE93AE5"/>
    <w:rsid w:val="4F1F19BD"/>
    <w:rsid w:val="4F4895D5"/>
    <w:rsid w:val="4F4C7260"/>
    <w:rsid w:val="4F4F0D37"/>
    <w:rsid w:val="4F581585"/>
    <w:rsid w:val="4F60FC80"/>
    <w:rsid w:val="4F75463C"/>
    <w:rsid w:val="4F81280E"/>
    <w:rsid w:val="4F88377F"/>
    <w:rsid w:val="4F9993B6"/>
    <w:rsid w:val="4FA08EBB"/>
    <w:rsid w:val="4FB80CFD"/>
    <w:rsid w:val="4FC3B823"/>
    <w:rsid w:val="4FC47C94"/>
    <w:rsid w:val="4FE6A37B"/>
    <w:rsid w:val="5054809C"/>
    <w:rsid w:val="50597BFD"/>
    <w:rsid w:val="5080C64D"/>
    <w:rsid w:val="50830A90"/>
    <w:rsid w:val="5084BB70"/>
    <w:rsid w:val="509DF390"/>
    <w:rsid w:val="50ACD559"/>
    <w:rsid w:val="50C47DB4"/>
    <w:rsid w:val="50D1F85C"/>
    <w:rsid w:val="5112022F"/>
    <w:rsid w:val="512417A0"/>
    <w:rsid w:val="5134D488"/>
    <w:rsid w:val="51571DE1"/>
    <w:rsid w:val="51593E33"/>
    <w:rsid w:val="51746180"/>
    <w:rsid w:val="51D3E7A9"/>
    <w:rsid w:val="51DF1B19"/>
    <w:rsid w:val="51F2A85C"/>
    <w:rsid w:val="51FD2CEF"/>
    <w:rsid w:val="5201E2CB"/>
    <w:rsid w:val="52089BD2"/>
    <w:rsid w:val="52093CF6"/>
    <w:rsid w:val="521E32F7"/>
    <w:rsid w:val="526D83C1"/>
    <w:rsid w:val="526FD7A4"/>
    <w:rsid w:val="52936A63"/>
    <w:rsid w:val="529C83A3"/>
    <w:rsid w:val="52BE31F8"/>
    <w:rsid w:val="52CBA987"/>
    <w:rsid w:val="52D81EB0"/>
    <w:rsid w:val="52E345C3"/>
    <w:rsid w:val="5309735A"/>
    <w:rsid w:val="534C8E91"/>
    <w:rsid w:val="535DA077"/>
    <w:rsid w:val="536FE42F"/>
    <w:rsid w:val="53778E40"/>
    <w:rsid w:val="53A86CA1"/>
    <w:rsid w:val="53C5DC8C"/>
    <w:rsid w:val="53D35657"/>
    <w:rsid w:val="53D441D4"/>
    <w:rsid w:val="540C18CE"/>
    <w:rsid w:val="5428DB33"/>
    <w:rsid w:val="5429C0DE"/>
    <w:rsid w:val="544E5457"/>
    <w:rsid w:val="545B2F2C"/>
    <w:rsid w:val="54694E7D"/>
    <w:rsid w:val="547BBF9A"/>
    <w:rsid w:val="54AF6C08"/>
    <w:rsid w:val="54E0AEA7"/>
    <w:rsid w:val="54E687E6"/>
    <w:rsid w:val="5505A024"/>
    <w:rsid w:val="551A6173"/>
    <w:rsid w:val="5538141B"/>
    <w:rsid w:val="55399CA4"/>
    <w:rsid w:val="553EAB69"/>
    <w:rsid w:val="55615A4E"/>
    <w:rsid w:val="559CBAD8"/>
    <w:rsid w:val="55A124E8"/>
    <w:rsid w:val="55AB9790"/>
    <w:rsid w:val="55B11473"/>
    <w:rsid w:val="55B9E3BE"/>
    <w:rsid w:val="55BB620B"/>
    <w:rsid w:val="55C4EFAB"/>
    <w:rsid w:val="55E6E689"/>
    <w:rsid w:val="55EE51F6"/>
    <w:rsid w:val="55F3A6B0"/>
    <w:rsid w:val="56091BC1"/>
    <w:rsid w:val="5639B762"/>
    <w:rsid w:val="5663B5D2"/>
    <w:rsid w:val="5663F4FF"/>
    <w:rsid w:val="566EAE0E"/>
    <w:rsid w:val="568DCF38"/>
    <w:rsid w:val="569D7166"/>
    <w:rsid w:val="56AF979F"/>
    <w:rsid w:val="56B56584"/>
    <w:rsid w:val="56BFE511"/>
    <w:rsid w:val="56D182D3"/>
    <w:rsid w:val="56DA7BCA"/>
    <w:rsid w:val="56DAB27D"/>
    <w:rsid w:val="56E5C111"/>
    <w:rsid w:val="56E83F3E"/>
    <w:rsid w:val="56F8865F"/>
    <w:rsid w:val="571E3607"/>
    <w:rsid w:val="573878AB"/>
    <w:rsid w:val="574DD6B7"/>
    <w:rsid w:val="57A056CC"/>
    <w:rsid w:val="57A7D2F0"/>
    <w:rsid w:val="57B4BE69"/>
    <w:rsid w:val="57C66D93"/>
    <w:rsid w:val="57CE78D9"/>
    <w:rsid w:val="58105084"/>
    <w:rsid w:val="581B0E44"/>
    <w:rsid w:val="58234B14"/>
    <w:rsid w:val="5832633C"/>
    <w:rsid w:val="5879359F"/>
    <w:rsid w:val="587D308C"/>
    <w:rsid w:val="588D184F"/>
    <w:rsid w:val="588E9CCE"/>
    <w:rsid w:val="58C2B64F"/>
    <w:rsid w:val="58C3B6ED"/>
    <w:rsid w:val="58CA669E"/>
    <w:rsid w:val="58D55F21"/>
    <w:rsid w:val="5922FAD7"/>
    <w:rsid w:val="5925CFA2"/>
    <w:rsid w:val="5947FA96"/>
    <w:rsid w:val="596590A4"/>
    <w:rsid w:val="596A8D13"/>
    <w:rsid w:val="59A156F9"/>
    <w:rsid w:val="59AC8677"/>
    <w:rsid w:val="59B5715B"/>
    <w:rsid w:val="59C8EC69"/>
    <w:rsid w:val="59D10886"/>
    <w:rsid w:val="59E30ABA"/>
    <w:rsid w:val="59E6A8B4"/>
    <w:rsid w:val="5A22EE22"/>
    <w:rsid w:val="5A28B279"/>
    <w:rsid w:val="5A30B899"/>
    <w:rsid w:val="5A37A668"/>
    <w:rsid w:val="5A3DA9B7"/>
    <w:rsid w:val="5A6DED67"/>
    <w:rsid w:val="5A7C7A30"/>
    <w:rsid w:val="5AA2962F"/>
    <w:rsid w:val="5AB6F007"/>
    <w:rsid w:val="5AC5A848"/>
    <w:rsid w:val="5AD830BC"/>
    <w:rsid w:val="5ADFA16E"/>
    <w:rsid w:val="5B2AD952"/>
    <w:rsid w:val="5B330F7C"/>
    <w:rsid w:val="5B5D918E"/>
    <w:rsid w:val="5B6FFD2A"/>
    <w:rsid w:val="5B7A4B51"/>
    <w:rsid w:val="5B7BA669"/>
    <w:rsid w:val="5B7C89F1"/>
    <w:rsid w:val="5B8BBF27"/>
    <w:rsid w:val="5B99B3A9"/>
    <w:rsid w:val="5BE9058C"/>
    <w:rsid w:val="5BF1D8AA"/>
    <w:rsid w:val="5C0E5F1C"/>
    <w:rsid w:val="5C19876F"/>
    <w:rsid w:val="5C207812"/>
    <w:rsid w:val="5C48B99A"/>
    <w:rsid w:val="5C4D2431"/>
    <w:rsid w:val="5C6902C9"/>
    <w:rsid w:val="5C7F5DC3"/>
    <w:rsid w:val="5C826876"/>
    <w:rsid w:val="5C866C5D"/>
    <w:rsid w:val="5CAA8D56"/>
    <w:rsid w:val="5CB160BD"/>
    <w:rsid w:val="5CB20DB1"/>
    <w:rsid w:val="5CD12A46"/>
    <w:rsid w:val="5CE30276"/>
    <w:rsid w:val="5CE8DA95"/>
    <w:rsid w:val="5CF9C50E"/>
    <w:rsid w:val="5D2D6DC3"/>
    <w:rsid w:val="5D30855F"/>
    <w:rsid w:val="5D47E712"/>
    <w:rsid w:val="5D4DE998"/>
    <w:rsid w:val="5D5C7BB6"/>
    <w:rsid w:val="5D6439B0"/>
    <w:rsid w:val="5D745167"/>
    <w:rsid w:val="5D80F946"/>
    <w:rsid w:val="5DCA90C0"/>
    <w:rsid w:val="5DD8FA77"/>
    <w:rsid w:val="5DE2A5F8"/>
    <w:rsid w:val="5E143C2E"/>
    <w:rsid w:val="5E153F23"/>
    <w:rsid w:val="5E30CB59"/>
    <w:rsid w:val="5E82682E"/>
    <w:rsid w:val="5ECB8D96"/>
    <w:rsid w:val="5ED04B82"/>
    <w:rsid w:val="5F0F6C79"/>
    <w:rsid w:val="5F1240B4"/>
    <w:rsid w:val="5F20A9E1"/>
    <w:rsid w:val="5F29C05E"/>
    <w:rsid w:val="5F33A41C"/>
    <w:rsid w:val="5F477D84"/>
    <w:rsid w:val="5F498D71"/>
    <w:rsid w:val="5F7B9B2F"/>
    <w:rsid w:val="5FA107BF"/>
    <w:rsid w:val="5FB3A680"/>
    <w:rsid w:val="5FBD0BD3"/>
    <w:rsid w:val="5FBFA118"/>
    <w:rsid w:val="5FC0797B"/>
    <w:rsid w:val="5FCA8576"/>
    <w:rsid w:val="5FCC7C44"/>
    <w:rsid w:val="5FD67994"/>
    <w:rsid w:val="5FD96D48"/>
    <w:rsid w:val="5FF2AF63"/>
    <w:rsid w:val="60082579"/>
    <w:rsid w:val="601FC3D1"/>
    <w:rsid w:val="6038552E"/>
    <w:rsid w:val="6046E3B1"/>
    <w:rsid w:val="605F4D09"/>
    <w:rsid w:val="6061DA27"/>
    <w:rsid w:val="6062E90A"/>
    <w:rsid w:val="6065F77E"/>
    <w:rsid w:val="607B4811"/>
    <w:rsid w:val="607F727E"/>
    <w:rsid w:val="60ADB83C"/>
    <w:rsid w:val="60B6769D"/>
    <w:rsid w:val="60CD9851"/>
    <w:rsid w:val="60D0D0D9"/>
    <w:rsid w:val="60DF23F1"/>
    <w:rsid w:val="60EC26C0"/>
    <w:rsid w:val="6116A6C8"/>
    <w:rsid w:val="6125EDE2"/>
    <w:rsid w:val="6154616D"/>
    <w:rsid w:val="6165BC28"/>
    <w:rsid w:val="6169B643"/>
    <w:rsid w:val="6182021D"/>
    <w:rsid w:val="618524DB"/>
    <w:rsid w:val="6189A683"/>
    <w:rsid w:val="61B3647A"/>
    <w:rsid w:val="61C16A0F"/>
    <w:rsid w:val="61C6CE4D"/>
    <w:rsid w:val="61CDC68F"/>
    <w:rsid w:val="61D979BD"/>
    <w:rsid w:val="61E21A8F"/>
    <w:rsid w:val="622E29B8"/>
    <w:rsid w:val="623C06A9"/>
    <w:rsid w:val="62425F31"/>
    <w:rsid w:val="624E4C7E"/>
    <w:rsid w:val="624FEE28"/>
    <w:rsid w:val="62584BD7"/>
    <w:rsid w:val="625C6C26"/>
    <w:rsid w:val="6261ED36"/>
    <w:rsid w:val="6275BE52"/>
    <w:rsid w:val="627A8E2C"/>
    <w:rsid w:val="627EFC10"/>
    <w:rsid w:val="62A5C618"/>
    <w:rsid w:val="62B66812"/>
    <w:rsid w:val="62BE521A"/>
    <w:rsid w:val="62C3BA9A"/>
    <w:rsid w:val="6328072D"/>
    <w:rsid w:val="63361056"/>
    <w:rsid w:val="6341300E"/>
    <w:rsid w:val="63488063"/>
    <w:rsid w:val="6376AE09"/>
    <w:rsid w:val="637C05AE"/>
    <w:rsid w:val="638E16CF"/>
    <w:rsid w:val="63A0533B"/>
    <w:rsid w:val="63A45A91"/>
    <w:rsid w:val="63B62F35"/>
    <w:rsid w:val="63BBBE13"/>
    <w:rsid w:val="63F1F06F"/>
    <w:rsid w:val="63F47E8E"/>
    <w:rsid w:val="64298121"/>
    <w:rsid w:val="64375BD8"/>
    <w:rsid w:val="6456E09B"/>
    <w:rsid w:val="645CCB3D"/>
    <w:rsid w:val="645F967A"/>
    <w:rsid w:val="6467FE79"/>
    <w:rsid w:val="64784DFC"/>
    <w:rsid w:val="64786C7A"/>
    <w:rsid w:val="64AB2720"/>
    <w:rsid w:val="64ADADCC"/>
    <w:rsid w:val="64B98B46"/>
    <w:rsid w:val="64C063C6"/>
    <w:rsid w:val="64C82916"/>
    <w:rsid w:val="64CA9B91"/>
    <w:rsid w:val="64D49448"/>
    <w:rsid w:val="64DB1374"/>
    <w:rsid w:val="64DF9C8C"/>
    <w:rsid w:val="64F805BA"/>
    <w:rsid w:val="64FE3EC3"/>
    <w:rsid w:val="650065DB"/>
    <w:rsid w:val="650EA4AB"/>
    <w:rsid w:val="650F89AC"/>
    <w:rsid w:val="65122CB4"/>
    <w:rsid w:val="6514EF72"/>
    <w:rsid w:val="65191241"/>
    <w:rsid w:val="651C2585"/>
    <w:rsid w:val="652845BC"/>
    <w:rsid w:val="655C11E6"/>
    <w:rsid w:val="656BC9C1"/>
    <w:rsid w:val="65811420"/>
    <w:rsid w:val="658C3708"/>
    <w:rsid w:val="65AEC5D1"/>
    <w:rsid w:val="65CACD3B"/>
    <w:rsid w:val="65D44877"/>
    <w:rsid w:val="65EE5386"/>
    <w:rsid w:val="665F35BB"/>
    <w:rsid w:val="66628153"/>
    <w:rsid w:val="666D6379"/>
    <w:rsid w:val="66740A63"/>
    <w:rsid w:val="66A61A7D"/>
    <w:rsid w:val="66CDC0E2"/>
    <w:rsid w:val="66D16268"/>
    <w:rsid w:val="66D46007"/>
    <w:rsid w:val="66D5D9FD"/>
    <w:rsid w:val="66D99995"/>
    <w:rsid w:val="66F61668"/>
    <w:rsid w:val="66FE1B76"/>
    <w:rsid w:val="67009A91"/>
    <w:rsid w:val="67214BE0"/>
    <w:rsid w:val="67222B56"/>
    <w:rsid w:val="6725F277"/>
    <w:rsid w:val="6788F05A"/>
    <w:rsid w:val="67AF4712"/>
    <w:rsid w:val="67C6FB76"/>
    <w:rsid w:val="680B990E"/>
    <w:rsid w:val="681A7D96"/>
    <w:rsid w:val="6823EE23"/>
    <w:rsid w:val="682752EE"/>
    <w:rsid w:val="682CC7C3"/>
    <w:rsid w:val="683C7917"/>
    <w:rsid w:val="68812133"/>
    <w:rsid w:val="688DFF73"/>
    <w:rsid w:val="68B78B05"/>
    <w:rsid w:val="68C81488"/>
    <w:rsid w:val="68DBADAF"/>
    <w:rsid w:val="68E50BB3"/>
    <w:rsid w:val="6901002A"/>
    <w:rsid w:val="69221642"/>
    <w:rsid w:val="6928E020"/>
    <w:rsid w:val="69321E75"/>
    <w:rsid w:val="693BCAC4"/>
    <w:rsid w:val="69481559"/>
    <w:rsid w:val="694D2A47"/>
    <w:rsid w:val="696FCCE9"/>
    <w:rsid w:val="6975D5CE"/>
    <w:rsid w:val="698116AE"/>
    <w:rsid w:val="699979A2"/>
    <w:rsid w:val="69B62208"/>
    <w:rsid w:val="69DF6DDF"/>
    <w:rsid w:val="69E943BD"/>
    <w:rsid w:val="6A158F14"/>
    <w:rsid w:val="6A2E3A6C"/>
    <w:rsid w:val="6A379EBC"/>
    <w:rsid w:val="6A53312E"/>
    <w:rsid w:val="6A7501AB"/>
    <w:rsid w:val="6A91A88D"/>
    <w:rsid w:val="6AA6603F"/>
    <w:rsid w:val="6AAD1CBB"/>
    <w:rsid w:val="6ABBC48C"/>
    <w:rsid w:val="6AEC4340"/>
    <w:rsid w:val="6B02008A"/>
    <w:rsid w:val="6B032C22"/>
    <w:rsid w:val="6B1BBFF9"/>
    <w:rsid w:val="6B2280FD"/>
    <w:rsid w:val="6B2994FB"/>
    <w:rsid w:val="6B2FE024"/>
    <w:rsid w:val="6B41B1EC"/>
    <w:rsid w:val="6B425BEF"/>
    <w:rsid w:val="6B4AB458"/>
    <w:rsid w:val="6B4BE638"/>
    <w:rsid w:val="6B74F311"/>
    <w:rsid w:val="6B896293"/>
    <w:rsid w:val="6BA720F0"/>
    <w:rsid w:val="6BAAAA12"/>
    <w:rsid w:val="6BD215D3"/>
    <w:rsid w:val="6BE1AD8D"/>
    <w:rsid w:val="6BEA2AC1"/>
    <w:rsid w:val="6BFB6E29"/>
    <w:rsid w:val="6C252E0A"/>
    <w:rsid w:val="6C3962F4"/>
    <w:rsid w:val="6C3F8EF4"/>
    <w:rsid w:val="6C469290"/>
    <w:rsid w:val="6C4F1F94"/>
    <w:rsid w:val="6C5F5C26"/>
    <w:rsid w:val="6C6E9E8D"/>
    <w:rsid w:val="6C6EE780"/>
    <w:rsid w:val="6C7BA6C2"/>
    <w:rsid w:val="6C917E00"/>
    <w:rsid w:val="6C93B995"/>
    <w:rsid w:val="6C965363"/>
    <w:rsid w:val="6C9A4448"/>
    <w:rsid w:val="6CA638AF"/>
    <w:rsid w:val="6CAF797D"/>
    <w:rsid w:val="6CB153EA"/>
    <w:rsid w:val="6CE27C9C"/>
    <w:rsid w:val="6D082345"/>
    <w:rsid w:val="6D09FB03"/>
    <w:rsid w:val="6D102EAE"/>
    <w:rsid w:val="6D144E86"/>
    <w:rsid w:val="6D24641E"/>
    <w:rsid w:val="6D3F808E"/>
    <w:rsid w:val="6D5DE367"/>
    <w:rsid w:val="6D62E8DC"/>
    <w:rsid w:val="6D6AA936"/>
    <w:rsid w:val="6D7EA3A2"/>
    <w:rsid w:val="6D90564B"/>
    <w:rsid w:val="6DA3DE45"/>
    <w:rsid w:val="6DAEEAF1"/>
    <w:rsid w:val="6DB35EB3"/>
    <w:rsid w:val="6DD244D5"/>
    <w:rsid w:val="6DEEAFCC"/>
    <w:rsid w:val="6DF4424E"/>
    <w:rsid w:val="6DFE3DBB"/>
    <w:rsid w:val="6E0C86B5"/>
    <w:rsid w:val="6E11BF08"/>
    <w:rsid w:val="6E21A487"/>
    <w:rsid w:val="6E377C38"/>
    <w:rsid w:val="6E3ACCE4"/>
    <w:rsid w:val="6E4E7B26"/>
    <w:rsid w:val="6E60334B"/>
    <w:rsid w:val="6E81E32D"/>
    <w:rsid w:val="6E93B07F"/>
    <w:rsid w:val="6EA068F4"/>
    <w:rsid w:val="6EA0EEDC"/>
    <w:rsid w:val="6EC8C206"/>
    <w:rsid w:val="6F091DBE"/>
    <w:rsid w:val="6F2DBE31"/>
    <w:rsid w:val="6F32404E"/>
    <w:rsid w:val="6F33260C"/>
    <w:rsid w:val="6F511D2E"/>
    <w:rsid w:val="6F66A843"/>
    <w:rsid w:val="6F887541"/>
    <w:rsid w:val="6FCBF284"/>
    <w:rsid w:val="6FDF3589"/>
    <w:rsid w:val="6FFB9D21"/>
    <w:rsid w:val="70174079"/>
    <w:rsid w:val="7017F81C"/>
    <w:rsid w:val="701E264E"/>
    <w:rsid w:val="701F66A1"/>
    <w:rsid w:val="70235643"/>
    <w:rsid w:val="705458D7"/>
    <w:rsid w:val="705FE8EF"/>
    <w:rsid w:val="706264FC"/>
    <w:rsid w:val="7070525D"/>
    <w:rsid w:val="7070699F"/>
    <w:rsid w:val="707BFD22"/>
    <w:rsid w:val="708076D5"/>
    <w:rsid w:val="70906583"/>
    <w:rsid w:val="7095E0F9"/>
    <w:rsid w:val="7098AACA"/>
    <w:rsid w:val="70A6A578"/>
    <w:rsid w:val="70CCCA45"/>
    <w:rsid w:val="70E27A17"/>
    <w:rsid w:val="70E3F6CF"/>
    <w:rsid w:val="70F373C5"/>
    <w:rsid w:val="711D3AF5"/>
    <w:rsid w:val="7123AE8E"/>
    <w:rsid w:val="71257018"/>
    <w:rsid w:val="71377790"/>
    <w:rsid w:val="713B65E0"/>
    <w:rsid w:val="71465664"/>
    <w:rsid w:val="715901DF"/>
    <w:rsid w:val="716C6DE2"/>
    <w:rsid w:val="71742F94"/>
    <w:rsid w:val="71750A9A"/>
    <w:rsid w:val="71B9F2AD"/>
    <w:rsid w:val="71E50D00"/>
    <w:rsid w:val="71E98CD1"/>
    <w:rsid w:val="71FE355D"/>
    <w:rsid w:val="720E20F4"/>
    <w:rsid w:val="72670728"/>
    <w:rsid w:val="72732BC6"/>
    <w:rsid w:val="72A8B63E"/>
    <w:rsid w:val="72BF9462"/>
    <w:rsid w:val="72BF9CA9"/>
    <w:rsid w:val="72C40CE1"/>
    <w:rsid w:val="72D7B346"/>
    <w:rsid w:val="72EA02D4"/>
    <w:rsid w:val="73000525"/>
    <w:rsid w:val="732C956D"/>
    <w:rsid w:val="73304B38"/>
    <w:rsid w:val="73452714"/>
    <w:rsid w:val="737350FC"/>
    <w:rsid w:val="737A8141"/>
    <w:rsid w:val="738B5532"/>
    <w:rsid w:val="738C0BE8"/>
    <w:rsid w:val="73AF4AA5"/>
    <w:rsid w:val="73B4CF3F"/>
    <w:rsid w:val="73F32E21"/>
    <w:rsid w:val="73FB7C2F"/>
    <w:rsid w:val="740ED733"/>
    <w:rsid w:val="7421863C"/>
    <w:rsid w:val="74347EDD"/>
    <w:rsid w:val="7449C23B"/>
    <w:rsid w:val="745A23BF"/>
    <w:rsid w:val="745BDA1A"/>
    <w:rsid w:val="745D8177"/>
    <w:rsid w:val="745E3698"/>
    <w:rsid w:val="745F69AA"/>
    <w:rsid w:val="746215E3"/>
    <w:rsid w:val="7496EFCE"/>
    <w:rsid w:val="74BA03BD"/>
    <w:rsid w:val="74CB54D9"/>
    <w:rsid w:val="74E6432C"/>
    <w:rsid w:val="74EDC9CA"/>
    <w:rsid w:val="74F5A21A"/>
    <w:rsid w:val="74FE1CF7"/>
    <w:rsid w:val="751DE852"/>
    <w:rsid w:val="756B5BE0"/>
    <w:rsid w:val="757A676C"/>
    <w:rsid w:val="75ABA3CC"/>
    <w:rsid w:val="75EC0E4D"/>
    <w:rsid w:val="7600106C"/>
    <w:rsid w:val="7612BF59"/>
    <w:rsid w:val="76153FA8"/>
    <w:rsid w:val="762578B5"/>
    <w:rsid w:val="763FFE4F"/>
    <w:rsid w:val="769464B9"/>
    <w:rsid w:val="769AF3E7"/>
    <w:rsid w:val="769BDC6E"/>
    <w:rsid w:val="76ADE461"/>
    <w:rsid w:val="76D60736"/>
    <w:rsid w:val="76EBE76B"/>
    <w:rsid w:val="76F1B477"/>
    <w:rsid w:val="76F45F86"/>
    <w:rsid w:val="770F606F"/>
    <w:rsid w:val="7736B98A"/>
    <w:rsid w:val="773FAC01"/>
    <w:rsid w:val="775EA0D1"/>
    <w:rsid w:val="778331F8"/>
    <w:rsid w:val="7787CAD1"/>
    <w:rsid w:val="778B10F6"/>
    <w:rsid w:val="779D727F"/>
    <w:rsid w:val="77FC9324"/>
    <w:rsid w:val="77FDC0CF"/>
    <w:rsid w:val="78008B1E"/>
    <w:rsid w:val="781102E7"/>
    <w:rsid w:val="781238B6"/>
    <w:rsid w:val="782E2E84"/>
    <w:rsid w:val="784B1925"/>
    <w:rsid w:val="785DA2B7"/>
    <w:rsid w:val="78649763"/>
    <w:rsid w:val="7871D797"/>
    <w:rsid w:val="7872ECC0"/>
    <w:rsid w:val="787DBA7D"/>
    <w:rsid w:val="78994A97"/>
    <w:rsid w:val="78B5B0A8"/>
    <w:rsid w:val="79086741"/>
    <w:rsid w:val="79097716"/>
    <w:rsid w:val="790E9100"/>
    <w:rsid w:val="79139AA4"/>
    <w:rsid w:val="791CD503"/>
    <w:rsid w:val="792B5974"/>
    <w:rsid w:val="7949BA95"/>
    <w:rsid w:val="794A6CCF"/>
    <w:rsid w:val="79660937"/>
    <w:rsid w:val="79A142DA"/>
    <w:rsid w:val="79D3BD32"/>
    <w:rsid w:val="79DCD5E4"/>
    <w:rsid w:val="79EA9F85"/>
    <w:rsid w:val="7A44AFE0"/>
    <w:rsid w:val="7A45D6B9"/>
    <w:rsid w:val="7A6ECAC9"/>
    <w:rsid w:val="7ABED522"/>
    <w:rsid w:val="7AD61BA8"/>
    <w:rsid w:val="7AD8ECE9"/>
    <w:rsid w:val="7B098FF1"/>
    <w:rsid w:val="7B4A8A66"/>
    <w:rsid w:val="7B605D62"/>
    <w:rsid w:val="7B6195F2"/>
    <w:rsid w:val="7BAB9A29"/>
    <w:rsid w:val="7BF80E98"/>
    <w:rsid w:val="7BF85874"/>
    <w:rsid w:val="7BFC3AB4"/>
    <w:rsid w:val="7C2A58C8"/>
    <w:rsid w:val="7C2CB369"/>
    <w:rsid w:val="7C3C82DE"/>
    <w:rsid w:val="7C3D909E"/>
    <w:rsid w:val="7C7A57AF"/>
    <w:rsid w:val="7C8F581D"/>
    <w:rsid w:val="7C918488"/>
    <w:rsid w:val="7CA97E7C"/>
    <w:rsid w:val="7CAC0399"/>
    <w:rsid w:val="7CE3D476"/>
    <w:rsid w:val="7CE48F20"/>
    <w:rsid w:val="7CEB305A"/>
    <w:rsid w:val="7CFF56B8"/>
    <w:rsid w:val="7D45483F"/>
    <w:rsid w:val="7D48D680"/>
    <w:rsid w:val="7D5BE660"/>
    <w:rsid w:val="7D6925F6"/>
    <w:rsid w:val="7D8843B9"/>
    <w:rsid w:val="7D8E18A7"/>
    <w:rsid w:val="7DEA339E"/>
    <w:rsid w:val="7DF79EEA"/>
    <w:rsid w:val="7DFD45F8"/>
    <w:rsid w:val="7E1C356B"/>
    <w:rsid w:val="7E339EA9"/>
    <w:rsid w:val="7E45DE80"/>
    <w:rsid w:val="7E5949C4"/>
    <w:rsid w:val="7E7C383D"/>
    <w:rsid w:val="7E7E06D8"/>
    <w:rsid w:val="7EA6DF33"/>
    <w:rsid w:val="7ECBE3EA"/>
    <w:rsid w:val="7F1CAA65"/>
    <w:rsid w:val="7F2AE5A8"/>
    <w:rsid w:val="7F2B8B44"/>
    <w:rsid w:val="7F3A1800"/>
    <w:rsid w:val="7F3CA408"/>
    <w:rsid w:val="7F4C9E49"/>
    <w:rsid w:val="7F512E3B"/>
    <w:rsid w:val="7F7F31E6"/>
    <w:rsid w:val="7F99ED47"/>
    <w:rsid w:val="7FA1AD73"/>
    <w:rsid w:val="7FA8BCF4"/>
    <w:rsid w:val="7FB4E79B"/>
    <w:rsid w:val="7FB831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9CFC"/>
  <w15:chartTrackingRefBased/>
  <w15:docId w15:val="{A9D42A72-6765-421A-9602-1958DD32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E4CAA"/>
    <w:pPr>
      <w:keepNext/>
      <w:keepLines/>
      <w:spacing w:before="240" w:after="240"/>
      <w:outlineLvl w:val="0"/>
    </w:pPr>
    <w:rPr>
      <w:rFonts w:ascii="Arial" w:eastAsiaTheme="majorEastAsia" w:hAnsi="Arial" w:cstheme="majorBidi"/>
      <w:b/>
      <w:sz w:val="36"/>
      <w:szCs w:val="32"/>
    </w:rPr>
  </w:style>
  <w:style w:type="paragraph" w:styleId="Heading2">
    <w:name w:val="heading 2"/>
    <w:basedOn w:val="Normal"/>
    <w:next w:val="Normal"/>
    <w:link w:val="Heading2Char"/>
    <w:autoRedefine/>
    <w:uiPriority w:val="9"/>
    <w:unhideWhenUsed/>
    <w:qFormat/>
    <w:rsid w:val="00845604"/>
    <w:pPr>
      <w:keepNext/>
      <w:keepLines/>
      <w:spacing w:before="40" w:after="0"/>
      <w:outlineLvl w:val="1"/>
    </w:pPr>
    <w:rPr>
      <w:rFonts w:ascii="Arial" w:eastAsiaTheme="majorEastAsia" w:hAnsi="Arial" w:cstheme="majorBidi"/>
      <w:color w:val="000000" w:themeColor="text1"/>
      <w:sz w:val="32"/>
      <w:szCs w:val="26"/>
    </w:rPr>
  </w:style>
  <w:style w:type="paragraph" w:styleId="Heading3">
    <w:name w:val="heading 3"/>
    <w:basedOn w:val="Normal"/>
    <w:next w:val="Normal"/>
    <w:link w:val="Heading3Char"/>
    <w:autoRedefine/>
    <w:uiPriority w:val="9"/>
    <w:unhideWhenUsed/>
    <w:qFormat/>
    <w:rsid w:val="005E4CAA"/>
    <w:pPr>
      <w:keepNext/>
      <w:keepLines/>
      <w:spacing w:before="40" w:after="0" w:line="240" w:lineRule="auto"/>
      <w:outlineLvl w:val="2"/>
    </w:pPr>
    <w:rPr>
      <w:rFonts w:ascii="Arial" w:eastAsiaTheme="majorEastAsia" w:hAnsi="Arial" w:cstheme="majorBidi"/>
      <w:color w:val="000000" w:themeColor="text1"/>
      <w:sz w:val="28"/>
      <w:szCs w:val="28"/>
      <w:lang w:eastAsia="en-GB"/>
    </w:rPr>
  </w:style>
  <w:style w:type="paragraph" w:styleId="Heading4">
    <w:name w:val="heading 4"/>
    <w:basedOn w:val="Normal"/>
    <w:next w:val="Normal"/>
    <w:link w:val="Heading4Char"/>
    <w:autoRedefine/>
    <w:uiPriority w:val="9"/>
    <w:unhideWhenUsed/>
    <w:qFormat/>
    <w:rsid w:val="00845604"/>
    <w:pPr>
      <w:keepNext/>
      <w:keepLines/>
      <w:spacing w:before="40" w:after="0"/>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E1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16DA"/>
  </w:style>
  <w:style w:type="character" w:customStyle="1" w:styleId="eop">
    <w:name w:val="eop"/>
    <w:basedOn w:val="DefaultParagraphFont"/>
    <w:rsid w:val="009E16DA"/>
  </w:style>
  <w:style w:type="paragraph" w:styleId="ListParagraph">
    <w:name w:val="List Paragraph"/>
    <w:basedOn w:val="Normal"/>
    <w:uiPriority w:val="34"/>
    <w:qFormat/>
    <w:rsid w:val="00D942E9"/>
    <w:pPr>
      <w:ind w:left="720"/>
      <w:contextualSpacing/>
    </w:pPr>
  </w:style>
  <w:style w:type="character" w:styleId="CommentReference">
    <w:name w:val="annotation reference"/>
    <w:basedOn w:val="DefaultParagraphFont"/>
    <w:uiPriority w:val="99"/>
    <w:semiHidden/>
    <w:unhideWhenUsed/>
    <w:rsid w:val="000D62AE"/>
    <w:rPr>
      <w:sz w:val="16"/>
      <w:szCs w:val="16"/>
    </w:rPr>
  </w:style>
  <w:style w:type="paragraph" w:styleId="CommentText">
    <w:name w:val="annotation text"/>
    <w:basedOn w:val="Normal"/>
    <w:link w:val="CommentTextChar"/>
    <w:uiPriority w:val="99"/>
    <w:unhideWhenUsed/>
    <w:rsid w:val="000D62AE"/>
    <w:pPr>
      <w:spacing w:line="240" w:lineRule="auto"/>
    </w:pPr>
    <w:rPr>
      <w:sz w:val="20"/>
      <w:szCs w:val="20"/>
    </w:rPr>
  </w:style>
  <w:style w:type="character" w:customStyle="1" w:styleId="CommentTextChar">
    <w:name w:val="Comment Text Char"/>
    <w:basedOn w:val="DefaultParagraphFont"/>
    <w:link w:val="CommentText"/>
    <w:uiPriority w:val="99"/>
    <w:rsid w:val="000D62AE"/>
    <w:rPr>
      <w:sz w:val="20"/>
      <w:szCs w:val="20"/>
    </w:rPr>
  </w:style>
  <w:style w:type="paragraph" w:styleId="CommentSubject">
    <w:name w:val="annotation subject"/>
    <w:basedOn w:val="CommentText"/>
    <w:next w:val="CommentText"/>
    <w:link w:val="CommentSubjectChar"/>
    <w:uiPriority w:val="99"/>
    <w:semiHidden/>
    <w:unhideWhenUsed/>
    <w:rsid w:val="000D62AE"/>
    <w:rPr>
      <w:b/>
      <w:bCs/>
    </w:rPr>
  </w:style>
  <w:style w:type="character" w:customStyle="1" w:styleId="CommentSubjectChar">
    <w:name w:val="Comment Subject Char"/>
    <w:basedOn w:val="CommentTextChar"/>
    <w:link w:val="CommentSubject"/>
    <w:uiPriority w:val="99"/>
    <w:semiHidden/>
    <w:rsid w:val="000D62AE"/>
    <w:rPr>
      <w:b/>
      <w:bCs/>
      <w:sz w:val="20"/>
      <w:szCs w:val="20"/>
    </w:rPr>
  </w:style>
  <w:style w:type="paragraph" w:styleId="Revision">
    <w:name w:val="Revision"/>
    <w:hidden/>
    <w:uiPriority w:val="99"/>
    <w:semiHidden/>
    <w:rsid w:val="001F1811"/>
    <w:pPr>
      <w:spacing w:after="0" w:line="240" w:lineRule="auto"/>
    </w:pPr>
  </w:style>
  <w:style w:type="table" w:styleId="TableGrid">
    <w:name w:val="Table Grid"/>
    <w:basedOn w:val="TableNormal"/>
    <w:uiPriority w:val="39"/>
    <w:rsid w:val="002F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9AC"/>
    <w:rPr>
      <w:color w:val="0563C1" w:themeColor="hyperlink"/>
      <w:u w:val="single"/>
    </w:rPr>
  </w:style>
  <w:style w:type="character" w:styleId="FollowedHyperlink">
    <w:name w:val="FollowedHyperlink"/>
    <w:basedOn w:val="DefaultParagraphFont"/>
    <w:uiPriority w:val="99"/>
    <w:semiHidden/>
    <w:unhideWhenUsed/>
    <w:rsid w:val="002F29AC"/>
    <w:rPr>
      <w:color w:val="954F72" w:themeColor="followedHyperlink"/>
      <w:u w:val="single"/>
    </w:rPr>
  </w:style>
  <w:style w:type="character" w:styleId="UnresolvedMention">
    <w:name w:val="Unresolved Mention"/>
    <w:basedOn w:val="DefaultParagraphFont"/>
    <w:uiPriority w:val="99"/>
    <w:semiHidden/>
    <w:unhideWhenUsed/>
    <w:rsid w:val="00186AC0"/>
    <w:rPr>
      <w:color w:val="605E5C"/>
      <w:shd w:val="clear" w:color="auto" w:fill="E1DFDD"/>
    </w:rPr>
  </w:style>
  <w:style w:type="paragraph" w:styleId="NoSpacing">
    <w:name w:val="No Spacing"/>
    <w:uiPriority w:val="1"/>
    <w:qFormat/>
    <w:rsid w:val="00C80BC4"/>
    <w:pPr>
      <w:spacing w:after="0" w:line="240" w:lineRule="auto"/>
    </w:pPr>
  </w:style>
  <w:style w:type="paragraph" w:styleId="Header">
    <w:name w:val="header"/>
    <w:basedOn w:val="Normal"/>
    <w:link w:val="HeaderChar"/>
    <w:uiPriority w:val="99"/>
    <w:unhideWhenUsed/>
    <w:rsid w:val="00254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C79"/>
  </w:style>
  <w:style w:type="paragraph" w:styleId="Footer">
    <w:name w:val="footer"/>
    <w:basedOn w:val="Normal"/>
    <w:link w:val="FooterChar"/>
    <w:uiPriority w:val="99"/>
    <w:unhideWhenUsed/>
    <w:rsid w:val="00254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C79"/>
  </w:style>
  <w:style w:type="character" w:customStyle="1" w:styleId="Heading1Char">
    <w:name w:val="Heading 1 Char"/>
    <w:basedOn w:val="DefaultParagraphFont"/>
    <w:link w:val="Heading1"/>
    <w:uiPriority w:val="9"/>
    <w:rsid w:val="005E4CAA"/>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45604"/>
    <w:rPr>
      <w:rFonts w:ascii="Arial" w:eastAsiaTheme="majorEastAsia" w:hAnsi="Arial" w:cstheme="majorBidi"/>
      <w:color w:val="000000" w:themeColor="text1"/>
      <w:sz w:val="32"/>
      <w:szCs w:val="26"/>
    </w:rPr>
  </w:style>
  <w:style w:type="character" w:styleId="Mention">
    <w:name w:val="Mention"/>
    <w:basedOn w:val="DefaultParagraphFont"/>
    <w:uiPriority w:val="99"/>
    <w:unhideWhenUsed/>
    <w:rsid w:val="00B453C5"/>
    <w:rPr>
      <w:color w:val="2B579A"/>
      <w:shd w:val="clear" w:color="auto" w:fill="E1DFDD"/>
    </w:rPr>
  </w:style>
  <w:style w:type="character" w:customStyle="1" w:styleId="Heading3Char">
    <w:name w:val="Heading 3 Char"/>
    <w:basedOn w:val="DefaultParagraphFont"/>
    <w:link w:val="Heading3"/>
    <w:uiPriority w:val="9"/>
    <w:rsid w:val="005E4CAA"/>
    <w:rPr>
      <w:rFonts w:ascii="Arial" w:eastAsiaTheme="majorEastAsia" w:hAnsi="Arial" w:cstheme="majorBidi"/>
      <w:color w:val="000000" w:themeColor="text1"/>
      <w:sz w:val="28"/>
      <w:szCs w:val="28"/>
      <w:lang w:eastAsia="en-GB"/>
    </w:rPr>
  </w:style>
  <w:style w:type="character" w:customStyle="1" w:styleId="Heading4Char">
    <w:name w:val="Heading 4 Char"/>
    <w:basedOn w:val="DefaultParagraphFont"/>
    <w:link w:val="Heading4"/>
    <w:uiPriority w:val="9"/>
    <w:rsid w:val="00845604"/>
    <w:rPr>
      <w:rFonts w:ascii="Arial" w:eastAsiaTheme="majorEastAsia" w:hAnsi="Arial" w:cstheme="majorBidi"/>
      <w:b/>
      <w:iCs/>
      <w:sz w:val="24"/>
    </w:rPr>
  </w:style>
  <w:style w:type="paragraph" w:styleId="Title">
    <w:name w:val="Title"/>
    <w:basedOn w:val="Normal"/>
    <w:next w:val="Normal"/>
    <w:link w:val="TitleChar"/>
    <w:uiPriority w:val="10"/>
    <w:qFormat/>
    <w:rsid w:val="00845604"/>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845604"/>
    <w:rPr>
      <w:rFonts w:ascii="Arial" w:eastAsiaTheme="majorEastAsia" w:hAnsi="Arial" w:cstheme="majorBidi"/>
      <w:spacing w:val="-10"/>
      <w:kern w:val="28"/>
      <w:sz w:val="56"/>
      <w:szCs w:val="56"/>
    </w:rPr>
  </w:style>
  <w:style w:type="paragraph" w:styleId="TOCHeading">
    <w:name w:val="TOC Heading"/>
    <w:basedOn w:val="Heading1"/>
    <w:next w:val="Normal"/>
    <w:uiPriority w:val="39"/>
    <w:unhideWhenUsed/>
    <w:qFormat/>
    <w:rsid w:val="005E4CAA"/>
    <w:pPr>
      <w:spacing w:after="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5E4CAA"/>
    <w:pPr>
      <w:spacing w:after="100"/>
    </w:pPr>
  </w:style>
  <w:style w:type="paragraph" w:styleId="TOC2">
    <w:name w:val="toc 2"/>
    <w:basedOn w:val="Normal"/>
    <w:next w:val="Normal"/>
    <w:autoRedefine/>
    <w:uiPriority w:val="39"/>
    <w:unhideWhenUsed/>
    <w:rsid w:val="005E4CAA"/>
    <w:pPr>
      <w:spacing w:after="100"/>
      <w:ind w:left="220"/>
    </w:pPr>
  </w:style>
  <w:style w:type="paragraph" w:styleId="TOC3">
    <w:name w:val="toc 3"/>
    <w:basedOn w:val="Normal"/>
    <w:next w:val="Normal"/>
    <w:autoRedefine/>
    <w:uiPriority w:val="39"/>
    <w:unhideWhenUsed/>
    <w:rsid w:val="005E4CA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1197">
      <w:bodyDiv w:val="1"/>
      <w:marLeft w:val="0"/>
      <w:marRight w:val="0"/>
      <w:marTop w:val="0"/>
      <w:marBottom w:val="0"/>
      <w:divBdr>
        <w:top w:val="none" w:sz="0" w:space="0" w:color="auto"/>
        <w:left w:val="none" w:sz="0" w:space="0" w:color="auto"/>
        <w:bottom w:val="none" w:sz="0" w:space="0" w:color="auto"/>
        <w:right w:val="none" w:sz="0" w:space="0" w:color="auto"/>
      </w:divBdr>
    </w:div>
    <w:div w:id="231233949">
      <w:bodyDiv w:val="1"/>
      <w:marLeft w:val="0"/>
      <w:marRight w:val="0"/>
      <w:marTop w:val="0"/>
      <w:marBottom w:val="0"/>
      <w:divBdr>
        <w:top w:val="none" w:sz="0" w:space="0" w:color="auto"/>
        <w:left w:val="none" w:sz="0" w:space="0" w:color="auto"/>
        <w:bottom w:val="none" w:sz="0" w:space="0" w:color="auto"/>
        <w:right w:val="none" w:sz="0" w:space="0" w:color="auto"/>
      </w:divBdr>
    </w:div>
    <w:div w:id="503325507">
      <w:bodyDiv w:val="1"/>
      <w:marLeft w:val="0"/>
      <w:marRight w:val="0"/>
      <w:marTop w:val="0"/>
      <w:marBottom w:val="0"/>
      <w:divBdr>
        <w:top w:val="none" w:sz="0" w:space="0" w:color="auto"/>
        <w:left w:val="none" w:sz="0" w:space="0" w:color="auto"/>
        <w:bottom w:val="none" w:sz="0" w:space="0" w:color="auto"/>
        <w:right w:val="none" w:sz="0" w:space="0" w:color="auto"/>
      </w:divBdr>
    </w:div>
    <w:div w:id="770592864">
      <w:bodyDiv w:val="1"/>
      <w:marLeft w:val="0"/>
      <w:marRight w:val="0"/>
      <w:marTop w:val="0"/>
      <w:marBottom w:val="0"/>
      <w:divBdr>
        <w:top w:val="none" w:sz="0" w:space="0" w:color="auto"/>
        <w:left w:val="none" w:sz="0" w:space="0" w:color="auto"/>
        <w:bottom w:val="none" w:sz="0" w:space="0" w:color="auto"/>
        <w:right w:val="none" w:sz="0" w:space="0" w:color="auto"/>
      </w:divBdr>
    </w:div>
    <w:div w:id="829098908">
      <w:bodyDiv w:val="1"/>
      <w:marLeft w:val="0"/>
      <w:marRight w:val="0"/>
      <w:marTop w:val="0"/>
      <w:marBottom w:val="0"/>
      <w:divBdr>
        <w:top w:val="none" w:sz="0" w:space="0" w:color="auto"/>
        <w:left w:val="none" w:sz="0" w:space="0" w:color="auto"/>
        <w:bottom w:val="none" w:sz="0" w:space="0" w:color="auto"/>
        <w:right w:val="none" w:sz="0" w:space="0" w:color="auto"/>
      </w:divBdr>
    </w:div>
    <w:div w:id="974793413">
      <w:bodyDiv w:val="1"/>
      <w:marLeft w:val="0"/>
      <w:marRight w:val="0"/>
      <w:marTop w:val="0"/>
      <w:marBottom w:val="0"/>
      <w:divBdr>
        <w:top w:val="none" w:sz="0" w:space="0" w:color="auto"/>
        <w:left w:val="none" w:sz="0" w:space="0" w:color="auto"/>
        <w:bottom w:val="none" w:sz="0" w:space="0" w:color="auto"/>
        <w:right w:val="none" w:sz="0" w:space="0" w:color="auto"/>
      </w:divBdr>
    </w:div>
    <w:div w:id="1243678992">
      <w:bodyDiv w:val="1"/>
      <w:marLeft w:val="0"/>
      <w:marRight w:val="0"/>
      <w:marTop w:val="0"/>
      <w:marBottom w:val="0"/>
      <w:divBdr>
        <w:top w:val="none" w:sz="0" w:space="0" w:color="auto"/>
        <w:left w:val="none" w:sz="0" w:space="0" w:color="auto"/>
        <w:bottom w:val="none" w:sz="0" w:space="0" w:color="auto"/>
        <w:right w:val="none" w:sz="0" w:space="0" w:color="auto"/>
      </w:divBdr>
    </w:div>
    <w:div w:id="19888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8331D26-485D-43F0-84D1-8DF41BC26ECD}">
    <t:Anchor>
      <t:Comment id="731499955"/>
    </t:Anchor>
    <t:History>
      <t:Event id="{82ACEB37-4877-492A-BB10-146369B04444}" time="2025-03-10T16:27:18.032Z">
        <t:Attribution userId="S::samanthapink@lancsfirerescue.org.uk::49949468-1a75-49de-8dfc-e211ac230520" userProvider="AD" userName="SHQ - Pink, Samantha"/>
        <t:Anchor>
          <t:Comment id="731499955"/>
        </t:Anchor>
        <t:Create/>
      </t:Event>
      <t:Event id="{EBC70981-3018-489A-8C0F-4CF90D135D46}" time="2025-03-10T16:27:18.032Z">
        <t:Attribution userId="S::samanthapink@lancsfirerescue.org.uk::49949468-1a75-49de-8dfc-e211ac230520" userProvider="AD" userName="SHQ - Pink, Samantha"/>
        <t:Anchor>
          <t:Comment id="731499955"/>
        </t:Anchor>
        <t:Assign userId="S::PhilJones@lancsfirerescue.org.uk::ce7478da-78e4-4c77-94a7-1402324a2023" userProvider="AD" userName="AM - Jones, Phil"/>
      </t:Event>
      <t:Event id="{660BDFAA-73D8-40EB-9ABF-F08224AFDA95}" time="2025-03-10T16:27:18.032Z">
        <t:Attribution userId="S::samanthapink@lancsfirerescue.org.uk::49949468-1a75-49de-8dfc-e211ac230520" userProvider="AD" userName="SHQ - Pink, Samantha"/>
        <t:Anchor>
          <t:Comment id="731499955"/>
        </t:Anchor>
        <t:SetTitle title="@AM - Jones, Phil leave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92AF25E3FDA41B89962FBEBE5FA62" ma:contentTypeVersion="6" ma:contentTypeDescription="Create a new document." ma:contentTypeScope="" ma:versionID="92828cbdd6f3134205e86100a156dd9a">
  <xsd:schema xmlns:xsd="http://www.w3.org/2001/XMLSchema" xmlns:xs="http://www.w3.org/2001/XMLSchema" xmlns:p="http://schemas.microsoft.com/office/2006/metadata/properties" xmlns:ns2="1b5a46f1-850f-4986-9b4a-802a30b43c65" xmlns:ns3="78731744-804d-40e0-b8af-377f2ad83d75" targetNamespace="http://schemas.microsoft.com/office/2006/metadata/properties" ma:root="true" ma:fieldsID="360a051096e16ff35eb610bd52734a9e" ns2:_="" ns3:_="">
    <xsd:import namespace="1b5a46f1-850f-4986-9b4a-802a30b43c65"/>
    <xsd:import namespace="78731744-804d-40e0-b8af-377f2ad83d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a46f1-850f-4986-9b4a-802a30b43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31744-804d-40e0-b8af-377f2ad83d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3AD3B-70D1-48EA-9291-46784F89F5B5}">
  <ds:schemaRefs>
    <ds:schemaRef ds:uri="http://schemas.microsoft.com/office/2006/metadata/contentType"/>
    <ds:schemaRef ds:uri="http://schemas.microsoft.com/office/2006/metadata/properties/metaAttributes"/>
    <ds:schemaRef ds:uri="http://www.w3.org/2000/xmlns/"/>
    <ds:schemaRef ds:uri="http://www.w3.org/2001/XMLSchema"/>
    <ds:schemaRef ds:uri="1b5a46f1-850f-4986-9b4a-802a30b43c65"/>
    <ds:schemaRef ds:uri="78731744-804d-40e0-b8af-377f2ad83d7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7E866-12A4-4F31-AC9C-37EE46090A5A}">
  <ds:schemaRefs>
    <ds:schemaRef ds:uri="http://schemas.microsoft.com/sharepoint/v3/contenttype/forms"/>
  </ds:schemaRefs>
</ds:datastoreItem>
</file>

<file path=customXml/itemProps3.xml><?xml version="1.0" encoding="utf-8"?>
<ds:datastoreItem xmlns:ds="http://schemas.openxmlformats.org/officeDocument/2006/customXml" ds:itemID="{7D2675B0-C53A-4EF5-A95B-443A0B4D9D37}">
  <ds:schemaRefs>
    <ds:schemaRef ds:uri="http://schemas.microsoft.com/office/infopath/2007/PartnerControls"/>
    <ds:schemaRef ds:uri="http://purl.org/dc/elements/1.1/"/>
    <ds:schemaRef ds:uri="http://schemas.microsoft.com/office/2006/metadata/properties"/>
    <ds:schemaRef ds:uri="1b5a46f1-850f-4986-9b4a-802a30b43c65"/>
    <ds:schemaRef ds:uri="http://schemas.microsoft.com/office/2006/documentManagement/types"/>
    <ds:schemaRef ds:uri="http://purl.org/dc/terms/"/>
    <ds:schemaRef ds:uri="http://purl.org/dc/dcmitype/"/>
    <ds:schemaRef ds:uri="http://schemas.openxmlformats.org/package/2006/metadata/core-properties"/>
    <ds:schemaRef ds:uri="78731744-804d-40e0-b8af-377f2ad83d75"/>
    <ds:schemaRef ds:uri="http://www.w3.org/XML/1998/namespace"/>
  </ds:schemaRefs>
</ds:datastoreItem>
</file>

<file path=customXml/itemProps4.xml><?xml version="1.0" encoding="utf-8"?>
<ds:datastoreItem xmlns:ds="http://schemas.openxmlformats.org/officeDocument/2006/customXml" ds:itemID="{672DAE17-E162-48AB-A389-934F1061DFC8}">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f3108379-ec3f-4459-9a6d-f531e8ec0724}" enabled="0" method="" siteId="{f3108379-ec3f-4459-9a6d-f531e8ec0724}" removed="1"/>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5017</Words>
  <Characters>28600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Charters</dc:creator>
  <cp:keywords/>
  <dc:description/>
  <cp:lastModifiedBy>SHQ - Edney, Richard</cp:lastModifiedBy>
  <cp:revision>3</cp:revision>
  <cp:lastPrinted>2024-04-19T08:14:00Z</cp:lastPrinted>
  <dcterms:created xsi:type="dcterms:W3CDTF">2025-05-01T09:34:00Z</dcterms:created>
  <dcterms:modified xsi:type="dcterms:W3CDTF">2025-05-01T09:37:00Z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0x01010033092AF25E3FDA41B89962FBEBE5FA62</vt:lpwstr>
  </property>
  <property fmtid="{D5CDD505-2E9C-101B-9397-08002B2CF9AE}" pid="3" name="Order">
    <vt:r8>2900</vt:r8>
  </property>
  <property fmtid="{D5CDD505-2E9C-101B-9397-08002B2CF9AE}" pid="4" name="ComplianceAssetId">
    <vt:lpwstr/>
  </property>
  <property fmtid="{D5CDD505-2E9C-101B-9397-08002B2CF9AE}" pid="5" name="_activity">
    <vt:lpwstr>{"FileActivityType":"9","FileActivityTimeStamp":"2024-03-05T14:10:52.053Z","FileActivityUsersOnPage":[{"DisplayName":"SHQ - Brown, Steven","Id":"stevenbrown@lancsfirerescue.org.uk"}],"FileActivityNavigationId":null}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SIP_Label_efe624c0-ab76-44e6-ba90-df41b4a102cc_Enabled">
    <vt:lpwstr>True</vt:lpwstr>
  </property>
  <property fmtid="{D5CDD505-2E9C-101B-9397-08002B2CF9AE}" pid="9" name="MSIP_Label_efe624c0-ab76-44e6-ba90-df41b4a102cc_SiteId">
    <vt:lpwstr>f3108379-ec3f-4459-9a6d-f531e8ec0724</vt:lpwstr>
  </property>
  <property fmtid="{D5CDD505-2E9C-101B-9397-08002B2CF9AE}" pid="10" name="MSIP_Label_efe624c0-ab76-44e6-ba90-df41b4a102cc_SetDate">
    <vt:lpwstr>2024-10-28T13:23:20Z</vt:lpwstr>
  </property>
  <property fmtid="{D5CDD505-2E9C-101B-9397-08002B2CF9AE}" pid="11" name="MSIP_Label_efe624c0-ab76-44e6-ba90-df41b4a102cc_Name">
    <vt:lpwstr>OFFICIAL – SENSITIVE</vt:lpwstr>
  </property>
  <property fmtid="{D5CDD505-2E9C-101B-9397-08002B2CF9AE}" pid="12" name="MSIP_Label_efe624c0-ab76-44e6-ba90-df41b4a102cc_ActionId">
    <vt:lpwstr>ae2094e3-7d28-480b-9cb6-d187a8ecf7f6</vt:lpwstr>
  </property>
  <property fmtid="{D5CDD505-2E9C-101B-9397-08002B2CF9AE}" pid="13" name="MSIP_Label_efe624c0-ab76-44e6-ba90-df41b4a102cc_Removed">
    <vt:lpwstr>False</vt:lpwstr>
  </property>
  <property fmtid="{D5CDD505-2E9C-101B-9397-08002B2CF9AE}" pid="14" name="MSIP_Label_efe624c0-ab76-44e6-ba90-df41b4a102cc_Extended_MSFT_Method">
    <vt:lpwstr>Standard</vt:lpwstr>
  </property>
  <property fmtid="{D5CDD505-2E9C-101B-9397-08002B2CF9AE}" pid="15" name="Sensitivity">
    <vt:lpwstr>OFFICIAL – SENSITIVE</vt:lpwstr>
  </property>
  <property fmtid="{D5CDD505-2E9C-101B-9397-08002B2CF9AE}" pid="16" name="xd_ProgID">
    <vt:lpwstr/>
  </property>
  <property fmtid="{D5CDD505-2E9C-101B-9397-08002B2CF9AE}" pid="17" name="TemplateUrl">
    <vt:lpwstr/>
  </property>
  <property fmtid="{D5CDD505-2E9C-101B-9397-08002B2CF9AE}" pid="18" name="xd_Signature">
    <vt:bool>false</vt:bool>
  </property>
</Properties>
</file>